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F9" w:rsidRDefault="00C21AF9" w:rsidP="00C21AF9">
      <w:pPr>
        <w:pStyle w:val="Heading1"/>
        <w:jc w:val="center"/>
        <w:rPr>
          <w:rFonts w:ascii="Times New Roman" w:hAnsi="Times New Roman" w:cs="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Časopis za ekonomiju i politiku tranzicije  /  Journal of economic and politics of Transition                          Godina XVII</w:t>
      </w:r>
      <w:r w:rsidR="00F9552F">
        <w:rPr>
          <w:sz w:val="18"/>
          <w:szCs w:val="18"/>
          <w:bdr w:val="single" w:sz="4" w:space="0" w:color="auto"/>
        </w:rPr>
        <w:t>I</w:t>
      </w:r>
      <w:r w:rsidRPr="00C21AF9">
        <w:rPr>
          <w:sz w:val="18"/>
          <w:szCs w:val="18"/>
          <w:bdr w:val="single" w:sz="4" w:space="0" w:color="auto"/>
        </w:rPr>
        <w:t xml:space="preserve">                                      Vitez-Tuzla-Zagreb-Beograd-Bukurešt, 201</w:t>
      </w:r>
      <w:r w:rsidR="00F9552F">
        <w:rPr>
          <w:sz w:val="18"/>
          <w:szCs w:val="18"/>
          <w:bdr w:val="single" w:sz="4" w:space="0" w:color="auto"/>
        </w:rPr>
        <w:t>6</w:t>
      </w:r>
      <w:r w:rsidRPr="00C21AF9">
        <w:rPr>
          <w:sz w:val="18"/>
          <w:szCs w:val="18"/>
          <w:bdr w:val="single" w:sz="4" w:space="0" w:color="auto"/>
        </w:rPr>
        <w:t>.                                      Br. 3</w:t>
      </w:r>
      <w:r w:rsidR="00F9552F">
        <w:rPr>
          <w:sz w:val="18"/>
          <w:szCs w:val="18"/>
          <w:bdr w:val="single" w:sz="4" w:space="0" w:color="auto"/>
        </w:rPr>
        <w:t>7</w:t>
      </w:r>
      <w:r w:rsidR="00267AD3" w:rsidRPr="00732F73">
        <w:rPr>
          <w:sz w:val="20"/>
        </w:rPr>
        <w:t xml:space="preserve"> </w:t>
      </w:r>
      <w:r w:rsidR="000F7BB1">
        <w:rPr>
          <w:i/>
        </w:rPr>
        <w:t xml:space="preserve">             </w:t>
      </w:r>
      <w:r w:rsidR="000F7BB1">
        <w:rPr>
          <w:i/>
        </w:rPr>
        <w:tab/>
      </w:r>
      <w:r w:rsidR="000F7BB1">
        <w:rPr>
          <w:i/>
        </w:rPr>
        <w:tab/>
      </w:r>
      <w:r w:rsidR="000F7BB1" w:rsidRPr="000F7BB1">
        <w:rPr>
          <w:rFonts w:ascii="Times New Roman" w:hAnsi="Times New Roman" w:cs="Times New Roman"/>
          <w:b w:val="0"/>
          <w:i/>
          <w:sz w:val="22"/>
          <w:szCs w:val="22"/>
        </w:rPr>
        <w:t xml:space="preserve">                                                     </w:t>
      </w:r>
      <w:r w:rsidR="000F7BB1">
        <w:rPr>
          <w:rFonts w:ascii="Times New Roman" w:hAnsi="Times New Roman" w:cs="Times New Roman"/>
          <w:b w:val="0"/>
          <w:i/>
          <w:sz w:val="22"/>
          <w:szCs w:val="22"/>
        </w:rPr>
        <w:t xml:space="preserve">              </w:t>
      </w:r>
    </w:p>
    <w:p w:rsidR="00CD57C2" w:rsidRPr="00CD57C2" w:rsidRDefault="00CD57C2" w:rsidP="00CD57C2">
      <w:pPr>
        <w:pStyle w:val="NoSpacing"/>
        <w:ind w:left="5760"/>
        <w:jc w:val="right"/>
        <w:rPr>
          <w:i/>
        </w:rPr>
      </w:pPr>
      <w:r w:rsidRPr="00CD57C2">
        <w:rPr>
          <w:i/>
        </w:rPr>
        <w:t xml:space="preserve">Izvorni znanstveni rad                                                                                     </w:t>
      </w:r>
      <w:r>
        <w:rPr>
          <w:i/>
        </w:rPr>
        <w:t xml:space="preserve">                                </w:t>
      </w:r>
      <w:r w:rsidRPr="00CD57C2">
        <w:rPr>
          <w:i/>
        </w:rPr>
        <w:t>Original scientific paper</w:t>
      </w:r>
    </w:p>
    <w:p w:rsidR="000F7BB1" w:rsidRDefault="000F7BB1" w:rsidP="008B3196">
      <w:pPr>
        <w:pStyle w:val="NoSpacing"/>
        <w:rPr>
          <w:i/>
        </w:rPr>
      </w:pPr>
    </w:p>
    <w:p w:rsidR="003D0620" w:rsidRPr="00CD57C2" w:rsidRDefault="00BB1875" w:rsidP="008F126B">
      <w:pPr>
        <w:pStyle w:val="NoSpacing"/>
        <w:jc w:val="right"/>
        <w:rPr>
          <w:b/>
          <w:i/>
          <w:lang w:val="en-US"/>
        </w:rPr>
      </w:pPr>
      <w:r w:rsidRPr="00CD57C2">
        <w:rPr>
          <w:b/>
          <w:i/>
          <w:lang w:val="en-US"/>
        </w:rPr>
        <w:t>JEL Klasifikacija</w:t>
      </w:r>
      <w:r w:rsidR="008F126B" w:rsidRPr="00CD57C2">
        <w:rPr>
          <w:i/>
          <w:lang w:val="en-US"/>
        </w:rPr>
        <w:t xml:space="preserve">: </w:t>
      </w:r>
      <w:r w:rsidR="000F28FD">
        <w:rPr>
          <w:i/>
          <w:lang w:val="sr-Latn-CS"/>
        </w:rPr>
        <w:t>G20, G21, G28, G33</w:t>
      </w:r>
    </w:p>
    <w:p w:rsidR="008F126B" w:rsidRPr="00CD57C2" w:rsidRDefault="008F126B" w:rsidP="003D0620">
      <w:pPr>
        <w:pStyle w:val="NoSpacing"/>
        <w:rPr>
          <w:b/>
          <w:lang w:val="en-US"/>
        </w:rPr>
      </w:pPr>
    </w:p>
    <w:p w:rsidR="00155E30" w:rsidRPr="00CD57C2" w:rsidRDefault="00155E30" w:rsidP="003D0620">
      <w:pPr>
        <w:pStyle w:val="NoSpacing"/>
        <w:rPr>
          <w:b/>
          <w:lang w:val="en-US"/>
        </w:rPr>
      </w:pPr>
    </w:p>
    <w:p w:rsidR="00267AD3" w:rsidRDefault="008F126B" w:rsidP="003D0620">
      <w:pPr>
        <w:pStyle w:val="NoSpacing"/>
        <w:rPr>
          <w:b/>
        </w:rPr>
      </w:pPr>
      <w:r>
        <w:rPr>
          <w:b/>
        </w:rPr>
        <w:t>Dragan Jović</w:t>
      </w:r>
      <w:r w:rsidR="00267AD3" w:rsidRPr="00B32AB3">
        <w:rPr>
          <w:rStyle w:val="FootnoteReference"/>
          <w:b/>
        </w:rPr>
        <w:footnoteReference w:customMarkFollows="1" w:id="1"/>
        <w:t>*</w:t>
      </w:r>
    </w:p>
    <w:p w:rsidR="00F9552F" w:rsidRPr="00155E30" w:rsidRDefault="00F9552F" w:rsidP="00CC0313">
      <w:pPr>
        <w:pStyle w:val="IndentedQuote"/>
        <w:jc w:val="center"/>
        <w:rPr>
          <w:b/>
          <w:sz w:val="32"/>
          <w:szCs w:val="32"/>
          <w:lang w:val="en-GB"/>
        </w:rPr>
      </w:pPr>
      <w:r w:rsidRPr="00155E30">
        <w:rPr>
          <w:b/>
          <w:sz w:val="32"/>
          <w:szCs w:val="32"/>
          <w:lang w:val="en-GB"/>
        </w:rPr>
        <w:t>PREDVIĐANJE NEUSPJEHA BANAKA U BANKARSKOM SEKTORU REPUBLIKE SRPSKE</w:t>
      </w:r>
    </w:p>
    <w:p w:rsidR="004560BB" w:rsidRPr="004560BB" w:rsidRDefault="004560BB" w:rsidP="00CC0313">
      <w:pPr>
        <w:pStyle w:val="IndentedQuote"/>
        <w:jc w:val="center"/>
        <w:rPr>
          <w:b/>
          <w:sz w:val="32"/>
          <w:szCs w:val="32"/>
        </w:rPr>
      </w:pPr>
      <w:r w:rsidRPr="004560BB">
        <w:rPr>
          <w:b/>
          <w:color w:val="000000"/>
          <w:sz w:val="32"/>
          <w:szCs w:val="32"/>
        </w:rPr>
        <w:t>PREDICTING THE FAILURE OF BANKS IN TH</w:t>
      </w:r>
      <w:r>
        <w:rPr>
          <w:b/>
          <w:color w:val="000000"/>
          <w:sz w:val="32"/>
          <w:szCs w:val="32"/>
        </w:rPr>
        <w:t>E BANKING SECTOR OF THE REPUBLIKA SRPSKA</w:t>
      </w:r>
      <w:r w:rsidRPr="004560BB">
        <w:rPr>
          <w:b/>
          <w:color w:val="000000"/>
          <w:sz w:val="32"/>
          <w:szCs w:val="32"/>
        </w:rPr>
        <w:t xml:space="preserve"> </w:t>
      </w:r>
    </w:p>
    <w:p w:rsidR="00F9552F" w:rsidRDefault="00F9552F" w:rsidP="00F9552F">
      <w:pPr>
        <w:tabs>
          <w:tab w:val="left" w:pos="4860"/>
        </w:tabs>
        <w:autoSpaceDE w:val="0"/>
        <w:autoSpaceDN w:val="0"/>
        <w:adjustRightInd w:val="0"/>
        <w:rPr>
          <w:lang w:val="sr-Latn-BA"/>
        </w:rPr>
      </w:pPr>
    </w:p>
    <w:p w:rsidR="00F9552F" w:rsidRDefault="00F9552F" w:rsidP="00F9552F">
      <w:pPr>
        <w:autoSpaceDE w:val="0"/>
        <w:autoSpaceDN w:val="0"/>
        <w:adjustRightInd w:val="0"/>
        <w:rPr>
          <w:b/>
          <w:i/>
          <w:lang w:val="sr-Latn-BA"/>
        </w:rPr>
      </w:pPr>
      <w:r>
        <w:rPr>
          <w:b/>
          <w:i/>
          <w:lang w:val="sr-Latn-BA"/>
        </w:rPr>
        <w:t xml:space="preserve">Sažetak </w:t>
      </w:r>
    </w:p>
    <w:p w:rsidR="00F9552F" w:rsidRPr="00F9552F" w:rsidRDefault="00F9552F" w:rsidP="008F126B">
      <w:pPr>
        <w:autoSpaceDE w:val="0"/>
        <w:autoSpaceDN w:val="0"/>
        <w:adjustRightInd w:val="0"/>
        <w:ind w:left="720"/>
        <w:rPr>
          <w:i/>
          <w:lang w:val="sr-Latn-BA"/>
        </w:rPr>
      </w:pPr>
      <w:r>
        <w:rPr>
          <w:i/>
          <w:lang w:val="sr-Latn-BA"/>
        </w:rPr>
        <w:t>Usvajanje široke definicije neuspjeha (eng. failure) banaka u vršenju poslovnih aktivnost je omogućilo ocijenu vjerovatnoće neuspjeha banaka u bankarskom sektoru Republike Srpske. Model linearne vjerovatnoće (eng. linear probability model/LPM) je bez greške, ocijenio vjerovatnoću neuspjeha banaka u 2014. godini. LPM je dodatno, i pozitivno, testiran, na prognozi neuspjeha banaka u 2015. godini. Demonstrirana je mogućnost primjene LPM u bankarskoj supeviziji (eng. off site banking supervision). Istraživanje predstavlja prvi korak u izgradnji sistema ranog upozoravanja (eng. early warning system)u bankarskom sektoru Bosne i Hercegovine  na osnovu linearnog modela vjerovatnoće i binomnih modela.</w:t>
      </w:r>
      <w:r w:rsidR="008F126B">
        <w:rPr>
          <w:i/>
          <w:lang w:val="sr-Latn-BA"/>
        </w:rPr>
        <w:tab/>
      </w:r>
      <w:r w:rsidR="008F126B">
        <w:rPr>
          <w:i/>
          <w:lang w:val="sr-Latn-BA"/>
        </w:rPr>
        <w:tab/>
      </w:r>
      <w:r w:rsidR="008F126B">
        <w:rPr>
          <w:i/>
          <w:lang w:val="sr-Latn-BA"/>
        </w:rPr>
        <w:tab/>
      </w:r>
      <w:r w:rsidR="008F126B">
        <w:rPr>
          <w:i/>
          <w:lang w:val="sr-Latn-BA"/>
        </w:rPr>
        <w:tab/>
      </w:r>
      <w:r w:rsidR="008F126B">
        <w:rPr>
          <w:i/>
          <w:lang w:val="sr-Latn-BA"/>
        </w:rPr>
        <w:tab/>
      </w:r>
      <w:r w:rsidR="008F126B">
        <w:rPr>
          <w:i/>
          <w:lang w:val="sr-Latn-BA"/>
        </w:rPr>
        <w:tab/>
      </w:r>
      <w:r w:rsidR="008F126B">
        <w:rPr>
          <w:i/>
          <w:lang w:val="sr-Latn-BA"/>
        </w:rPr>
        <w:tab/>
      </w:r>
      <w:r w:rsidR="008F126B">
        <w:rPr>
          <w:i/>
          <w:lang w:val="sr-Latn-BA"/>
        </w:rPr>
        <w:tab/>
        <w:t xml:space="preserve">                  </w:t>
      </w:r>
      <w:r w:rsidRPr="008F126B">
        <w:rPr>
          <w:b/>
          <w:i/>
          <w:lang w:val="sr-Latn-BA"/>
        </w:rPr>
        <w:t>Ključne riječi</w:t>
      </w:r>
      <w:r w:rsidRPr="00F9552F">
        <w:rPr>
          <w:i/>
          <w:lang w:val="sr-Latn-BA"/>
        </w:rPr>
        <w:t xml:space="preserve">: </w:t>
      </w:r>
      <w:r w:rsidRPr="008F126B">
        <w:rPr>
          <w:i/>
          <w:lang w:val="sr-Latn-BA"/>
        </w:rPr>
        <w:t>neuspjeh, bankrot, model linearne vjerovatnoće, bankarski sektor Bosne i Hercegovine.</w:t>
      </w:r>
      <w:r w:rsidRPr="00F9552F">
        <w:rPr>
          <w:b/>
          <w:i/>
          <w:lang w:val="sr-Latn-BA"/>
        </w:rPr>
        <w:t xml:space="preserve"> </w:t>
      </w:r>
    </w:p>
    <w:p w:rsidR="008F126B" w:rsidRDefault="008F126B" w:rsidP="00F9552F">
      <w:pPr>
        <w:pStyle w:val="BodyText"/>
        <w:rPr>
          <w:b/>
          <w:i/>
        </w:rPr>
      </w:pPr>
    </w:p>
    <w:p w:rsidR="00B31EE0" w:rsidRDefault="00B31EE0" w:rsidP="00F9552F">
      <w:pPr>
        <w:pStyle w:val="BodyText"/>
        <w:rPr>
          <w:b/>
          <w:i/>
        </w:rPr>
      </w:pPr>
    </w:p>
    <w:p w:rsidR="00F9552F" w:rsidRDefault="00F9552F" w:rsidP="00F9552F">
      <w:pPr>
        <w:pStyle w:val="BodyText"/>
        <w:rPr>
          <w:b/>
          <w:i/>
        </w:rPr>
      </w:pPr>
      <w:r>
        <w:rPr>
          <w:b/>
          <w:i/>
        </w:rPr>
        <w:lastRenderedPageBreak/>
        <w:t>Abstract</w:t>
      </w:r>
    </w:p>
    <w:p w:rsidR="00F9552F" w:rsidRPr="008F126B" w:rsidRDefault="00F9552F" w:rsidP="008F126B">
      <w:pPr>
        <w:pStyle w:val="IndentedQuote"/>
        <w:jc w:val="both"/>
        <w:rPr>
          <w:i/>
        </w:rPr>
      </w:pPr>
      <w:r w:rsidRPr="008F126B">
        <w:rPr>
          <w:i/>
        </w:rPr>
        <w:t>Adapting of a very broad definition of banks’ failure in business activities has enabled the estimation of banks’ failure probability in the banking sector of Republika Srpska. Linear probability model</w:t>
      </w:r>
      <w:r w:rsidRPr="008F126B">
        <w:rPr>
          <w:i/>
          <w:lang w:val="sr-Latn-BA"/>
        </w:rPr>
        <w:t>/</w:t>
      </w:r>
      <w:r w:rsidRPr="008F126B">
        <w:rPr>
          <w:i/>
        </w:rPr>
        <w:t>LPM unmistakenly estimated the banks’ failure probability in 2014. Linear probability model was additionally and positively tested on the banks’ failure forecast for 2015. The possibility of the application of LPM in off -site banking supervision was demonstrated. This research represents the first step in an early warning system building in banking sector of Bosnia and Herzegovina  on LPM and binomial models basis.</w:t>
      </w:r>
      <w:r w:rsidR="008F126B">
        <w:rPr>
          <w:i/>
        </w:rPr>
        <w:t xml:space="preserve">                    </w:t>
      </w:r>
      <w:r w:rsidRPr="008F126B">
        <w:rPr>
          <w:b/>
          <w:i/>
        </w:rPr>
        <w:t>Key words</w:t>
      </w:r>
      <w:r w:rsidRPr="008F126B">
        <w:rPr>
          <w:i/>
        </w:rPr>
        <w:t xml:space="preserve">: failure, bankruptcy, linear probability model, banking sector of Republika Srpska, banking sector of Bosnia and Herzegovina. </w:t>
      </w:r>
    </w:p>
    <w:p w:rsidR="00F9552F" w:rsidRDefault="00F9552F" w:rsidP="00F9552F">
      <w:pPr>
        <w:pStyle w:val="BodyText2"/>
        <w:spacing w:after="0" w:line="240" w:lineRule="auto"/>
      </w:pPr>
    </w:p>
    <w:p w:rsidR="00F9552F" w:rsidRDefault="00F9552F" w:rsidP="00F9552F">
      <w:pPr>
        <w:pStyle w:val="BodyText2"/>
        <w:spacing w:after="0" w:line="240" w:lineRule="auto"/>
      </w:pPr>
    </w:p>
    <w:p w:rsidR="00F9552F" w:rsidRDefault="008F126B" w:rsidP="008F126B">
      <w:pPr>
        <w:jc w:val="center"/>
        <w:rPr>
          <w:b/>
          <w:lang/>
        </w:rPr>
      </w:pPr>
      <w:r>
        <w:rPr>
          <w:b/>
          <w:lang w:val="hr-HR"/>
        </w:rPr>
        <w:t>UVOD</w:t>
      </w:r>
    </w:p>
    <w:p w:rsidR="00F9552F" w:rsidRPr="00804BA9" w:rsidRDefault="00F9552F" w:rsidP="00804BA9">
      <w:pPr>
        <w:ind w:firstLine="720"/>
        <w:rPr>
          <w:lang/>
        </w:rPr>
      </w:pPr>
      <w:r>
        <w:t>Iako</w:t>
      </w:r>
      <w:r>
        <w:rPr>
          <w:lang/>
        </w:rPr>
        <w:t xml:space="preserve"> </w:t>
      </w:r>
      <w:r>
        <w:t>se</w:t>
      </w:r>
      <w:r>
        <w:rPr>
          <w:lang/>
        </w:rPr>
        <w:t xml:space="preserve"> </w:t>
      </w:r>
      <w:r>
        <w:t>broj</w:t>
      </w:r>
      <w:r>
        <w:rPr>
          <w:lang/>
        </w:rPr>
        <w:t xml:space="preserve"> </w:t>
      </w:r>
      <w:r>
        <w:t>banaka</w:t>
      </w:r>
      <w:r>
        <w:rPr>
          <w:lang/>
        </w:rPr>
        <w:t xml:space="preserve"> </w:t>
      </w:r>
      <w:r>
        <w:t>u</w:t>
      </w:r>
      <w:r>
        <w:rPr>
          <w:lang/>
        </w:rPr>
        <w:t xml:space="preserve"> </w:t>
      </w:r>
      <w:r>
        <w:t>B</w:t>
      </w:r>
      <w:r w:rsidR="00272307">
        <w:t>osni</w:t>
      </w:r>
      <w:r w:rsidR="00272307" w:rsidRPr="00272307">
        <w:rPr>
          <w:lang/>
        </w:rPr>
        <w:t xml:space="preserve"> </w:t>
      </w:r>
      <w:r w:rsidR="00272307">
        <w:t>i</w:t>
      </w:r>
      <w:r w:rsidR="00272307" w:rsidRPr="00272307">
        <w:rPr>
          <w:lang/>
        </w:rPr>
        <w:t xml:space="preserve"> </w:t>
      </w:r>
      <w:r w:rsidR="00272307">
        <w:t>Herceovini</w:t>
      </w:r>
      <w:r>
        <w:rPr>
          <w:lang/>
        </w:rPr>
        <w:t xml:space="preserve"> </w:t>
      </w:r>
      <w:r>
        <w:t>zna</w:t>
      </w:r>
      <w:r>
        <w:rPr>
          <w:lang/>
        </w:rPr>
        <w:t>č</w:t>
      </w:r>
      <w:r>
        <w:t>ajno</w:t>
      </w:r>
      <w:r>
        <w:rPr>
          <w:lang/>
        </w:rPr>
        <w:t xml:space="preserve"> </w:t>
      </w:r>
      <w:r>
        <w:t>smanjio</w:t>
      </w:r>
      <w:r>
        <w:rPr>
          <w:lang/>
        </w:rPr>
        <w:t xml:space="preserve"> </w:t>
      </w:r>
      <w:r>
        <w:t>kvantifikacija</w:t>
      </w:r>
      <w:r>
        <w:rPr>
          <w:lang/>
        </w:rPr>
        <w:t xml:space="preserve"> </w:t>
      </w:r>
      <w:r>
        <w:t>vjerovatno</w:t>
      </w:r>
      <w:r>
        <w:rPr>
          <w:lang/>
        </w:rPr>
        <w:t>ć</w:t>
      </w:r>
      <w:r>
        <w:t>e</w:t>
      </w:r>
      <w:r>
        <w:rPr>
          <w:lang/>
        </w:rPr>
        <w:t xml:space="preserve"> </w:t>
      </w:r>
      <w:r>
        <w:t>neuspjeha</w:t>
      </w:r>
      <w:r>
        <w:rPr>
          <w:lang/>
        </w:rPr>
        <w:t>/</w:t>
      </w:r>
      <w:r>
        <w:t>bankrota</w:t>
      </w:r>
      <w:r>
        <w:rPr>
          <w:lang/>
        </w:rPr>
        <w:t>/</w:t>
      </w:r>
      <w:r>
        <w:t>izlaska</w:t>
      </w:r>
      <w:r>
        <w:rPr>
          <w:lang/>
        </w:rPr>
        <w:t xml:space="preserve"> banaka </w:t>
      </w:r>
      <w:r>
        <w:t>iz</w:t>
      </w:r>
      <w:r>
        <w:rPr>
          <w:lang/>
        </w:rPr>
        <w:t xml:space="preserve"> </w:t>
      </w:r>
      <w:r>
        <w:t>bankarskog</w:t>
      </w:r>
      <w:r>
        <w:rPr>
          <w:lang/>
        </w:rPr>
        <w:t xml:space="preserve"> </w:t>
      </w:r>
      <w:r>
        <w:t>sistema</w:t>
      </w:r>
      <w:r>
        <w:rPr>
          <w:lang/>
        </w:rPr>
        <w:t xml:space="preserve"> </w:t>
      </w:r>
      <w:r>
        <w:t>i</w:t>
      </w:r>
      <w:r>
        <w:rPr>
          <w:lang/>
        </w:rPr>
        <w:t xml:space="preserve"> </w:t>
      </w:r>
      <w:r>
        <w:t>povezivanje</w:t>
      </w:r>
      <w:r>
        <w:rPr>
          <w:lang/>
        </w:rPr>
        <w:t xml:space="preserve"> </w:t>
      </w:r>
      <w:r>
        <w:t>ekonometrijskih</w:t>
      </w:r>
      <w:r>
        <w:rPr>
          <w:lang/>
        </w:rPr>
        <w:t xml:space="preserve"> </w:t>
      </w:r>
      <w:r>
        <w:t>modela</w:t>
      </w:r>
      <w:r>
        <w:rPr>
          <w:lang/>
        </w:rPr>
        <w:t xml:space="preserve"> </w:t>
      </w:r>
      <w:r>
        <w:t>sa</w:t>
      </w:r>
      <w:r>
        <w:rPr>
          <w:lang/>
        </w:rPr>
        <w:t xml:space="preserve"> </w:t>
      </w:r>
      <w:r>
        <w:t>vjerovatno</w:t>
      </w:r>
      <w:r>
        <w:rPr>
          <w:lang/>
        </w:rPr>
        <w:t>ć</w:t>
      </w:r>
      <w:r>
        <w:t>om</w:t>
      </w:r>
      <w:r>
        <w:rPr>
          <w:lang/>
        </w:rPr>
        <w:t xml:space="preserve"> </w:t>
      </w:r>
      <w:r>
        <w:t>neuspjeha</w:t>
      </w:r>
      <w:r>
        <w:rPr>
          <w:lang/>
        </w:rPr>
        <w:t xml:space="preserve"> </w:t>
      </w:r>
      <w:r>
        <w:t>do</w:t>
      </w:r>
      <w:r>
        <w:rPr>
          <w:lang/>
        </w:rPr>
        <w:t xml:space="preserve"> </w:t>
      </w:r>
      <w:r>
        <w:t>sada</w:t>
      </w:r>
      <w:r>
        <w:rPr>
          <w:lang/>
        </w:rPr>
        <w:t xml:space="preserve"> </w:t>
      </w:r>
      <w:r>
        <w:t>je</w:t>
      </w:r>
      <w:r>
        <w:rPr>
          <w:lang/>
        </w:rPr>
        <w:t xml:space="preserve"> </w:t>
      </w:r>
      <w:r>
        <w:t>izostalo</w:t>
      </w:r>
      <w:r>
        <w:rPr>
          <w:lang/>
        </w:rPr>
        <w:t xml:space="preserve">. </w:t>
      </w:r>
      <w:r w:rsidR="00FB451C">
        <w:rPr>
          <w:lang w:val="hr-HR"/>
        </w:rPr>
        <w:tab/>
      </w:r>
      <w:r w:rsidR="00FB451C">
        <w:rPr>
          <w:lang w:val="hr-HR"/>
        </w:rPr>
        <w:tab/>
      </w:r>
      <w:r w:rsidR="00FB451C">
        <w:rPr>
          <w:lang w:val="hr-HR"/>
        </w:rPr>
        <w:tab/>
      </w:r>
      <w:r w:rsidR="00FB451C">
        <w:rPr>
          <w:lang w:val="hr-HR"/>
        </w:rPr>
        <w:tab/>
      </w:r>
      <w:r w:rsidRPr="00FB451C">
        <w:rPr>
          <w:lang w:val="hr-HR"/>
        </w:rPr>
        <w:t>Na</w:t>
      </w:r>
      <w:r>
        <w:rPr>
          <w:lang/>
        </w:rPr>
        <w:t xml:space="preserve"> </w:t>
      </w:r>
      <w:r w:rsidRPr="00FB451C">
        <w:rPr>
          <w:lang w:val="hr-HR"/>
        </w:rPr>
        <w:t>po</w:t>
      </w:r>
      <w:r>
        <w:rPr>
          <w:lang w:val="sr-Latn-BA"/>
        </w:rPr>
        <w:t>četku izgradnje tržišno-orijentisanog bankarskog sistema (1999.) u bankarskom sektoru Bosne Hercegovine (BSBiH) je bilo 55 banaka, Danas, na kraju Q2 2015. godine, u BSBiH je ukupno 26 banaka, od čega je 9 banaka u bankarskom sektoru Republike Srpske (BSRS, banke sa sjedištem u R</w:t>
      </w:r>
      <w:r w:rsidR="00CD5DCB">
        <w:rPr>
          <w:lang w:val="sr-Latn-BA"/>
        </w:rPr>
        <w:t>S</w:t>
      </w:r>
      <w:r>
        <w:rPr>
          <w:lang w:val="sr-Latn-BA"/>
        </w:rPr>
        <w:t>). Od Q1 2002. godine do Q4 2014. u BSBiH 12 banaka je izgubilo dozvolu za rad, 17 banaka je pripojeno, a jedna banka je nacionalizovana.</w:t>
      </w:r>
      <w:r>
        <w:rPr>
          <w:lang/>
        </w:rPr>
        <w:t xml:space="preserve"> </w:t>
      </w:r>
      <w:r>
        <w:rPr>
          <w:lang w:val="sr-Latn-BA"/>
        </w:rPr>
        <w:t>U BSRS 2000. godine je bilo 18 banaka, a u Q3 2015. ih je 9</w:t>
      </w:r>
      <w:r>
        <w:rPr>
          <w:rStyle w:val="FootnoteReference"/>
          <w:lang w:val="sr-Latn-BA"/>
        </w:rPr>
        <w:footnoteReference w:id="2"/>
      </w:r>
      <w:r>
        <w:rPr>
          <w:lang w:val="sr-Latn-BA"/>
        </w:rPr>
        <w:t xml:space="preserve">. </w:t>
      </w:r>
      <w:r w:rsidR="00FB451C">
        <w:rPr>
          <w:lang w:val="hr-HR"/>
        </w:rPr>
        <w:tab/>
      </w:r>
      <w:r w:rsidR="00FB451C">
        <w:rPr>
          <w:lang w:val="hr-HR"/>
        </w:rPr>
        <w:tab/>
      </w:r>
      <w:r w:rsidR="00FB451C">
        <w:rPr>
          <w:lang w:val="hr-HR"/>
        </w:rPr>
        <w:tab/>
      </w:r>
      <w:r>
        <w:rPr>
          <w:lang w:val="sr-Latn-BA"/>
        </w:rPr>
        <w:t xml:space="preserve">Predmet istraživanja je vjerovatnoća neuspjeha/bankrota banaka u BSRS (eng. failure), a cilj je predviđanje bankrota neuspjeha banaka u BSRS. Analiza je ograničena na period od 2013. godine do 2015. godine, zbog intenziteta neuspjeha u ovome periodu, kao i zbog nedostupnosti podataka o bankama na kvartalnom nivou. </w:t>
      </w:r>
      <w:r w:rsidR="00FB451C">
        <w:rPr>
          <w:lang w:val="hr-HR"/>
        </w:rPr>
        <w:tab/>
      </w:r>
      <w:r w:rsidR="00FB451C">
        <w:rPr>
          <w:lang w:val="hr-HR"/>
        </w:rPr>
        <w:tab/>
      </w:r>
      <w:r w:rsidR="00FB451C">
        <w:rPr>
          <w:lang w:val="hr-HR"/>
        </w:rPr>
        <w:tab/>
      </w:r>
      <w:r>
        <w:rPr>
          <w:lang w:val="sr-Latn-BA"/>
        </w:rPr>
        <w:t xml:space="preserve">U istraživanju se pojmovi neuspjeh (eng. </w:t>
      </w:r>
      <w:r w:rsidRPr="00804BA9">
        <w:rPr>
          <w:i/>
          <w:lang w:val="sr-Latn-BA"/>
        </w:rPr>
        <w:t>failure</w:t>
      </w:r>
      <w:r>
        <w:rPr>
          <w:lang w:val="sr-Latn-BA"/>
        </w:rPr>
        <w:t xml:space="preserve">) i bankrot (eng. </w:t>
      </w:r>
      <w:r w:rsidRPr="00804BA9">
        <w:rPr>
          <w:i/>
          <w:lang w:val="sr-Latn-BA"/>
        </w:rPr>
        <w:t>bankrupt</w:t>
      </w:r>
      <w:r>
        <w:rPr>
          <w:lang w:val="sr-Latn-BA"/>
        </w:rPr>
        <w:t xml:space="preserve">) koriste kao sinonimi, mada je pojam neuspjeha mnogo širi od pojma bankrota. Nije svaki neuspjeh bankrot, ali svaki bankrot jeste neuspjeh. Odrednicu „neuspjeh“ izabrali smo upravo radi njene širine, a zbog činjenice da u BSRS nije bilo učestalih bankrota, u klasičnom smislu te riječi. Da smo istraživanje sveli na predviđanje bankrota, njihov mali broj, bi ili onemogućio primjenu odabrane statističke metodologije, ili bi konstruisani model imao lošije prediktivne karakteristike, od onoga koji je konstruisan na osnovu neuspjeha. Analiza neuspjeha banaka, i definicija koju smo za nju usvojili (data je u nastavku istraživanja), omogućila je da u uzorak bankrotiranih tj. neuspjelih, banaka, uđe mnogo veći broj banaka, te da se na taj način značajno poboljšaju karakteristike konstruisanih modela za predviđanje bankrota banaka. </w:t>
      </w:r>
      <w:r w:rsidR="00FB451C">
        <w:rPr>
          <w:lang w:val="hr-HR"/>
        </w:rPr>
        <w:tab/>
      </w:r>
      <w:r w:rsidR="00FB451C">
        <w:rPr>
          <w:lang w:val="hr-HR"/>
        </w:rPr>
        <w:tab/>
      </w:r>
      <w:r w:rsidR="00FB451C">
        <w:rPr>
          <w:lang w:val="hr-HR"/>
        </w:rPr>
        <w:tab/>
      </w:r>
      <w:r w:rsidR="00FB451C">
        <w:rPr>
          <w:lang w:val="hr-HR"/>
        </w:rPr>
        <w:tab/>
      </w:r>
      <w:r w:rsidRPr="00FB451C">
        <w:rPr>
          <w:lang w:val="hr-HR"/>
        </w:rPr>
        <w:t>I</w:t>
      </w:r>
      <w:r>
        <w:rPr>
          <w:lang w:val="sr-Latn-BA"/>
        </w:rPr>
        <w:t xml:space="preserve">straživanje je pionirskog karaktera jer su se prethodna istraživanja karakteristika loših banaka zasnivala samo na opisu njihovih bilansnih karakteristika. Takođe ni organi bankarske supervizije nisu razvili model za kvantifikaciju vjerovatnoće neuspjeh banak, već su se zadržali na ispitivanju performansi banaka pomoću CAMEL analizu (eng. </w:t>
      </w:r>
      <w:r w:rsidRPr="00804BA9">
        <w:rPr>
          <w:i/>
          <w:lang w:val="sr-Latn-BA"/>
        </w:rPr>
        <w:lastRenderedPageBreak/>
        <w:t>capital</w:t>
      </w:r>
      <w:r>
        <w:rPr>
          <w:lang w:val="sr-Latn-BA"/>
        </w:rPr>
        <w:t xml:space="preserve">, </w:t>
      </w:r>
      <w:r w:rsidRPr="00804BA9">
        <w:rPr>
          <w:i/>
          <w:lang w:val="sr-Latn-BA"/>
        </w:rPr>
        <w:t>asset</w:t>
      </w:r>
      <w:r>
        <w:rPr>
          <w:lang w:val="sr-Latn-BA"/>
        </w:rPr>
        <w:t xml:space="preserve">, </w:t>
      </w:r>
      <w:r w:rsidRPr="00804BA9">
        <w:rPr>
          <w:i/>
          <w:lang w:val="sr-Latn-BA"/>
        </w:rPr>
        <w:t>management</w:t>
      </w:r>
      <w:r>
        <w:rPr>
          <w:lang w:val="sr-Latn-BA"/>
        </w:rPr>
        <w:t xml:space="preserve">, </w:t>
      </w:r>
      <w:r w:rsidRPr="00804BA9">
        <w:rPr>
          <w:i/>
          <w:lang w:val="sr-Latn-BA"/>
        </w:rPr>
        <w:t>equity</w:t>
      </w:r>
      <w:r>
        <w:rPr>
          <w:lang w:val="sr-Latn-BA"/>
        </w:rPr>
        <w:t xml:space="preserve">, </w:t>
      </w:r>
      <w:r w:rsidRPr="00804BA9">
        <w:rPr>
          <w:i/>
          <w:lang w:val="sr-Latn-BA"/>
        </w:rPr>
        <w:t>liquidity</w:t>
      </w:r>
      <w:r>
        <w:rPr>
          <w:lang w:val="sr-Latn-BA"/>
        </w:rPr>
        <w:t>) analize i rangiranju banaka na osnovu finansijskih indikatora.</w:t>
      </w:r>
      <w:r w:rsidR="00804BA9">
        <w:rPr>
          <w:lang w:val="hr-HR"/>
        </w:rPr>
        <w:tab/>
      </w:r>
      <w:r w:rsidR="00804BA9">
        <w:rPr>
          <w:lang w:val="hr-HR"/>
        </w:rPr>
        <w:tab/>
      </w:r>
      <w:r w:rsidR="00804BA9">
        <w:rPr>
          <w:lang w:val="hr-HR"/>
        </w:rPr>
        <w:tab/>
      </w:r>
      <w:r w:rsidR="00804BA9">
        <w:rPr>
          <w:lang w:val="hr-HR"/>
        </w:rPr>
        <w:tab/>
      </w:r>
      <w:r w:rsidR="00804BA9">
        <w:rPr>
          <w:lang w:val="hr-HR"/>
        </w:rPr>
        <w:tab/>
      </w:r>
      <w:r w:rsidR="00804BA9">
        <w:rPr>
          <w:lang w:val="hr-HR"/>
        </w:rPr>
        <w:tab/>
      </w:r>
      <w:r w:rsidR="00804BA9">
        <w:rPr>
          <w:lang w:val="hr-HR"/>
        </w:rPr>
        <w:tab/>
      </w:r>
      <w:r w:rsidR="00804BA9">
        <w:rPr>
          <w:lang w:val="hr-HR"/>
        </w:rPr>
        <w:tab/>
      </w:r>
      <w:r w:rsidR="00804BA9">
        <w:rPr>
          <w:lang w:val="hr-HR"/>
        </w:rPr>
        <w:tab/>
      </w:r>
      <w:r>
        <w:rPr>
          <w:lang w:val="sr-Latn-BA"/>
        </w:rPr>
        <w:t xml:space="preserve">U prvom djelu rada dat je literarni pregled, a potom sljede; materijali i metode, rezultati i diskusija, zaključna razmatranja i reference. </w:t>
      </w:r>
    </w:p>
    <w:p w:rsidR="00F9552F" w:rsidRDefault="00F9552F" w:rsidP="00F9552F">
      <w:pPr>
        <w:rPr>
          <w:b/>
          <w:lang/>
        </w:rPr>
      </w:pPr>
      <w:r>
        <w:rPr>
          <w:b/>
          <w:lang/>
        </w:rPr>
        <w:t>Literarni pregled</w:t>
      </w:r>
    </w:p>
    <w:p w:rsidR="00F9552F" w:rsidRDefault="00F9552F" w:rsidP="00D91956">
      <w:pPr>
        <w:ind w:firstLine="720"/>
        <w:rPr>
          <w:lang/>
        </w:rPr>
      </w:pPr>
      <w:r>
        <w:rPr>
          <w:lang/>
        </w:rPr>
        <w:t xml:space="preserve">Domaća istraživanja na temu neuspjeha i/ili bankrota banaka su vrlo rijetka, a i pretežno su kvalitativne, a ne kvantitativne prirode. Jedan od prvih radova te vrste, [Jović, 2013:30], dovodi u vezu odredbe Bazela II i hroničnu podkapitalizovanosti jedne domaće banke (kapital pao na nula), pri čemu brani tezu, da je bankarska supervizija bila vidljivo suzdržana, i da nije preduzimala preventivne (lat. </w:t>
      </w:r>
      <w:r w:rsidRPr="001154EE">
        <w:rPr>
          <w:i/>
          <w:lang/>
        </w:rPr>
        <w:t>ex ante</w:t>
      </w:r>
      <w:r>
        <w:rPr>
          <w:lang/>
        </w:rPr>
        <w:t xml:space="preserve">) radnje za otklanjanje podkapitalizovanosti banke, već da se orijentisala na naknadne (lat. </w:t>
      </w:r>
      <w:r w:rsidRPr="001154EE">
        <w:rPr>
          <w:i/>
          <w:lang/>
        </w:rPr>
        <w:t>ex post</w:t>
      </w:r>
      <w:r>
        <w:rPr>
          <w:lang/>
        </w:rPr>
        <w:t>) konstato</w:t>
      </w:r>
      <w:r w:rsidR="00D91956">
        <w:rPr>
          <w:lang/>
        </w:rPr>
        <w:t>vanje podkapitalizovanosti bank</w:t>
      </w:r>
      <w:r w:rsidR="00D91956">
        <w:rPr>
          <w:lang w:val="hr-HR"/>
        </w:rPr>
        <w:t>.</w:t>
      </w:r>
      <w:r>
        <w:rPr>
          <w:rStyle w:val="FootnoteReference"/>
          <w:lang/>
        </w:rPr>
        <w:footnoteReference w:id="3"/>
      </w:r>
      <w:r w:rsidR="00D91956">
        <w:rPr>
          <w:lang w:val="hr-HR"/>
        </w:rPr>
        <w:t xml:space="preserve"> </w:t>
      </w:r>
      <w:r>
        <w:rPr>
          <w:lang/>
        </w:rPr>
        <w:t>U istraživanju je izolovano nekoliko indikatora, na osnovu kojih se sa velikim stepenom pouzdanosti mogao predvidjeti neuspjeh/bankrot banke. Glavni nalaz istraživanja je da je poslovni model banke „</w:t>
      </w:r>
      <w:r>
        <w:t>bio</w:t>
      </w:r>
      <w:r>
        <w:rPr>
          <w:lang w:val="sr-Latn-BA"/>
        </w:rPr>
        <w:t xml:space="preserve"> </w:t>
      </w:r>
      <w:r>
        <w:t>suvi</w:t>
      </w:r>
      <w:r>
        <w:rPr>
          <w:lang w:val="sr-Latn-BA"/>
        </w:rPr>
        <w:t>š</w:t>
      </w:r>
      <w:r>
        <w:t>e</w:t>
      </w:r>
      <w:r>
        <w:rPr>
          <w:lang w:val="sr-Latn-BA"/>
        </w:rPr>
        <w:t xml:space="preserve"> </w:t>
      </w:r>
      <w:r>
        <w:t>jedinstven</w:t>
      </w:r>
      <w:r>
        <w:rPr>
          <w:lang w:val="sr-Latn-BA"/>
        </w:rPr>
        <w:t xml:space="preserve"> </w:t>
      </w:r>
      <w:r>
        <w:t>i</w:t>
      </w:r>
      <w:r>
        <w:rPr>
          <w:lang w:val="sr-Latn-BA"/>
        </w:rPr>
        <w:t xml:space="preserve"> </w:t>
      </w:r>
      <w:r>
        <w:t>poseban</w:t>
      </w:r>
      <w:r>
        <w:rPr>
          <w:lang w:val="sr-Latn-BA"/>
        </w:rPr>
        <w:t xml:space="preserve">, </w:t>
      </w:r>
      <w:r>
        <w:t>da</w:t>
      </w:r>
      <w:r>
        <w:rPr>
          <w:lang w:val="sr-Latn-BA"/>
        </w:rPr>
        <w:t xml:space="preserve"> </w:t>
      </w:r>
      <w:r>
        <w:t>bi</w:t>
      </w:r>
      <w:r>
        <w:rPr>
          <w:lang w:val="sr-Latn-BA"/>
        </w:rPr>
        <w:t xml:space="preserve"> </w:t>
      </w:r>
      <w:r>
        <w:t>ostao</w:t>
      </w:r>
      <w:r>
        <w:rPr>
          <w:lang w:val="sr-Latn-BA"/>
        </w:rPr>
        <w:t xml:space="preserve"> </w:t>
      </w:r>
      <w:r>
        <w:t>neprimje</w:t>
      </w:r>
      <w:r>
        <w:rPr>
          <w:lang w:val="sr-Latn-BA"/>
        </w:rPr>
        <w:t>ć</w:t>
      </w:r>
      <w:r>
        <w:t>en</w:t>
      </w:r>
      <w:r>
        <w:rPr>
          <w:lang w:val="sr-Latn-BA"/>
        </w:rPr>
        <w:t xml:space="preserve">, </w:t>
      </w:r>
      <w:r>
        <w:t>makar</w:t>
      </w:r>
      <w:r>
        <w:rPr>
          <w:lang w:val="sr-Latn-BA"/>
        </w:rPr>
        <w:t xml:space="preserve"> </w:t>
      </w:r>
      <w:r>
        <w:t>bio</w:t>
      </w:r>
      <w:r>
        <w:rPr>
          <w:lang w:val="sr-Latn-BA"/>
        </w:rPr>
        <w:t xml:space="preserve"> </w:t>
      </w:r>
      <w:r>
        <w:t>podvrgnut</w:t>
      </w:r>
      <w:r>
        <w:rPr>
          <w:lang w:val="sr-Latn-BA"/>
        </w:rPr>
        <w:t xml:space="preserve"> </w:t>
      </w:r>
      <w:r>
        <w:t>i</w:t>
      </w:r>
      <w:r>
        <w:rPr>
          <w:lang w:val="sr-Latn-BA"/>
        </w:rPr>
        <w:t xml:space="preserve"> </w:t>
      </w:r>
      <w:r>
        <w:t>gruboj</w:t>
      </w:r>
      <w:r>
        <w:rPr>
          <w:lang w:val="sr-Latn-BA"/>
        </w:rPr>
        <w:t xml:space="preserve">, </w:t>
      </w:r>
      <w:r>
        <w:t>na</w:t>
      </w:r>
      <w:r>
        <w:rPr>
          <w:lang w:val="sr-Latn-BA"/>
        </w:rPr>
        <w:t xml:space="preserve"> </w:t>
      </w:r>
      <w:r>
        <w:t>osnovu</w:t>
      </w:r>
      <w:r>
        <w:rPr>
          <w:lang w:val="sr-Latn-BA"/>
        </w:rPr>
        <w:t xml:space="preserve"> </w:t>
      </w:r>
      <w:r>
        <w:t>indikatora</w:t>
      </w:r>
      <w:r>
        <w:rPr>
          <w:lang w:val="sr-Latn-BA"/>
        </w:rPr>
        <w:t xml:space="preserve"> </w:t>
      </w:r>
      <w:r>
        <w:t>performansi</w:t>
      </w:r>
      <w:r>
        <w:rPr>
          <w:lang w:val="sr-Latn-BA"/>
        </w:rPr>
        <w:t xml:space="preserve">, </w:t>
      </w:r>
      <w:r>
        <w:t>analizi</w:t>
      </w:r>
      <w:r>
        <w:rPr>
          <w:lang/>
        </w:rPr>
        <w:t>“. Sekvenca u praćenju traga pogoršavanja performansi banke je vrlo jednostavna. Loši krediti zahtjevaju visoke troškove rezervisanja, koji obaraju profitabilnost banke i smanjuju likvidnost banke. Da bi održala likvidnost banka mora povećati pasivne kamatne stope, što vodi ka rastu aktivnih kamatnih stopa, sa efektima na rast neto kamatne margine i rast koeficijenta obrta aktive. Istraživanje je identifikovalo neto kamatnu marginu, pasivne kamatne stope i koeficijent obrta aktive kao glavne varijable koje su pozitivno korelisane sa bankrotom b</w:t>
      </w:r>
      <w:r w:rsidR="00D91956">
        <w:rPr>
          <w:lang/>
        </w:rPr>
        <w:t xml:space="preserve">anke. </w:t>
      </w:r>
      <w:r w:rsidR="00D91956">
        <w:rPr>
          <w:lang w:val="hr-HR"/>
        </w:rPr>
        <w:tab/>
      </w:r>
      <w:r w:rsidR="00D91956">
        <w:rPr>
          <w:lang w:val="hr-HR"/>
        </w:rPr>
        <w:tab/>
      </w:r>
      <w:r>
        <w:rPr>
          <w:lang/>
        </w:rPr>
        <w:t>Drugo istraživanje [Srdić, 2015:13] na temu bankrota jedne druge domaće banke</w:t>
      </w:r>
      <w:r>
        <w:rPr>
          <w:rStyle w:val="FootnoteReference"/>
          <w:lang/>
        </w:rPr>
        <w:footnoteReference w:id="4"/>
      </w:r>
      <w:r>
        <w:rPr>
          <w:lang/>
        </w:rPr>
        <w:t>, takođe identifikuje slične uzroke bankrota banaka. Banke koje izlaze iz sistema radi održavanja postojećeg, i akvizicije novog depozitnog potencijala, imaju iznadprosječno visoke pasivne kamatne stope, koje utiču na rast aktivnih kamatnih stopa. Nadprosječno visoke kamatne stope na kredite stvaraju iluziju izuzetno visoke efikasnosti u korištenju aktive, mjereno odnosom ukupnih prihoda i ukupne aktive. Kako poslovna strategija visokih pasivnih kamatnih stopa ne doprinosi održavanju i rastu depozitnog potencijala ove banke povećavaju udjel javnih budžetskih sredstava u ukupnom kvantumu depozita, što je njihova dod</w:t>
      </w:r>
      <w:r w:rsidR="00D91956">
        <w:rPr>
          <w:lang/>
        </w:rPr>
        <w:t xml:space="preserve">atna i markantna specifičnost. </w:t>
      </w:r>
      <w:r w:rsidR="00D91956">
        <w:rPr>
          <w:lang w:val="hr-HR"/>
        </w:rPr>
        <w:tab/>
      </w:r>
      <w:r w:rsidR="00D91956">
        <w:rPr>
          <w:lang w:val="hr-HR"/>
        </w:rPr>
        <w:tab/>
      </w:r>
      <w:r w:rsidR="00D91956">
        <w:rPr>
          <w:lang w:val="hr-HR"/>
        </w:rPr>
        <w:tab/>
      </w:r>
      <w:r w:rsidR="00D91956">
        <w:rPr>
          <w:lang w:val="hr-HR"/>
        </w:rPr>
        <w:tab/>
      </w:r>
      <w:r w:rsidR="00D91956">
        <w:rPr>
          <w:lang w:val="hr-HR"/>
        </w:rPr>
        <w:tab/>
      </w:r>
      <w:r>
        <w:rPr>
          <w:lang/>
        </w:rPr>
        <w:t>Istraživanja na temu bankrota banaka u stranim bankarskim sektorima, su bazirana na vrlo raznovrsnim metodologijama</w:t>
      </w:r>
      <w:r>
        <w:rPr>
          <w:lang w:val="sr-Latn-BA"/>
        </w:rPr>
        <w:t xml:space="preserve">. Vilen </w:t>
      </w:r>
      <w:r>
        <w:rPr>
          <w:lang/>
        </w:rPr>
        <w:t>[</w:t>
      </w:r>
      <w:r>
        <w:rPr>
          <w:lang w:val="sr-Latn-BA"/>
        </w:rPr>
        <w:t>2010</w:t>
      </w:r>
      <w:r>
        <w:rPr>
          <w:lang/>
        </w:rPr>
        <w:t xml:space="preserve">] </w:t>
      </w:r>
      <w:r>
        <w:rPr>
          <w:lang w:val="sr-Latn-BA"/>
        </w:rPr>
        <w:t xml:space="preserve">prognozira bankrot velikih američkih banaka na bazi logit metodologije (eng. logistic regression model). Mayes i Stremmel </w:t>
      </w:r>
      <w:r>
        <w:rPr>
          <w:lang/>
        </w:rPr>
        <w:t>[</w:t>
      </w:r>
      <w:r>
        <w:rPr>
          <w:lang w:val="sr-Latn-BA"/>
        </w:rPr>
        <w:t>2012</w:t>
      </w:r>
      <w:r>
        <w:rPr>
          <w:lang/>
        </w:rPr>
        <w:t>]</w:t>
      </w:r>
      <w:r>
        <w:rPr>
          <w:lang w:val="sr-Latn-BA"/>
        </w:rPr>
        <w:t xml:space="preserve"> takođe na uzorku američkih banaka, za period 1992 – 2012. godine koriste logit metodologiju, ali i vremensku analizu diskretnog opstanka (eng. discrete survival time analysis). Tatom </w:t>
      </w:r>
      <w:r>
        <w:rPr>
          <w:lang/>
        </w:rPr>
        <w:t>[</w:t>
      </w:r>
      <w:r>
        <w:rPr>
          <w:lang w:val="sr-Latn-BA"/>
        </w:rPr>
        <w:t>2012</w:t>
      </w:r>
      <w:r>
        <w:rPr>
          <w:lang/>
        </w:rPr>
        <w:t>]</w:t>
      </w:r>
      <w:r>
        <w:rPr>
          <w:lang w:val="sr-Latn-BA"/>
        </w:rPr>
        <w:t xml:space="preserve"> na osnovu CAMEL analize i makrovarijabli SAD modelira bankrot američkih banaka. Indirektno, na osnovu potrebe za spajanjem banaka, Liu </w:t>
      </w:r>
      <w:r>
        <w:rPr>
          <w:lang/>
        </w:rPr>
        <w:t>[</w:t>
      </w:r>
      <w:r>
        <w:rPr>
          <w:lang w:val="sr-Latn-BA"/>
        </w:rPr>
        <w:t>2010:13</w:t>
      </w:r>
      <w:r>
        <w:rPr>
          <w:lang/>
        </w:rPr>
        <w:t>] na metodološkim osnovama panel analize i logit regresije prognozira sklonost ka bankrotu i spajanju tajlandskih banaka. Rebel i Qiongbing [</w:t>
      </w:r>
      <w:r>
        <w:rPr>
          <w:lang w:val="sr-Latn-BA"/>
        </w:rPr>
        <w:t>2009</w:t>
      </w:r>
      <w:r>
        <w:rPr>
          <w:lang/>
        </w:rPr>
        <w:t>] analiziraju prednosti i nedostatke probit regresionog modela i hazardnog modela u predviđanju finansijske krize i masovnom pomoru banaka. Shen i Hseih [</w:t>
      </w:r>
      <w:r>
        <w:rPr>
          <w:lang w:val="sr-Latn-BA"/>
        </w:rPr>
        <w:t>2004</w:t>
      </w:r>
      <w:r>
        <w:rPr>
          <w:lang/>
        </w:rPr>
        <w:t xml:space="preserve">] kombinuju mikro i </w:t>
      </w:r>
      <w:r>
        <w:rPr>
          <w:lang/>
        </w:rPr>
        <w:lastRenderedPageBreak/>
        <w:t>makro varijable da bi izgradili sistem ranog upozoravanja, i modeliraju bankrot banaka tokom kriznog perioda u azijskim bankama, ili preciznije u indonezijskim, malezijskim, tajlandskim, korejanskim i filipinskim bankama. Upotrebom višestruke diskriminatorne analize (eng. multiple discriminant analysis) Olaniya [</w:t>
      </w:r>
      <w:r>
        <w:rPr>
          <w:lang w:val="sr-Latn-BA"/>
        </w:rPr>
        <w:t>2006:105</w:t>
      </w:r>
      <w:r>
        <w:rPr>
          <w:lang/>
        </w:rPr>
        <w:t>] mjeri vjerovatnoću bankrota nigerijskih banaka, a Arabi [</w:t>
      </w:r>
      <w:r>
        <w:rPr>
          <w:lang w:val="sr-Latn-BA"/>
        </w:rPr>
        <w:t>2013:160</w:t>
      </w:r>
      <w:r>
        <w:rPr>
          <w:lang/>
        </w:rPr>
        <w:t>] to isto čini za bankarski sektor Sudana, ali pored diskriminatorne analize (eng. discrimant analysis) koristi i logit regresioni model. Grupa turskih autora, Unvan i Tatlidil [</w:t>
      </w:r>
      <w:r>
        <w:rPr>
          <w:lang w:val="sr-Latn-BA"/>
        </w:rPr>
        <w:t>2013:281</w:t>
      </w:r>
      <w:r>
        <w:rPr>
          <w:lang/>
        </w:rPr>
        <w:t xml:space="preserve">] koristi čak tri metodologije, logit regresioni model, probit regresioni model i diskriminatornu analizu da bi sačinila uporedni prikaz vjerovatnoće bankrota turskih banaka. </w:t>
      </w:r>
    </w:p>
    <w:p w:rsidR="00F9552F" w:rsidRDefault="00F9552F" w:rsidP="00F9552F">
      <w:pPr>
        <w:rPr>
          <w:b/>
          <w:lang w:val="sr-Latn-BA"/>
        </w:rPr>
      </w:pPr>
      <w:r>
        <w:rPr>
          <w:b/>
          <w:lang/>
        </w:rPr>
        <w:t>Materijal i metode</w:t>
      </w:r>
    </w:p>
    <w:p w:rsidR="00F9552F" w:rsidRDefault="00F9552F" w:rsidP="00F9552F">
      <w:pPr>
        <w:ind w:firstLine="720"/>
        <w:rPr>
          <w:lang w:val="sr-Latn-BA"/>
        </w:rPr>
      </w:pPr>
      <w:r>
        <w:rPr>
          <w:lang w:val="sr-Latn-BA"/>
        </w:rPr>
        <w:t>Informacionu podlogu istraživanja čine skraćeni revizorski izvještaju banaka za 2013. godinu i za 2014. godinu</w:t>
      </w:r>
      <w:r>
        <w:rPr>
          <w:rStyle w:val="FootnoteReference"/>
          <w:lang w:val="sr-Latn-BA"/>
        </w:rPr>
        <w:footnoteReference w:id="5"/>
      </w:r>
      <w:r>
        <w:rPr>
          <w:lang w:val="sr-Latn-BA"/>
        </w:rPr>
        <w:t xml:space="preserve"> (koje skuplja, iz dnevnih novina tj. javnih glasila, i kompilira Agencija za bankarstvo Republike Srpske (AB RS)) kao i polugodišnji nerevidirani finansijski izvještaji banaka za 2015. godinu koje banke objavljuju na portalu Banjalučke berze AD Banjaluka). Zbog izuzetno malog broja opservacija, u BSRS je u 2013. godini bilo 10 </w:t>
      </w:r>
      <w:r w:rsidRPr="00D5778A">
        <w:rPr>
          <w:lang w:val="sr-Latn-BA"/>
        </w:rPr>
        <w:t>banka (</w:t>
      </w:r>
      <w:r w:rsidR="00D5778A">
        <w:rPr>
          <w:lang w:val="sr-Latn-BA"/>
        </w:rPr>
        <w:t>t</w:t>
      </w:r>
      <w:r w:rsidRPr="00D5778A">
        <w:rPr>
          <w:lang w:val="sr-Latn-BA"/>
        </w:rPr>
        <w:t>abela 1),</w:t>
      </w:r>
      <w:r w:rsidR="00D5778A">
        <w:rPr>
          <w:lang w:val="sr-Latn-BA"/>
        </w:rPr>
        <w:t xml:space="preserve"> a na kraju 2014. godin</w:t>
      </w:r>
      <w:r>
        <w:rPr>
          <w:lang w:val="sr-Latn-BA"/>
        </w:rPr>
        <w:t xml:space="preserve">e 9 banaka (izlazak Bobar banka ad. Bijeljina iz BSRS), određivanje vjerovatnoće neuspjeha smo izvršili modelom linearne vjerovatnoće (eng. linear probability model/LPM). </w:t>
      </w:r>
    </w:p>
    <w:p w:rsidR="003E3B8A" w:rsidRDefault="003E3B8A" w:rsidP="003E3B8A">
      <w:pPr>
        <w:pStyle w:val="NoSpacing"/>
        <w:rPr>
          <w:lang w:val="sr-Latn-BA"/>
        </w:rPr>
      </w:pPr>
    </w:p>
    <w:p w:rsidR="00F9552F" w:rsidRPr="003E3B8A" w:rsidRDefault="00F9552F" w:rsidP="003E3B8A">
      <w:pPr>
        <w:pStyle w:val="NoSpacing"/>
        <w:rPr>
          <w:sz w:val="22"/>
          <w:szCs w:val="22"/>
          <w:lang w:val="sr-Latn-BA"/>
        </w:rPr>
      </w:pPr>
      <w:r w:rsidRPr="00277681">
        <w:rPr>
          <w:b/>
          <w:sz w:val="22"/>
          <w:szCs w:val="22"/>
          <w:lang w:val="sr-Latn-BA"/>
        </w:rPr>
        <w:t>Tabela 1</w:t>
      </w:r>
      <w:r w:rsidRPr="003E3B8A">
        <w:rPr>
          <w:sz w:val="22"/>
          <w:szCs w:val="22"/>
          <w:lang w:val="sr-Latn-BA"/>
        </w:rPr>
        <w:t>. Banke sa sjedištem u Republici Srpskoj – bankars</w:t>
      </w:r>
      <w:r w:rsidR="003E3B8A" w:rsidRPr="003E3B8A">
        <w:rPr>
          <w:sz w:val="22"/>
          <w:szCs w:val="22"/>
          <w:lang w:val="sr-Latn-BA"/>
        </w:rPr>
        <w:t>ki sektor Republike Srpske/BSRS</w:t>
      </w:r>
    </w:p>
    <w:tbl>
      <w:tblPr>
        <w:tblpPr w:leftFromText="180" w:rightFromText="180" w:vertAnchor="text" w:tblpY="1"/>
        <w:tblOverlap w:val="never"/>
        <w:tblW w:w="5000" w:type="pct"/>
        <w:tblLook w:val="04A0"/>
      </w:tblPr>
      <w:tblGrid>
        <w:gridCol w:w="661"/>
        <w:gridCol w:w="3729"/>
        <w:gridCol w:w="1450"/>
        <w:gridCol w:w="1512"/>
        <w:gridCol w:w="1510"/>
      </w:tblGrid>
      <w:tr w:rsidR="00F9552F" w:rsidTr="00F9552F">
        <w:trPr>
          <w:trHeight w:val="264"/>
        </w:trPr>
        <w:tc>
          <w:tcPr>
            <w:tcW w:w="373" w:type="pct"/>
            <w:tcBorders>
              <w:top w:val="single" w:sz="4" w:space="0" w:color="auto"/>
              <w:left w:val="nil"/>
              <w:bottom w:val="single" w:sz="4" w:space="0" w:color="auto"/>
              <w:right w:val="single" w:sz="4" w:space="0" w:color="auto"/>
            </w:tcBorders>
            <w:shd w:val="clear" w:color="auto" w:fill="E6E6E6"/>
            <w:noWrap/>
            <w:vAlign w:val="center"/>
            <w:hideMark/>
          </w:tcPr>
          <w:p w:rsidR="00F9552F" w:rsidRPr="001154EE" w:rsidRDefault="00F9552F" w:rsidP="003E3B8A">
            <w:pPr>
              <w:pStyle w:val="NoSpacing"/>
              <w:rPr>
                <w:b/>
                <w:sz w:val="22"/>
                <w:szCs w:val="22"/>
                <w:lang w:val="en-US"/>
              </w:rPr>
            </w:pPr>
            <w:r w:rsidRPr="001154EE">
              <w:rPr>
                <w:b/>
                <w:sz w:val="22"/>
                <w:szCs w:val="22"/>
              </w:rPr>
              <w:t>R.B.</w:t>
            </w:r>
          </w:p>
        </w:tc>
        <w:tc>
          <w:tcPr>
            <w:tcW w:w="2104"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F9552F" w:rsidRPr="001154EE" w:rsidRDefault="00F9552F" w:rsidP="00294CBC">
            <w:pPr>
              <w:pStyle w:val="NoSpacing"/>
              <w:jc w:val="center"/>
              <w:rPr>
                <w:b/>
                <w:sz w:val="22"/>
                <w:szCs w:val="22"/>
                <w:lang w:val="en-US"/>
              </w:rPr>
            </w:pPr>
            <w:r w:rsidRPr="001154EE">
              <w:rPr>
                <w:b/>
                <w:sz w:val="22"/>
                <w:szCs w:val="22"/>
              </w:rPr>
              <w:t>Banka</w:t>
            </w:r>
          </w:p>
        </w:tc>
        <w:tc>
          <w:tcPr>
            <w:tcW w:w="818"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9552F" w:rsidRPr="001154EE" w:rsidRDefault="00F9552F" w:rsidP="00294CBC">
            <w:pPr>
              <w:pStyle w:val="NoSpacing"/>
              <w:jc w:val="center"/>
              <w:rPr>
                <w:b/>
                <w:sz w:val="22"/>
                <w:szCs w:val="22"/>
                <w:lang w:val="en-US"/>
              </w:rPr>
            </w:pPr>
            <w:r w:rsidRPr="001154EE">
              <w:rPr>
                <w:b/>
                <w:sz w:val="22"/>
                <w:szCs w:val="22"/>
              </w:rPr>
              <w:t>Oznaka</w:t>
            </w:r>
          </w:p>
        </w:tc>
        <w:tc>
          <w:tcPr>
            <w:tcW w:w="853"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9552F" w:rsidRPr="001154EE" w:rsidRDefault="00F9552F" w:rsidP="00294CBC">
            <w:pPr>
              <w:pStyle w:val="NoSpacing"/>
              <w:jc w:val="center"/>
              <w:rPr>
                <w:b/>
                <w:sz w:val="22"/>
                <w:szCs w:val="22"/>
                <w:lang w:val="en-US"/>
              </w:rPr>
            </w:pPr>
            <w:r w:rsidRPr="001154EE">
              <w:rPr>
                <w:b/>
                <w:sz w:val="22"/>
                <w:szCs w:val="22"/>
              </w:rPr>
              <w:t>Aktiva, u 000 BAM**</w:t>
            </w:r>
          </w:p>
          <w:p w:rsidR="00F9552F" w:rsidRPr="001154EE" w:rsidRDefault="00F9552F" w:rsidP="00294CBC">
            <w:pPr>
              <w:pStyle w:val="NoSpacing"/>
              <w:jc w:val="center"/>
              <w:rPr>
                <w:b/>
                <w:sz w:val="22"/>
                <w:szCs w:val="22"/>
                <w:lang w:val="en-US"/>
              </w:rPr>
            </w:pPr>
            <w:r w:rsidRPr="001154EE">
              <w:rPr>
                <w:b/>
                <w:sz w:val="22"/>
                <w:szCs w:val="22"/>
              </w:rPr>
              <w:t>2014.</w:t>
            </w:r>
          </w:p>
        </w:tc>
        <w:tc>
          <w:tcPr>
            <w:tcW w:w="85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9552F" w:rsidRPr="001154EE" w:rsidRDefault="00F9552F" w:rsidP="00294CBC">
            <w:pPr>
              <w:pStyle w:val="NoSpacing"/>
              <w:jc w:val="center"/>
              <w:rPr>
                <w:b/>
                <w:sz w:val="22"/>
                <w:szCs w:val="22"/>
                <w:lang w:val="en-US"/>
              </w:rPr>
            </w:pPr>
            <w:r w:rsidRPr="001154EE">
              <w:rPr>
                <w:b/>
                <w:sz w:val="22"/>
                <w:szCs w:val="22"/>
              </w:rPr>
              <w:t>Aktiva, u 000 BAM</w:t>
            </w:r>
          </w:p>
          <w:p w:rsidR="00F9552F" w:rsidRPr="001154EE" w:rsidRDefault="00F9552F" w:rsidP="00294CBC">
            <w:pPr>
              <w:pStyle w:val="NoSpacing"/>
              <w:jc w:val="center"/>
              <w:rPr>
                <w:b/>
                <w:sz w:val="22"/>
                <w:szCs w:val="22"/>
                <w:lang w:val="en-US"/>
              </w:rPr>
            </w:pPr>
            <w:r w:rsidRPr="001154EE">
              <w:rPr>
                <w:b/>
                <w:sz w:val="22"/>
                <w:szCs w:val="22"/>
              </w:rPr>
              <w:t>2013.</w:t>
            </w:r>
          </w:p>
        </w:tc>
      </w:tr>
      <w:tr w:rsidR="00F9552F" w:rsidTr="00F9552F">
        <w:trPr>
          <w:trHeight w:val="264"/>
        </w:trPr>
        <w:tc>
          <w:tcPr>
            <w:tcW w:w="373" w:type="pct"/>
            <w:tcBorders>
              <w:top w:val="single" w:sz="4" w:space="0" w:color="auto"/>
              <w:left w:val="nil"/>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1.</w:t>
            </w:r>
          </w:p>
        </w:tc>
        <w:tc>
          <w:tcPr>
            <w:tcW w:w="2104" w:type="pct"/>
            <w:tcBorders>
              <w:top w:val="single" w:sz="4" w:space="0" w:color="auto"/>
              <w:left w:val="single" w:sz="4" w:space="0" w:color="auto"/>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 xml:space="preserve">Unikredit bank ad. Banjaluka </w:t>
            </w:r>
          </w:p>
        </w:tc>
        <w:tc>
          <w:tcPr>
            <w:tcW w:w="818" w:type="pct"/>
            <w:tcBorders>
              <w:top w:val="single" w:sz="4" w:space="0" w:color="auto"/>
              <w:left w:val="single" w:sz="4" w:space="0" w:color="auto"/>
              <w:bottom w:val="nil"/>
              <w:right w:val="single" w:sz="4" w:space="0" w:color="auto"/>
            </w:tcBorders>
            <w:vAlign w:val="bottom"/>
            <w:hideMark/>
          </w:tcPr>
          <w:p w:rsidR="00F9552F" w:rsidRPr="001154EE" w:rsidRDefault="00F9552F" w:rsidP="00FC2D5C">
            <w:pPr>
              <w:pStyle w:val="NoSpacing"/>
              <w:jc w:val="center"/>
              <w:rPr>
                <w:sz w:val="22"/>
                <w:szCs w:val="22"/>
                <w:lang w:val="en-US"/>
              </w:rPr>
            </w:pPr>
            <w:r w:rsidRPr="001154EE">
              <w:rPr>
                <w:sz w:val="22"/>
                <w:szCs w:val="22"/>
              </w:rPr>
              <w:t>NBLB</w:t>
            </w:r>
          </w:p>
        </w:tc>
        <w:tc>
          <w:tcPr>
            <w:tcW w:w="853" w:type="pct"/>
            <w:tcBorders>
              <w:top w:val="single" w:sz="4" w:space="0" w:color="auto"/>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1.093.722</w:t>
            </w:r>
          </w:p>
        </w:tc>
        <w:tc>
          <w:tcPr>
            <w:tcW w:w="852" w:type="pct"/>
            <w:tcBorders>
              <w:top w:val="single" w:sz="4" w:space="0" w:color="auto"/>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943.990</w:t>
            </w:r>
          </w:p>
        </w:tc>
      </w:tr>
      <w:tr w:rsidR="00F9552F" w:rsidTr="00F9552F">
        <w:trPr>
          <w:trHeight w:val="264"/>
        </w:trPr>
        <w:tc>
          <w:tcPr>
            <w:tcW w:w="373" w:type="pct"/>
            <w:tcBorders>
              <w:top w:val="nil"/>
              <w:left w:val="nil"/>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2.</w:t>
            </w:r>
          </w:p>
        </w:tc>
        <w:tc>
          <w:tcPr>
            <w:tcW w:w="2104" w:type="pct"/>
            <w:tcBorders>
              <w:top w:val="nil"/>
              <w:left w:val="single" w:sz="4" w:space="0" w:color="auto"/>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 xml:space="preserve">Hipo Alpe Adria Bank ad. Banjaluka </w:t>
            </w:r>
          </w:p>
        </w:tc>
        <w:tc>
          <w:tcPr>
            <w:tcW w:w="818" w:type="pct"/>
            <w:tcBorders>
              <w:top w:val="nil"/>
              <w:left w:val="single" w:sz="4" w:space="0" w:color="auto"/>
              <w:bottom w:val="nil"/>
              <w:right w:val="single" w:sz="4" w:space="0" w:color="auto"/>
            </w:tcBorders>
            <w:vAlign w:val="bottom"/>
            <w:hideMark/>
          </w:tcPr>
          <w:p w:rsidR="00F9552F" w:rsidRPr="001154EE" w:rsidRDefault="00F9552F" w:rsidP="00FC2D5C">
            <w:pPr>
              <w:pStyle w:val="NoSpacing"/>
              <w:jc w:val="center"/>
              <w:rPr>
                <w:sz w:val="22"/>
                <w:szCs w:val="22"/>
                <w:lang w:val="en-US"/>
              </w:rPr>
            </w:pPr>
            <w:r w:rsidRPr="001154EE">
              <w:rPr>
                <w:sz w:val="22"/>
                <w:szCs w:val="22"/>
              </w:rPr>
              <w:t>KRLB</w:t>
            </w:r>
          </w:p>
        </w:tc>
        <w:tc>
          <w:tcPr>
            <w:tcW w:w="853"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941.349</w:t>
            </w:r>
          </w:p>
        </w:tc>
        <w:tc>
          <w:tcPr>
            <w:tcW w:w="852"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1.174.009</w:t>
            </w:r>
          </w:p>
        </w:tc>
      </w:tr>
      <w:tr w:rsidR="00F9552F" w:rsidTr="00F9552F">
        <w:trPr>
          <w:trHeight w:val="264"/>
        </w:trPr>
        <w:tc>
          <w:tcPr>
            <w:tcW w:w="373" w:type="pct"/>
            <w:tcBorders>
              <w:top w:val="nil"/>
              <w:left w:val="nil"/>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3.</w:t>
            </w:r>
          </w:p>
        </w:tc>
        <w:tc>
          <w:tcPr>
            <w:tcW w:w="2104" w:type="pct"/>
            <w:tcBorders>
              <w:top w:val="nil"/>
              <w:left w:val="single" w:sz="4" w:space="0" w:color="auto"/>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Bobar banka ad. Bijeljina</w:t>
            </w:r>
          </w:p>
        </w:tc>
        <w:tc>
          <w:tcPr>
            <w:tcW w:w="818" w:type="pct"/>
            <w:tcBorders>
              <w:top w:val="nil"/>
              <w:left w:val="single" w:sz="4" w:space="0" w:color="auto"/>
              <w:bottom w:val="nil"/>
              <w:right w:val="single" w:sz="4" w:space="0" w:color="auto"/>
            </w:tcBorders>
            <w:vAlign w:val="bottom"/>
            <w:hideMark/>
          </w:tcPr>
          <w:p w:rsidR="00F9552F" w:rsidRPr="001154EE" w:rsidRDefault="00F9552F" w:rsidP="00FC2D5C">
            <w:pPr>
              <w:pStyle w:val="NoSpacing"/>
              <w:jc w:val="center"/>
              <w:rPr>
                <w:sz w:val="22"/>
                <w:szCs w:val="22"/>
                <w:lang w:val="en-US"/>
              </w:rPr>
            </w:pPr>
            <w:r w:rsidRPr="001154EE">
              <w:rPr>
                <w:sz w:val="22"/>
                <w:szCs w:val="22"/>
                <w:lang w:val="sr-Latn-BA"/>
              </w:rPr>
              <w:t>BBRB*</w:t>
            </w:r>
          </w:p>
        </w:tc>
        <w:tc>
          <w:tcPr>
            <w:tcW w:w="853"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w:t>
            </w:r>
          </w:p>
        </w:tc>
        <w:tc>
          <w:tcPr>
            <w:tcW w:w="852"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327.712</w:t>
            </w:r>
          </w:p>
        </w:tc>
      </w:tr>
      <w:tr w:rsidR="00F9552F" w:rsidTr="00F9552F">
        <w:trPr>
          <w:trHeight w:val="264"/>
        </w:trPr>
        <w:tc>
          <w:tcPr>
            <w:tcW w:w="373" w:type="pct"/>
            <w:tcBorders>
              <w:top w:val="nil"/>
              <w:left w:val="nil"/>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4.</w:t>
            </w:r>
          </w:p>
        </w:tc>
        <w:tc>
          <w:tcPr>
            <w:tcW w:w="2104" w:type="pct"/>
            <w:tcBorders>
              <w:top w:val="nil"/>
              <w:left w:val="single" w:sz="4" w:space="0" w:color="auto"/>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 xml:space="preserve">Nova Ljubljanska Banka ad. Banjaluka </w:t>
            </w:r>
          </w:p>
        </w:tc>
        <w:tc>
          <w:tcPr>
            <w:tcW w:w="818" w:type="pct"/>
            <w:tcBorders>
              <w:top w:val="nil"/>
              <w:left w:val="single" w:sz="4" w:space="0" w:color="auto"/>
              <w:bottom w:val="nil"/>
              <w:right w:val="single" w:sz="4" w:space="0" w:color="auto"/>
            </w:tcBorders>
            <w:vAlign w:val="bottom"/>
            <w:hideMark/>
          </w:tcPr>
          <w:p w:rsidR="00F9552F" w:rsidRPr="001154EE" w:rsidRDefault="00F9552F" w:rsidP="00FC2D5C">
            <w:pPr>
              <w:pStyle w:val="NoSpacing"/>
              <w:jc w:val="center"/>
              <w:rPr>
                <w:sz w:val="22"/>
                <w:szCs w:val="22"/>
                <w:lang w:val="en-US"/>
              </w:rPr>
            </w:pPr>
            <w:r w:rsidRPr="001154EE">
              <w:rPr>
                <w:sz w:val="22"/>
                <w:szCs w:val="22"/>
              </w:rPr>
              <w:t>VBBB</w:t>
            </w:r>
          </w:p>
        </w:tc>
        <w:tc>
          <w:tcPr>
            <w:tcW w:w="853"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1.186.339</w:t>
            </w:r>
          </w:p>
        </w:tc>
        <w:tc>
          <w:tcPr>
            <w:tcW w:w="852"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1.190.158</w:t>
            </w:r>
          </w:p>
        </w:tc>
      </w:tr>
      <w:tr w:rsidR="00F9552F" w:rsidTr="00F9552F">
        <w:trPr>
          <w:trHeight w:val="264"/>
        </w:trPr>
        <w:tc>
          <w:tcPr>
            <w:tcW w:w="373" w:type="pct"/>
            <w:tcBorders>
              <w:top w:val="nil"/>
              <w:left w:val="nil"/>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5.</w:t>
            </w:r>
          </w:p>
        </w:tc>
        <w:tc>
          <w:tcPr>
            <w:tcW w:w="2104" w:type="pct"/>
            <w:tcBorders>
              <w:top w:val="nil"/>
              <w:left w:val="single" w:sz="4" w:space="0" w:color="auto"/>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 xml:space="preserve">Sber banka ad. Banjaluka </w:t>
            </w:r>
          </w:p>
        </w:tc>
        <w:tc>
          <w:tcPr>
            <w:tcW w:w="818" w:type="pct"/>
            <w:tcBorders>
              <w:top w:val="nil"/>
              <w:left w:val="single" w:sz="4" w:space="0" w:color="auto"/>
              <w:bottom w:val="nil"/>
              <w:right w:val="single" w:sz="4" w:space="0" w:color="auto"/>
            </w:tcBorders>
            <w:vAlign w:val="bottom"/>
            <w:hideMark/>
          </w:tcPr>
          <w:p w:rsidR="00F9552F" w:rsidRPr="001154EE" w:rsidRDefault="00F9552F" w:rsidP="00FC2D5C">
            <w:pPr>
              <w:pStyle w:val="NoSpacing"/>
              <w:jc w:val="center"/>
              <w:rPr>
                <w:sz w:val="22"/>
                <w:szCs w:val="22"/>
                <w:lang w:val="en-US"/>
              </w:rPr>
            </w:pPr>
            <w:r w:rsidRPr="001154EE">
              <w:rPr>
                <w:sz w:val="22"/>
                <w:szCs w:val="22"/>
              </w:rPr>
              <w:t>ZPKB</w:t>
            </w:r>
          </w:p>
        </w:tc>
        <w:tc>
          <w:tcPr>
            <w:tcW w:w="853"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851.770</w:t>
            </w:r>
          </w:p>
        </w:tc>
        <w:tc>
          <w:tcPr>
            <w:tcW w:w="852"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577.815</w:t>
            </w:r>
          </w:p>
        </w:tc>
      </w:tr>
      <w:tr w:rsidR="00F9552F" w:rsidTr="00F9552F">
        <w:trPr>
          <w:trHeight w:val="264"/>
        </w:trPr>
        <w:tc>
          <w:tcPr>
            <w:tcW w:w="373" w:type="pct"/>
            <w:tcBorders>
              <w:top w:val="nil"/>
              <w:left w:val="nil"/>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6.</w:t>
            </w:r>
          </w:p>
        </w:tc>
        <w:tc>
          <w:tcPr>
            <w:tcW w:w="2104" w:type="pct"/>
            <w:tcBorders>
              <w:top w:val="nil"/>
              <w:left w:val="single" w:sz="4" w:space="0" w:color="auto"/>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 xml:space="preserve">Banka Srpske ad. Banjaluka </w:t>
            </w:r>
          </w:p>
        </w:tc>
        <w:tc>
          <w:tcPr>
            <w:tcW w:w="818" w:type="pct"/>
            <w:tcBorders>
              <w:top w:val="nil"/>
              <w:left w:val="single" w:sz="4" w:space="0" w:color="auto"/>
              <w:bottom w:val="nil"/>
              <w:right w:val="single" w:sz="4" w:space="0" w:color="auto"/>
            </w:tcBorders>
            <w:vAlign w:val="bottom"/>
            <w:hideMark/>
          </w:tcPr>
          <w:p w:rsidR="00F9552F" w:rsidRPr="001154EE" w:rsidRDefault="00F9552F" w:rsidP="00FC2D5C">
            <w:pPr>
              <w:pStyle w:val="NoSpacing"/>
              <w:jc w:val="center"/>
              <w:rPr>
                <w:sz w:val="22"/>
                <w:szCs w:val="22"/>
                <w:lang w:val="en-US"/>
              </w:rPr>
            </w:pPr>
            <w:r w:rsidRPr="001154EE">
              <w:rPr>
                <w:sz w:val="22"/>
                <w:szCs w:val="22"/>
              </w:rPr>
              <w:t>BLKB</w:t>
            </w:r>
          </w:p>
        </w:tc>
        <w:tc>
          <w:tcPr>
            <w:tcW w:w="853"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247.391</w:t>
            </w:r>
          </w:p>
        </w:tc>
        <w:tc>
          <w:tcPr>
            <w:tcW w:w="852"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223.981</w:t>
            </w:r>
          </w:p>
        </w:tc>
      </w:tr>
      <w:tr w:rsidR="00F9552F" w:rsidTr="00F9552F">
        <w:trPr>
          <w:trHeight w:val="264"/>
        </w:trPr>
        <w:tc>
          <w:tcPr>
            <w:tcW w:w="373" w:type="pct"/>
            <w:tcBorders>
              <w:top w:val="nil"/>
              <w:left w:val="nil"/>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7.</w:t>
            </w:r>
          </w:p>
        </w:tc>
        <w:tc>
          <w:tcPr>
            <w:tcW w:w="2104" w:type="pct"/>
            <w:tcBorders>
              <w:top w:val="nil"/>
              <w:left w:val="single" w:sz="4" w:space="0" w:color="auto"/>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Pavlovića banka ad. Bijeljina</w:t>
            </w:r>
          </w:p>
        </w:tc>
        <w:tc>
          <w:tcPr>
            <w:tcW w:w="818" w:type="pct"/>
            <w:tcBorders>
              <w:top w:val="nil"/>
              <w:left w:val="single" w:sz="4" w:space="0" w:color="auto"/>
              <w:bottom w:val="nil"/>
              <w:right w:val="single" w:sz="4" w:space="0" w:color="auto"/>
            </w:tcBorders>
            <w:vAlign w:val="bottom"/>
            <w:hideMark/>
          </w:tcPr>
          <w:p w:rsidR="00F9552F" w:rsidRPr="001154EE" w:rsidRDefault="00F9552F" w:rsidP="00FC2D5C">
            <w:pPr>
              <w:pStyle w:val="NoSpacing"/>
              <w:jc w:val="center"/>
              <w:rPr>
                <w:sz w:val="22"/>
                <w:szCs w:val="22"/>
                <w:lang w:val="en-US"/>
              </w:rPr>
            </w:pPr>
            <w:r w:rsidRPr="001154EE">
              <w:rPr>
                <w:sz w:val="22"/>
                <w:szCs w:val="22"/>
              </w:rPr>
              <w:t>PIBB</w:t>
            </w:r>
          </w:p>
        </w:tc>
        <w:tc>
          <w:tcPr>
            <w:tcW w:w="853"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217.181</w:t>
            </w:r>
          </w:p>
        </w:tc>
        <w:tc>
          <w:tcPr>
            <w:tcW w:w="852"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254.215</w:t>
            </w:r>
          </w:p>
        </w:tc>
      </w:tr>
      <w:tr w:rsidR="00F9552F" w:rsidTr="00F9552F">
        <w:trPr>
          <w:trHeight w:val="264"/>
        </w:trPr>
        <w:tc>
          <w:tcPr>
            <w:tcW w:w="373" w:type="pct"/>
            <w:tcBorders>
              <w:top w:val="nil"/>
              <w:left w:val="nil"/>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8.</w:t>
            </w:r>
          </w:p>
        </w:tc>
        <w:tc>
          <w:tcPr>
            <w:tcW w:w="2104" w:type="pct"/>
            <w:tcBorders>
              <w:top w:val="nil"/>
              <w:left w:val="single" w:sz="4" w:space="0" w:color="auto"/>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 xml:space="preserve">Nova banka ad. Banjaluka </w:t>
            </w:r>
          </w:p>
        </w:tc>
        <w:tc>
          <w:tcPr>
            <w:tcW w:w="818" w:type="pct"/>
            <w:tcBorders>
              <w:top w:val="nil"/>
              <w:left w:val="single" w:sz="4" w:space="0" w:color="auto"/>
              <w:bottom w:val="nil"/>
              <w:right w:val="single" w:sz="4" w:space="0" w:color="auto"/>
            </w:tcBorders>
            <w:vAlign w:val="bottom"/>
            <w:hideMark/>
          </w:tcPr>
          <w:p w:rsidR="00F9552F" w:rsidRPr="001154EE" w:rsidRDefault="00F9552F" w:rsidP="00FC2D5C">
            <w:pPr>
              <w:pStyle w:val="NoSpacing"/>
              <w:jc w:val="center"/>
              <w:rPr>
                <w:sz w:val="22"/>
                <w:szCs w:val="22"/>
                <w:lang w:val="en-US"/>
              </w:rPr>
            </w:pPr>
            <w:r w:rsidRPr="001154EE">
              <w:rPr>
                <w:sz w:val="22"/>
                <w:szCs w:val="22"/>
              </w:rPr>
              <w:t>NOVB</w:t>
            </w:r>
          </w:p>
        </w:tc>
        <w:tc>
          <w:tcPr>
            <w:tcW w:w="853"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1.594.749</w:t>
            </w:r>
          </w:p>
        </w:tc>
        <w:tc>
          <w:tcPr>
            <w:tcW w:w="852"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1.458.138</w:t>
            </w:r>
          </w:p>
        </w:tc>
      </w:tr>
      <w:tr w:rsidR="00F9552F" w:rsidTr="00F9552F">
        <w:trPr>
          <w:trHeight w:val="264"/>
        </w:trPr>
        <w:tc>
          <w:tcPr>
            <w:tcW w:w="373" w:type="pct"/>
            <w:tcBorders>
              <w:top w:val="nil"/>
              <w:left w:val="nil"/>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9.</w:t>
            </w:r>
          </w:p>
        </w:tc>
        <w:tc>
          <w:tcPr>
            <w:tcW w:w="2104" w:type="pct"/>
            <w:tcBorders>
              <w:top w:val="nil"/>
              <w:left w:val="single" w:sz="4" w:space="0" w:color="auto"/>
              <w:bottom w:val="nil"/>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 xml:space="preserve">Komercijalna banka ad. Banjaluka </w:t>
            </w:r>
          </w:p>
        </w:tc>
        <w:tc>
          <w:tcPr>
            <w:tcW w:w="818" w:type="pct"/>
            <w:tcBorders>
              <w:top w:val="nil"/>
              <w:left w:val="single" w:sz="4" w:space="0" w:color="auto"/>
              <w:bottom w:val="nil"/>
              <w:right w:val="single" w:sz="4" w:space="0" w:color="auto"/>
            </w:tcBorders>
            <w:vAlign w:val="bottom"/>
            <w:hideMark/>
          </w:tcPr>
          <w:p w:rsidR="00F9552F" w:rsidRPr="001154EE" w:rsidRDefault="00F9552F" w:rsidP="00FC2D5C">
            <w:pPr>
              <w:pStyle w:val="NoSpacing"/>
              <w:jc w:val="center"/>
              <w:rPr>
                <w:sz w:val="22"/>
                <w:szCs w:val="22"/>
                <w:lang w:val="en-US"/>
              </w:rPr>
            </w:pPr>
            <w:r w:rsidRPr="001154EE">
              <w:rPr>
                <w:sz w:val="22"/>
                <w:szCs w:val="22"/>
              </w:rPr>
              <w:t>KMCB</w:t>
            </w:r>
          </w:p>
        </w:tc>
        <w:tc>
          <w:tcPr>
            <w:tcW w:w="853"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267.550</w:t>
            </w:r>
          </w:p>
        </w:tc>
        <w:tc>
          <w:tcPr>
            <w:tcW w:w="852" w:type="pct"/>
            <w:tcBorders>
              <w:top w:val="nil"/>
              <w:left w:val="single" w:sz="4" w:space="0" w:color="auto"/>
              <w:bottom w:val="nil"/>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262.846</w:t>
            </w:r>
          </w:p>
        </w:tc>
      </w:tr>
      <w:tr w:rsidR="00F9552F" w:rsidTr="00F9552F">
        <w:trPr>
          <w:trHeight w:val="264"/>
        </w:trPr>
        <w:tc>
          <w:tcPr>
            <w:tcW w:w="373" w:type="pct"/>
            <w:tcBorders>
              <w:top w:val="nil"/>
              <w:left w:val="nil"/>
              <w:bottom w:val="single" w:sz="4" w:space="0" w:color="auto"/>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10.</w:t>
            </w:r>
          </w:p>
        </w:tc>
        <w:tc>
          <w:tcPr>
            <w:tcW w:w="2104" w:type="pct"/>
            <w:tcBorders>
              <w:top w:val="nil"/>
              <w:left w:val="single" w:sz="4" w:space="0" w:color="auto"/>
              <w:bottom w:val="single" w:sz="4" w:space="0" w:color="auto"/>
              <w:right w:val="single" w:sz="4" w:space="0" w:color="auto"/>
            </w:tcBorders>
            <w:noWrap/>
            <w:vAlign w:val="bottom"/>
            <w:hideMark/>
          </w:tcPr>
          <w:p w:rsidR="00F9552F" w:rsidRPr="001154EE" w:rsidRDefault="00F9552F" w:rsidP="003E3B8A">
            <w:pPr>
              <w:pStyle w:val="NoSpacing"/>
              <w:rPr>
                <w:sz w:val="22"/>
                <w:szCs w:val="22"/>
                <w:lang w:val="en-US"/>
              </w:rPr>
            </w:pPr>
            <w:r w:rsidRPr="001154EE">
              <w:rPr>
                <w:sz w:val="22"/>
                <w:szCs w:val="22"/>
              </w:rPr>
              <w:t xml:space="preserve">MF banka ad. Banjaluka </w:t>
            </w:r>
          </w:p>
        </w:tc>
        <w:tc>
          <w:tcPr>
            <w:tcW w:w="818" w:type="pct"/>
            <w:tcBorders>
              <w:top w:val="nil"/>
              <w:left w:val="single" w:sz="4" w:space="0" w:color="auto"/>
              <w:bottom w:val="single" w:sz="4" w:space="0" w:color="auto"/>
              <w:right w:val="single" w:sz="4" w:space="0" w:color="auto"/>
            </w:tcBorders>
            <w:vAlign w:val="bottom"/>
            <w:hideMark/>
          </w:tcPr>
          <w:p w:rsidR="00F9552F" w:rsidRPr="001154EE" w:rsidRDefault="00F9552F" w:rsidP="00FC2D5C">
            <w:pPr>
              <w:pStyle w:val="NoSpacing"/>
              <w:jc w:val="center"/>
              <w:rPr>
                <w:sz w:val="22"/>
                <w:szCs w:val="22"/>
                <w:lang w:val="en-US"/>
              </w:rPr>
            </w:pPr>
            <w:r w:rsidRPr="001154EE">
              <w:rPr>
                <w:sz w:val="22"/>
                <w:szCs w:val="22"/>
              </w:rPr>
              <w:t>IEFB</w:t>
            </w:r>
          </w:p>
        </w:tc>
        <w:tc>
          <w:tcPr>
            <w:tcW w:w="853" w:type="pct"/>
            <w:tcBorders>
              <w:top w:val="nil"/>
              <w:left w:val="single" w:sz="4" w:space="0" w:color="auto"/>
              <w:bottom w:val="single" w:sz="4" w:space="0" w:color="auto"/>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201.249</w:t>
            </w:r>
          </w:p>
        </w:tc>
        <w:tc>
          <w:tcPr>
            <w:tcW w:w="852" w:type="pct"/>
            <w:tcBorders>
              <w:top w:val="nil"/>
              <w:left w:val="single" w:sz="4" w:space="0" w:color="auto"/>
              <w:bottom w:val="single" w:sz="4" w:space="0" w:color="auto"/>
              <w:right w:val="single" w:sz="4" w:space="0" w:color="auto"/>
            </w:tcBorders>
            <w:vAlign w:val="center"/>
            <w:hideMark/>
          </w:tcPr>
          <w:p w:rsidR="00F9552F" w:rsidRPr="001154EE" w:rsidRDefault="00F9552F" w:rsidP="00FC2D5C">
            <w:pPr>
              <w:pStyle w:val="NoSpacing"/>
              <w:jc w:val="right"/>
              <w:rPr>
                <w:sz w:val="22"/>
                <w:szCs w:val="22"/>
                <w:lang w:val="en-US"/>
              </w:rPr>
            </w:pPr>
            <w:r w:rsidRPr="001154EE">
              <w:rPr>
                <w:sz w:val="22"/>
                <w:szCs w:val="22"/>
              </w:rPr>
              <w:t>152.278</w:t>
            </w:r>
          </w:p>
        </w:tc>
      </w:tr>
    </w:tbl>
    <w:p w:rsidR="00F9552F" w:rsidRPr="003E3B8A" w:rsidRDefault="00F9552F" w:rsidP="003E3B8A">
      <w:pPr>
        <w:pStyle w:val="NoSpacing"/>
        <w:rPr>
          <w:sz w:val="20"/>
          <w:szCs w:val="20"/>
          <w:lang w:val="sr-Latn-BA"/>
        </w:rPr>
      </w:pPr>
      <w:r w:rsidRPr="003E3B8A">
        <w:rPr>
          <w:sz w:val="20"/>
          <w:szCs w:val="20"/>
          <w:lang w:val="sr-Latn-BA"/>
        </w:rPr>
        <w:t xml:space="preserve">Izvor: Izvještaj o stanju u bankarskom sistemu Republike Srpske za 2014. godinu, * Napomena: Bobar banka ad. Bijeljina je izgubila dozvolu za rad prije 12/2014. godine ** 1 EUR = 1,955830 BAM. </w:t>
      </w:r>
    </w:p>
    <w:p w:rsidR="00F9552F" w:rsidRDefault="00F9552F" w:rsidP="00294CBC">
      <w:pPr>
        <w:ind w:firstLine="720"/>
        <w:rPr>
          <w:lang w:val="sr-Latn-BA"/>
        </w:rPr>
      </w:pPr>
      <w:r>
        <w:rPr>
          <w:lang w:val="sr-Latn-BA"/>
        </w:rPr>
        <w:t xml:space="preserve">Glavni prigovor  koji se ističe u odnosu na primjenu LPM je da ocijenjena vrijednost vjerovatnoće/zavisne varijable može biti manja od nule i veća od jedan. Zavisna promjenljiva izvan intervala (0,1), se interpretira na način da negativna vjerovatnoća, predstavlja vjerovatnoću od nula, a vjerovatnoća izvan 1, vjerovatnoću od 1. Logit model, koji ima bolje performanse od LPM modela, nije korišten, jer u slučajevima malih uzoraka, kao što je ovaj u istraživanju, on daje nedovoljno tačne rezultate. </w:t>
      </w:r>
      <w:r w:rsidR="00294CBC">
        <w:rPr>
          <w:lang w:val="sr-Latn-BA"/>
        </w:rPr>
        <w:tab/>
      </w:r>
      <w:r w:rsidR="00294CBC">
        <w:rPr>
          <w:lang w:val="sr-Latn-BA"/>
        </w:rPr>
        <w:tab/>
      </w:r>
      <w:r w:rsidR="00294CBC">
        <w:rPr>
          <w:lang w:val="sr-Latn-BA"/>
        </w:rPr>
        <w:tab/>
      </w:r>
      <w:r w:rsidR="00294CBC">
        <w:rPr>
          <w:lang w:val="sr-Latn-BA"/>
        </w:rPr>
        <w:tab/>
      </w:r>
      <w:r w:rsidR="00294CBC">
        <w:rPr>
          <w:lang w:val="sr-Latn-BA"/>
        </w:rPr>
        <w:tab/>
      </w:r>
      <w:r w:rsidR="00294CBC">
        <w:rPr>
          <w:lang w:val="sr-Latn-BA"/>
        </w:rPr>
        <w:tab/>
      </w:r>
      <w:r w:rsidR="00294CBC">
        <w:rPr>
          <w:lang w:val="sr-Latn-BA"/>
        </w:rPr>
        <w:tab/>
      </w:r>
      <w:r w:rsidR="00294CBC">
        <w:rPr>
          <w:lang w:val="sr-Latn-BA"/>
        </w:rPr>
        <w:tab/>
      </w:r>
      <w:r w:rsidR="00294CBC">
        <w:rPr>
          <w:lang w:val="sr-Latn-BA"/>
        </w:rPr>
        <w:tab/>
      </w:r>
      <w:r w:rsidR="00294CBC">
        <w:rPr>
          <w:lang w:val="sr-Latn-BA"/>
        </w:rPr>
        <w:lastRenderedPageBreak/>
        <w:tab/>
      </w:r>
      <w:r>
        <w:rPr>
          <w:lang w:val="sr-Latn-BA"/>
        </w:rPr>
        <w:t xml:space="preserve">Istraživanje je sprovedeno u dva koraka. Prvo je na osnovu finansijskih indikatora za 2013. godinu konstruisan model za predviđanje vjerovatnoće neuspjeha za 2014. godinu, a potom je modal dodatno testiran kroz predviđanje neuspjeha banaka u 2015. godini, na bazi finansijskih indikatora banaka za 2014. godinu. Dakle, model za predviđanje banaka djeluje sa vremenskim pomakom od jedne godine. Ukoliko je ocjenjena vjerovatnoća neuspjeha ispod 0,5 te banke ne bi trebale doživjeti neuspjeh, a ukoliko je ocijenjena vjerovatnoća neuspjeha iznad 0,5 trebale bi. </w:t>
      </w:r>
      <w:r w:rsidR="00294CBC">
        <w:rPr>
          <w:lang w:val="sr-Latn-BA"/>
        </w:rPr>
        <w:tab/>
      </w:r>
      <w:r w:rsidR="00294CBC">
        <w:rPr>
          <w:lang w:val="sr-Latn-BA"/>
        </w:rPr>
        <w:tab/>
      </w:r>
      <w:r w:rsidR="00294CBC">
        <w:rPr>
          <w:lang w:val="sr-Latn-BA"/>
        </w:rPr>
        <w:tab/>
      </w:r>
      <w:r w:rsidR="00294CBC">
        <w:rPr>
          <w:lang w:val="sr-Latn-BA"/>
        </w:rPr>
        <w:tab/>
      </w:r>
      <w:r>
        <w:rPr>
          <w:lang w:val="sr-Latn-BA"/>
        </w:rPr>
        <w:t>U 2014. godini smo definisali četiri banke koje su doživjele neuspjeh; 1) Bobar banka ad Bijeljina (BBRB) 2) Balkan Investment banka ad Banjaluka (BLKB), 3) Hypo Alpe Adria Banka ad Banjaluka (KRLB) i 4) Pavlović International Bank ad. Bijeljina (PIBB). Do ovako, relativno velikog broja, neuspjeha smo došli zbog vrlo široke definicije neuspjeha (</w:t>
      </w:r>
      <w:r>
        <w:rPr>
          <w:sz w:val="20"/>
          <w:szCs w:val="20"/>
          <w:lang w:val="sr-Latn-BA"/>
        </w:rPr>
        <w:t>Tabela 2</w:t>
      </w:r>
      <w:r>
        <w:rPr>
          <w:lang w:val="sr-Latn-BA"/>
        </w:rPr>
        <w:t xml:space="preserve">). Slučaj </w:t>
      </w:r>
      <w:r w:rsidRPr="00F9552F">
        <w:rPr>
          <w:lang w:val="sr-Latn-BA"/>
        </w:rPr>
        <w:t>Bobar</w:t>
      </w:r>
      <w:r>
        <w:rPr>
          <w:lang w:val="sr-Latn-BA"/>
        </w:rPr>
        <w:t xml:space="preserve"> </w:t>
      </w:r>
      <w:r w:rsidRPr="00F9552F">
        <w:rPr>
          <w:lang w:val="sr-Latn-BA"/>
        </w:rPr>
        <w:t>banka</w:t>
      </w:r>
      <w:r>
        <w:rPr>
          <w:lang w:val="sr-Latn-BA"/>
        </w:rPr>
        <w:t xml:space="preserve"> </w:t>
      </w:r>
      <w:r w:rsidRPr="00F9552F">
        <w:rPr>
          <w:lang w:val="sr-Latn-BA"/>
        </w:rPr>
        <w:t>ad</w:t>
      </w:r>
      <w:r>
        <w:rPr>
          <w:lang w:val="sr-Latn-BA"/>
        </w:rPr>
        <w:t xml:space="preserve">. </w:t>
      </w:r>
      <w:r w:rsidRPr="00F9552F">
        <w:rPr>
          <w:lang w:val="sr-Latn-BA"/>
        </w:rPr>
        <w:t>Bijeljina</w:t>
      </w:r>
      <w:r>
        <w:rPr>
          <w:lang w:val="sr-Latn-BA"/>
        </w:rPr>
        <w:t xml:space="preserve"> (</w:t>
      </w:r>
      <w:r w:rsidRPr="00F9552F">
        <w:rPr>
          <w:lang w:val="sr-Latn-BA"/>
        </w:rPr>
        <w:t>BBRB</w:t>
      </w:r>
      <w:r>
        <w:rPr>
          <w:lang w:val="sr-Latn-BA"/>
        </w:rPr>
        <w:t>) je klasičan slučaj neuspjeha, jer se radi o nelikvidnosti u dužem vremenskom periodu tj. bankrotu kao posljedica izuzetno loše kreditne politike. BLKB smo svrstali uz BBRB. Kapi</w:t>
      </w:r>
      <w:r w:rsidR="00294CBC">
        <w:rPr>
          <w:lang w:val="sr-Latn-BA"/>
        </w:rPr>
        <w:t>tal banke je pao na nula (2013.</w:t>
      </w:r>
      <w:r>
        <w:rPr>
          <w:lang w:val="sr-Latn-BA"/>
        </w:rPr>
        <w:t xml:space="preserve">), i banka je spašena (eng. </w:t>
      </w:r>
      <w:r w:rsidRPr="00294CBC">
        <w:rPr>
          <w:i/>
          <w:lang w:val="sr-Latn-BA"/>
        </w:rPr>
        <w:t>bailing out</w:t>
      </w:r>
      <w:r>
        <w:rPr>
          <w:lang w:val="sr-Latn-BA"/>
        </w:rPr>
        <w:t>) kroz dokapitalizaciju javnim sredstvama, čime je de jure nacionalizovana. Međutim već u sljedećoj godini, banka je ponovo iskazala ogroman gubitak. Neuspjeh KRLB je druge vrste u odnosu na BBRB i BLKB, jer KRLB niti je bila nelikvidna, niti je bila nesolventna, ali ipak ima zajedničkih karakteristika sa BLKB. Poslovanje KRLB u 2014. je definisano kao neuspjeh jer je nakon ogromnog gubitka u 2013. i dokapitalizacije ponovo ostvarila izuz</w:t>
      </w:r>
      <w:r w:rsidR="00294CBC">
        <w:rPr>
          <w:lang w:val="sr-Latn-BA"/>
        </w:rPr>
        <w:t>etno veliki gubitak i u 2014.</w:t>
      </w:r>
      <w:r>
        <w:rPr>
          <w:lang w:val="sr-Latn-BA"/>
        </w:rPr>
        <w:t>, isto kao i BLKB. Definicija neuspjeha kod PIBB se razlikuje od navedenih. Usljed juriša deponenata (eng. bank run) na BBRB, i percepcije većeg dijela tržišta da možda sličan poslovni model upotrebljava i PIBB, počelo je povlačenje depozita iz PIBB na šta je ona odgovorila prodajom hartija od vrijednosti RS da bi održala likvidnost. Ovakvo dramatično smanjenje likvidnosti uz masovno povlačenje depozita smo u širem kontekstu, takođe, za potrebe istraživanja, tretirali kao neuspjeh. Peta definicija neuspjeha je odbijanje i/ili nedostavljanje revidiranih finansijskih izvještaja</w:t>
      </w:r>
      <w:r>
        <w:rPr>
          <w:color w:val="000000"/>
          <w:spacing w:val="-3"/>
          <w:lang w:val="sr-Cyrl-CS"/>
        </w:rPr>
        <w:t xml:space="preserve"> </w:t>
      </w:r>
      <w:r>
        <w:rPr>
          <w:color w:val="000000"/>
          <w:spacing w:val="-3"/>
          <w:lang w:val="sr-Latn-BA"/>
        </w:rPr>
        <w:t>(</w:t>
      </w:r>
      <w:r>
        <w:rPr>
          <w:color w:val="000000"/>
          <w:spacing w:val="-3"/>
          <w:lang w:val="sr-Cyrl-CS"/>
        </w:rPr>
        <w:t>izvještaj o izvršenoj reviziji finansi</w:t>
      </w:r>
      <w:r w:rsidR="00294CBC">
        <w:rPr>
          <w:color w:val="000000"/>
          <w:spacing w:val="-3"/>
          <w:lang w:val="sr-Cyrl-CS"/>
        </w:rPr>
        <w:t>jskih izvještaja za 2014.</w:t>
      </w:r>
      <w:r>
        <w:rPr>
          <w:color w:val="000000"/>
          <w:spacing w:val="-3"/>
          <w:lang w:val="sr-Latn-BA"/>
        </w:rPr>
        <w:t>) Banjalučkoj berzi AD Banjaluka</w:t>
      </w:r>
      <w:r>
        <w:rPr>
          <w:lang w:val="sr-Latn-BA"/>
        </w:rPr>
        <w:t>, što tretiramo kao prikrivanje poslovnih rezultata implicitno priznanje izuzetno loših poslovnih performa</w:t>
      </w:r>
      <w:r w:rsidR="00294CBC">
        <w:rPr>
          <w:lang w:val="sr-Latn-BA"/>
        </w:rPr>
        <w:t>nsi, tj. neuspjeh (BLKB, 2015</w:t>
      </w:r>
      <w:r>
        <w:rPr>
          <w:lang w:val="sr-Latn-BA"/>
        </w:rPr>
        <w:t xml:space="preserve">). </w:t>
      </w:r>
    </w:p>
    <w:p w:rsidR="00294CBC" w:rsidRDefault="00294CBC" w:rsidP="00294CBC">
      <w:pPr>
        <w:pStyle w:val="NoSpacing"/>
        <w:rPr>
          <w:sz w:val="22"/>
          <w:szCs w:val="22"/>
          <w:lang w:val="sr-Latn-BA"/>
        </w:rPr>
      </w:pPr>
    </w:p>
    <w:p w:rsidR="00F9552F" w:rsidRPr="00294CBC" w:rsidRDefault="00294CBC" w:rsidP="00294CBC">
      <w:pPr>
        <w:pStyle w:val="NoSpacing"/>
        <w:rPr>
          <w:sz w:val="22"/>
          <w:szCs w:val="22"/>
          <w:lang w:val="sr-Latn-BA"/>
        </w:rPr>
      </w:pPr>
      <w:r w:rsidRPr="00277681">
        <w:rPr>
          <w:b/>
          <w:sz w:val="22"/>
          <w:szCs w:val="22"/>
          <w:lang w:val="sr-Latn-BA"/>
        </w:rPr>
        <w:t>Tabela 2</w:t>
      </w:r>
      <w:r w:rsidRPr="00294CBC">
        <w:rPr>
          <w:sz w:val="22"/>
          <w:szCs w:val="22"/>
          <w:lang w:val="sr-Latn-BA"/>
        </w:rPr>
        <w:t xml:space="preserve">. Definicija neuspjeha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
        <w:gridCol w:w="5254"/>
        <w:gridCol w:w="1487"/>
        <w:gridCol w:w="1357"/>
      </w:tblGrid>
      <w:tr w:rsidR="00F9552F" w:rsidRPr="00294CBC" w:rsidTr="00F9552F">
        <w:tc>
          <w:tcPr>
            <w:tcW w:w="78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9552F" w:rsidRPr="00294CBC" w:rsidRDefault="00F9552F" w:rsidP="00294CBC">
            <w:pPr>
              <w:pStyle w:val="NoSpacing"/>
              <w:rPr>
                <w:b/>
                <w:sz w:val="22"/>
                <w:szCs w:val="22"/>
                <w:lang w:val="sr-Latn-BA"/>
              </w:rPr>
            </w:pPr>
            <w:r w:rsidRPr="00294CBC">
              <w:rPr>
                <w:b/>
                <w:sz w:val="22"/>
                <w:szCs w:val="22"/>
                <w:lang w:val="sr-Latn-BA"/>
              </w:rPr>
              <w:t>R.B.</w:t>
            </w:r>
          </w:p>
        </w:tc>
        <w:tc>
          <w:tcPr>
            <w:tcW w:w="5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9552F" w:rsidRPr="00294CBC" w:rsidRDefault="00F9552F" w:rsidP="00294CBC">
            <w:pPr>
              <w:pStyle w:val="NoSpacing"/>
              <w:rPr>
                <w:b/>
                <w:sz w:val="22"/>
                <w:szCs w:val="22"/>
                <w:lang w:val="sr-Latn-BA"/>
              </w:rPr>
            </w:pPr>
            <w:r w:rsidRPr="00294CBC">
              <w:rPr>
                <w:b/>
                <w:sz w:val="22"/>
                <w:szCs w:val="22"/>
                <w:lang w:val="sr-Latn-BA"/>
              </w:rPr>
              <w:t>Opis neuspjeha</w:t>
            </w:r>
          </w:p>
        </w:tc>
        <w:tc>
          <w:tcPr>
            <w:tcW w:w="159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9552F" w:rsidRPr="00294CBC" w:rsidRDefault="00F9552F" w:rsidP="00294CBC">
            <w:pPr>
              <w:pStyle w:val="NoSpacing"/>
              <w:rPr>
                <w:b/>
                <w:sz w:val="22"/>
                <w:szCs w:val="22"/>
                <w:lang w:val="sr-Latn-BA"/>
              </w:rPr>
            </w:pPr>
            <w:r w:rsidRPr="00294CBC">
              <w:rPr>
                <w:b/>
                <w:sz w:val="22"/>
                <w:szCs w:val="22"/>
                <w:lang w:val="sr-Latn-BA"/>
              </w:rPr>
              <w:t>Banka</w:t>
            </w:r>
          </w:p>
        </w:tc>
        <w:tc>
          <w:tcPr>
            <w:tcW w:w="1427" w:type="dxa"/>
            <w:tcBorders>
              <w:top w:val="single" w:sz="4" w:space="0" w:color="auto"/>
              <w:left w:val="single" w:sz="4" w:space="0" w:color="auto"/>
              <w:bottom w:val="single" w:sz="4" w:space="0" w:color="auto"/>
              <w:right w:val="single" w:sz="4" w:space="0" w:color="auto"/>
            </w:tcBorders>
            <w:shd w:val="clear" w:color="auto" w:fill="E6E6E6"/>
            <w:hideMark/>
          </w:tcPr>
          <w:p w:rsidR="00F9552F" w:rsidRPr="00294CBC" w:rsidRDefault="00F9552F" w:rsidP="00294CBC">
            <w:pPr>
              <w:pStyle w:val="NoSpacing"/>
              <w:rPr>
                <w:b/>
                <w:sz w:val="22"/>
                <w:szCs w:val="22"/>
                <w:lang w:val="sr-Latn-BA"/>
              </w:rPr>
            </w:pPr>
            <w:r w:rsidRPr="00294CBC">
              <w:rPr>
                <w:b/>
                <w:sz w:val="22"/>
                <w:szCs w:val="22"/>
                <w:lang w:val="sr-Latn-BA"/>
              </w:rPr>
              <w:t xml:space="preserve">Godina </w:t>
            </w:r>
          </w:p>
        </w:tc>
      </w:tr>
      <w:tr w:rsidR="00F9552F" w:rsidRPr="00294CBC" w:rsidTr="00F9552F">
        <w:tc>
          <w:tcPr>
            <w:tcW w:w="785"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rPr>
                <w:sz w:val="22"/>
                <w:szCs w:val="22"/>
                <w:lang w:val="sr-Latn-BA"/>
              </w:rPr>
            </w:pPr>
            <w:r w:rsidRPr="00294CBC">
              <w:rPr>
                <w:sz w:val="22"/>
                <w:szCs w:val="22"/>
                <w:lang w:val="sr-Latn-BA"/>
              </w:rPr>
              <w:t>1.</w:t>
            </w:r>
          </w:p>
        </w:tc>
        <w:tc>
          <w:tcPr>
            <w:tcW w:w="5818"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rPr>
                <w:sz w:val="22"/>
                <w:szCs w:val="22"/>
                <w:lang w:val="sr-Latn-BA"/>
              </w:rPr>
            </w:pPr>
            <w:r w:rsidRPr="00294CBC">
              <w:rPr>
                <w:sz w:val="22"/>
                <w:szCs w:val="22"/>
                <w:lang w:val="sr-Latn-BA"/>
              </w:rPr>
              <w:t>Nelikvidnost banke u dužem vremenskom periodu</w:t>
            </w:r>
          </w:p>
        </w:tc>
        <w:tc>
          <w:tcPr>
            <w:tcW w:w="1590"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jc w:val="center"/>
              <w:rPr>
                <w:sz w:val="22"/>
                <w:szCs w:val="22"/>
                <w:lang w:val="sr-Latn-BA"/>
              </w:rPr>
            </w:pPr>
            <w:r w:rsidRPr="00294CBC">
              <w:rPr>
                <w:sz w:val="22"/>
                <w:szCs w:val="22"/>
                <w:lang w:val="sr-Latn-BA"/>
              </w:rPr>
              <w:t>BBRB</w:t>
            </w:r>
          </w:p>
        </w:tc>
        <w:tc>
          <w:tcPr>
            <w:tcW w:w="1427"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jc w:val="center"/>
              <w:rPr>
                <w:sz w:val="22"/>
                <w:szCs w:val="22"/>
                <w:lang w:val="sr-Latn-BA"/>
              </w:rPr>
            </w:pPr>
            <w:r w:rsidRPr="00294CBC">
              <w:rPr>
                <w:sz w:val="22"/>
                <w:szCs w:val="22"/>
                <w:lang w:val="sr-Latn-BA"/>
              </w:rPr>
              <w:t>2014.</w:t>
            </w:r>
          </w:p>
        </w:tc>
      </w:tr>
      <w:tr w:rsidR="00F9552F" w:rsidRPr="00294CBC" w:rsidTr="00F9552F">
        <w:tc>
          <w:tcPr>
            <w:tcW w:w="785"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rPr>
                <w:sz w:val="22"/>
                <w:szCs w:val="22"/>
                <w:lang w:val="sr-Latn-BA"/>
              </w:rPr>
            </w:pPr>
            <w:r w:rsidRPr="00294CBC">
              <w:rPr>
                <w:sz w:val="22"/>
                <w:szCs w:val="22"/>
                <w:lang w:val="sr-Latn-BA"/>
              </w:rPr>
              <w:t>2.</w:t>
            </w:r>
          </w:p>
        </w:tc>
        <w:tc>
          <w:tcPr>
            <w:tcW w:w="5818"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rPr>
                <w:sz w:val="22"/>
                <w:szCs w:val="22"/>
                <w:lang w:val="sr-Latn-BA"/>
              </w:rPr>
            </w:pPr>
            <w:r w:rsidRPr="00294CBC">
              <w:rPr>
                <w:sz w:val="22"/>
                <w:szCs w:val="22"/>
                <w:lang w:val="sr-Latn-BA"/>
              </w:rPr>
              <w:t>Nakon velikog gubitka, dokapitalizacije i nacionalizacije, ponovo veliki gubitak u narednoj godini.</w:t>
            </w:r>
          </w:p>
        </w:tc>
        <w:tc>
          <w:tcPr>
            <w:tcW w:w="1590"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jc w:val="center"/>
              <w:rPr>
                <w:sz w:val="22"/>
                <w:szCs w:val="22"/>
                <w:lang w:val="sr-Latn-BA"/>
              </w:rPr>
            </w:pPr>
            <w:r w:rsidRPr="00294CBC">
              <w:rPr>
                <w:sz w:val="22"/>
                <w:szCs w:val="22"/>
                <w:lang w:val="sr-Latn-BA"/>
              </w:rPr>
              <w:t>BLKB</w:t>
            </w:r>
          </w:p>
        </w:tc>
        <w:tc>
          <w:tcPr>
            <w:tcW w:w="1427"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jc w:val="center"/>
              <w:rPr>
                <w:sz w:val="22"/>
                <w:szCs w:val="22"/>
                <w:lang w:val="sr-Latn-BA"/>
              </w:rPr>
            </w:pPr>
            <w:r w:rsidRPr="00294CBC">
              <w:rPr>
                <w:sz w:val="22"/>
                <w:szCs w:val="22"/>
                <w:lang w:val="sr-Latn-BA"/>
              </w:rPr>
              <w:t>2014.</w:t>
            </w:r>
          </w:p>
        </w:tc>
      </w:tr>
      <w:tr w:rsidR="00F9552F" w:rsidRPr="00294CBC" w:rsidTr="00F9552F">
        <w:tc>
          <w:tcPr>
            <w:tcW w:w="785"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rPr>
                <w:sz w:val="22"/>
                <w:szCs w:val="22"/>
                <w:lang w:val="sr-Latn-BA"/>
              </w:rPr>
            </w:pPr>
            <w:r w:rsidRPr="00294CBC">
              <w:rPr>
                <w:sz w:val="22"/>
                <w:szCs w:val="22"/>
                <w:lang w:val="sr-Latn-BA"/>
              </w:rPr>
              <w:t>3.</w:t>
            </w:r>
          </w:p>
        </w:tc>
        <w:tc>
          <w:tcPr>
            <w:tcW w:w="5818"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rPr>
                <w:sz w:val="22"/>
                <w:szCs w:val="22"/>
                <w:lang w:val="sr-Latn-BA"/>
              </w:rPr>
            </w:pPr>
            <w:r w:rsidRPr="00294CBC">
              <w:rPr>
                <w:sz w:val="22"/>
                <w:szCs w:val="22"/>
                <w:lang w:val="sr-Latn-BA"/>
              </w:rPr>
              <w:t>Nakon velikog gubitka i dokapitalizacije, ponovo veliki gubitak u narednoj godini.</w:t>
            </w:r>
          </w:p>
        </w:tc>
        <w:tc>
          <w:tcPr>
            <w:tcW w:w="1590"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jc w:val="center"/>
              <w:rPr>
                <w:sz w:val="22"/>
                <w:szCs w:val="22"/>
                <w:lang w:val="sr-Latn-BA"/>
              </w:rPr>
            </w:pPr>
            <w:r w:rsidRPr="00294CBC">
              <w:rPr>
                <w:sz w:val="22"/>
                <w:szCs w:val="22"/>
                <w:lang w:val="sr-Latn-BA"/>
              </w:rPr>
              <w:t>KRLB</w:t>
            </w:r>
          </w:p>
        </w:tc>
        <w:tc>
          <w:tcPr>
            <w:tcW w:w="1427"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jc w:val="center"/>
              <w:rPr>
                <w:sz w:val="22"/>
                <w:szCs w:val="22"/>
                <w:lang w:val="sr-Latn-BA"/>
              </w:rPr>
            </w:pPr>
            <w:r w:rsidRPr="00294CBC">
              <w:rPr>
                <w:sz w:val="22"/>
                <w:szCs w:val="22"/>
                <w:lang w:val="sr-Latn-BA"/>
              </w:rPr>
              <w:t>2014.</w:t>
            </w:r>
          </w:p>
        </w:tc>
      </w:tr>
      <w:tr w:rsidR="00F9552F" w:rsidRPr="00294CBC" w:rsidTr="00F9552F">
        <w:tc>
          <w:tcPr>
            <w:tcW w:w="785"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rPr>
                <w:sz w:val="22"/>
                <w:szCs w:val="22"/>
                <w:lang w:val="sr-Latn-BA"/>
              </w:rPr>
            </w:pPr>
            <w:r w:rsidRPr="00294CBC">
              <w:rPr>
                <w:sz w:val="22"/>
                <w:szCs w:val="22"/>
                <w:lang w:val="sr-Latn-BA"/>
              </w:rPr>
              <w:t>4.</w:t>
            </w:r>
          </w:p>
        </w:tc>
        <w:tc>
          <w:tcPr>
            <w:tcW w:w="5818"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rPr>
                <w:sz w:val="22"/>
                <w:szCs w:val="22"/>
                <w:lang w:val="sr-Latn-BA"/>
              </w:rPr>
            </w:pPr>
            <w:r w:rsidRPr="00294CBC">
              <w:rPr>
                <w:sz w:val="22"/>
                <w:szCs w:val="22"/>
                <w:lang w:val="sr-Latn-BA"/>
              </w:rPr>
              <w:t>Masovno povlačenje depozita iz banke, što primorava banku da uz značajan diskont, u kratkom roku, likvidira visok iznos visokoprinosnih finansijskih instrumenta koji su u njenom posjedu</w:t>
            </w:r>
          </w:p>
        </w:tc>
        <w:tc>
          <w:tcPr>
            <w:tcW w:w="1590"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jc w:val="center"/>
              <w:rPr>
                <w:sz w:val="22"/>
                <w:szCs w:val="22"/>
                <w:lang w:val="sr-Latn-BA"/>
              </w:rPr>
            </w:pPr>
            <w:r w:rsidRPr="00294CBC">
              <w:rPr>
                <w:sz w:val="22"/>
                <w:szCs w:val="22"/>
                <w:lang w:val="sr-Latn-BA"/>
              </w:rPr>
              <w:t>PIBB</w:t>
            </w:r>
          </w:p>
        </w:tc>
        <w:tc>
          <w:tcPr>
            <w:tcW w:w="1427"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jc w:val="center"/>
              <w:rPr>
                <w:sz w:val="22"/>
                <w:szCs w:val="22"/>
                <w:lang w:val="sr-Latn-BA"/>
              </w:rPr>
            </w:pPr>
            <w:r w:rsidRPr="00294CBC">
              <w:rPr>
                <w:sz w:val="22"/>
                <w:szCs w:val="22"/>
                <w:lang w:val="sr-Latn-BA"/>
              </w:rPr>
              <w:t>2014.</w:t>
            </w:r>
          </w:p>
        </w:tc>
      </w:tr>
      <w:tr w:rsidR="00F9552F" w:rsidRPr="00294CBC" w:rsidTr="00F9552F">
        <w:tc>
          <w:tcPr>
            <w:tcW w:w="785"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rPr>
                <w:sz w:val="22"/>
                <w:szCs w:val="22"/>
                <w:lang w:val="sr-Latn-BA"/>
              </w:rPr>
            </w:pPr>
            <w:r w:rsidRPr="00294CBC">
              <w:rPr>
                <w:sz w:val="22"/>
                <w:szCs w:val="22"/>
                <w:lang w:val="sr-Latn-BA"/>
              </w:rPr>
              <w:t>5.</w:t>
            </w:r>
          </w:p>
        </w:tc>
        <w:tc>
          <w:tcPr>
            <w:tcW w:w="5818"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rPr>
                <w:sz w:val="22"/>
                <w:szCs w:val="22"/>
                <w:lang w:val="sr-Latn-BA"/>
              </w:rPr>
            </w:pPr>
            <w:r w:rsidRPr="00294CBC">
              <w:rPr>
                <w:sz w:val="22"/>
                <w:szCs w:val="22"/>
                <w:lang w:val="sr-Latn-BA"/>
              </w:rPr>
              <w:t>Nedostavljanje i/ili odbijanje da se dostave revidirani finansijski izvještaji institucijama koje su nosioci javnih ovlaštenja</w:t>
            </w:r>
          </w:p>
        </w:tc>
        <w:tc>
          <w:tcPr>
            <w:tcW w:w="1590"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jc w:val="center"/>
              <w:rPr>
                <w:sz w:val="22"/>
                <w:szCs w:val="22"/>
                <w:lang w:val="sr-Latn-BA"/>
              </w:rPr>
            </w:pPr>
            <w:r w:rsidRPr="00294CBC">
              <w:rPr>
                <w:sz w:val="22"/>
                <w:szCs w:val="22"/>
                <w:lang w:val="sr-Latn-BA"/>
              </w:rPr>
              <w:t>BLKB</w:t>
            </w:r>
          </w:p>
        </w:tc>
        <w:tc>
          <w:tcPr>
            <w:tcW w:w="1427" w:type="dxa"/>
            <w:tcBorders>
              <w:top w:val="single" w:sz="4" w:space="0" w:color="auto"/>
              <w:left w:val="single" w:sz="4" w:space="0" w:color="auto"/>
              <w:bottom w:val="single" w:sz="4" w:space="0" w:color="auto"/>
              <w:right w:val="single" w:sz="4" w:space="0" w:color="auto"/>
            </w:tcBorders>
            <w:vAlign w:val="center"/>
            <w:hideMark/>
          </w:tcPr>
          <w:p w:rsidR="00F9552F" w:rsidRPr="00294CBC" w:rsidRDefault="00F9552F" w:rsidP="00294CBC">
            <w:pPr>
              <w:pStyle w:val="NoSpacing"/>
              <w:jc w:val="center"/>
              <w:rPr>
                <w:sz w:val="22"/>
                <w:szCs w:val="22"/>
                <w:lang w:val="sr-Latn-BA"/>
              </w:rPr>
            </w:pPr>
            <w:r w:rsidRPr="00294CBC">
              <w:rPr>
                <w:sz w:val="22"/>
                <w:szCs w:val="22"/>
                <w:lang w:val="sr-Latn-BA"/>
              </w:rPr>
              <w:t>2015.</w:t>
            </w:r>
          </w:p>
        </w:tc>
      </w:tr>
    </w:tbl>
    <w:p w:rsidR="00F9552F" w:rsidRPr="008A3B9A" w:rsidRDefault="00F9552F" w:rsidP="00294CBC">
      <w:pPr>
        <w:pStyle w:val="NoSpacing"/>
        <w:rPr>
          <w:sz w:val="20"/>
          <w:szCs w:val="20"/>
          <w:lang w:val="sr-Latn-BA"/>
        </w:rPr>
      </w:pPr>
      <w:r w:rsidRPr="008A3B9A">
        <w:rPr>
          <w:sz w:val="20"/>
          <w:szCs w:val="20"/>
          <w:lang w:val="sr-Latn-BA"/>
        </w:rPr>
        <w:t xml:space="preserve">Izvor: Autor. </w:t>
      </w:r>
    </w:p>
    <w:p w:rsidR="00F9552F" w:rsidRDefault="00F9552F" w:rsidP="00F9552F">
      <w:pPr>
        <w:rPr>
          <w:lang w:val="sr-Latn-BA"/>
        </w:rPr>
      </w:pPr>
    </w:p>
    <w:p w:rsidR="00F9552F" w:rsidRDefault="00F9552F" w:rsidP="008A3B9A">
      <w:pPr>
        <w:ind w:firstLine="720"/>
        <w:rPr>
          <w:lang w:val="sr-Latn-BA"/>
        </w:rPr>
      </w:pPr>
      <w:r>
        <w:rPr>
          <w:lang w:val="sr-Latn-BA"/>
        </w:rPr>
        <w:lastRenderedPageBreak/>
        <w:t xml:space="preserve">Za ocijenu LPM smo imali na raspolaganju 15 finansijskih indikatora, a nakon konstrukcije desetak modela izdvojili smo model sa najsignifikantnijim finansijskim indikatorima /varijablama </w:t>
      </w:r>
      <w:r>
        <w:rPr>
          <w:sz w:val="22"/>
          <w:szCs w:val="22"/>
          <w:lang w:val="sr-Latn-BA"/>
        </w:rPr>
        <w:t>(Tabela 3)</w:t>
      </w:r>
      <w:r>
        <w:rPr>
          <w:lang w:val="sr-Latn-BA"/>
        </w:rPr>
        <w:t xml:space="preserve">. </w:t>
      </w:r>
    </w:p>
    <w:p w:rsidR="008A3B9A" w:rsidRDefault="008A3B9A" w:rsidP="008A3B9A">
      <w:pPr>
        <w:pStyle w:val="NoSpacing"/>
        <w:rPr>
          <w:sz w:val="22"/>
          <w:szCs w:val="22"/>
          <w:lang w:val="sr-Latn-BA"/>
        </w:rPr>
      </w:pPr>
    </w:p>
    <w:p w:rsidR="00F9552F" w:rsidRPr="008A3B9A" w:rsidRDefault="00F9552F" w:rsidP="008A3B9A">
      <w:pPr>
        <w:pStyle w:val="NoSpacing"/>
        <w:rPr>
          <w:sz w:val="22"/>
          <w:szCs w:val="22"/>
          <w:lang w:val="sr-Latn-BA"/>
        </w:rPr>
      </w:pPr>
      <w:r w:rsidRPr="00277681">
        <w:rPr>
          <w:b/>
          <w:sz w:val="22"/>
          <w:szCs w:val="22"/>
          <w:lang w:val="sr-Latn-BA"/>
        </w:rPr>
        <w:t>Tabela 3</w:t>
      </w:r>
      <w:r w:rsidRPr="008A3B9A">
        <w:rPr>
          <w:sz w:val="22"/>
          <w:szCs w:val="22"/>
          <w:lang w:val="sr-Latn-BA"/>
        </w:rPr>
        <w:t>. Finansijski indikatori za konstrukciju LPM</w:t>
      </w:r>
    </w:p>
    <w:tbl>
      <w:tblPr>
        <w:tblW w:w="5000" w:type="pct"/>
        <w:tblBorders>
          <w:top w:val="single" w:sz="4" w:space="0" w:color="auto"/>
          <w:bottom w:val="single" w:sz="4" w:space="0" w:color="auto"/>
          <w:insideH w:val="single" w:sz="4" w:space="0" w:color="auto"/>
        </w:tblBorders>
        <w:tblLook w:val="04A0"/>
      </w:tblPr>
      <w:tblGrid>
        <w:gridCol w:w="632"/>
        <w:gridCol w:w="1762"/>
        <w:gridCol w:w="1817"/>
        <w:gridCol w:w="1294"/>
        <w:gridCol w:w="1294"/>
        <w:gridCol w:w="2063"/>
      </w:tblGrid>
      <w:tr w:rsidR="00F9552F" w:rsidRPr="008A3B9A" w:rsidTr="00F9552F">
        <w:tc>
          <w:tcPr>
            <w:tcW w:w="328" w:type="pct"/>
            <w:tcBorders>
              <w:top w:val="single" w:sz="4" w:space="0" w:color="auto"/>
              <w:left w:val="nil"/>
              <w:bottom w:val="single" w:sz="4" w:space="0" w:color="auto"/>
              <w:right w:val="nil"/>
            </w:tcBorders>
            <w:shd w:val="clear" w:color="auto" w:fill="E6E6E6"/>
            <w:vAlign w:val="center"/>
            <w:hideMark/>
          </w:tcPr>
          <w:p w:rsidR="00F9552F" w:rsidRPr="008A3B9A" w:rsidRDefault="00F9552F" w:rsidP="008A3B9A">
            <w:pPr>
              <w:pStyle w:val="NoSpacing"/>
              <w:rPr>
                <w:b/>
                <w:sz w:val="22"/>
                <w:szCs w:val="22"/>
                <w:lang w:val="sr-Latn-BA"/>
              </w:rPr>
            </w:pPr>
            <w:r w:rsidRPr="008A3B9A">
              <w:rPr>
                <w:b/>
                <w:sz w:val="22"/>
                <w:szCs w:val="22"/>
                <w:lang w:val="sr-Latn-BA"/>
              </w:rPr>
              <w:t>R.B.</w:t>
            </w:r>
          </w:p>
        </w:tc>
        <w:tc>
          <w:tcPr>
            <w:tcW w:w="1022" w:type="pct"/>
            <w:tcBorders>
              <w:top w:val="single" w:sz="4" w:space="0" w:color="auto"/>
              <w:left w:val="nil"/>
              <w:bottom w:val="single" w:sz="4" w:space="0" w:color="auto"/>
              <w:right w:val="nil"/>
            </w:tcBorders>
            <w:shd w:val="clear" w:color="auto" w:fill="E6E6E6"/>
            <w:vAlign w:val="center"/>
            <w:hideMark/>
          </w:tcPr>
          <w:p w:rsidR="00F9552F" w:rsidRPr="008A3B9A" w:rsidRDefault="00F9552F" w:rsidP="008A3B9A">
            <w:pPr>
              <w:pStyle w:val="NoSpacing"/>
              <w:rPr>
                <w:b/>
                <w:sz w:val="22"/>
                <w:szCs w:val="22"/>
                <w:lang w:val="sr-Latn-BA"/>
              </w:rPr>
            </w:pPr>
            <w:r w:rsidRPr="008A3B9A">
              <w:rPr>
                <w:b/>
                <w:sz w:val="22"/>
                <w:szCs w:val="22"/>
                <w:lang w:val="sr-Latn-BA"/>
              </w:rPr>
              <w:t>Finansijski</w:t>
            </w:r>
          </w:p>
          <w:p w:rsidR="00F9552F" w:rsidRPr="008A3B9A" w:rsidRDefault="00F9552F" w:rsidP="008A3B9A">
            <w:pPr>
              <w:pStyle w:val="NoSpacing"/>
              <w:rPr>
                <w:b/>
                <w:sz w:val="22"/>
                <w:szCs w:val="22"/>
                <w:lang w:val="sr-Latn-BA"/>
              </w:rPr>
            </w:pPr>
            <w:r w:rsidRPr="008A3B9A">
              <w:rPr>
                <w:b/>
                <w:sz w:val="22"/>
                <w:szCs w:val="22"/>
                <w:lang w:val="sr-Latn-BA"/>
              </w:rPr>
              <w:t xml:space="preserve"> indikator</w:t>
            </w:r>
          </w:p>
        </w:tc>
        <w:tc>
          <w:tcPr>
            <w:tcW w:w="944" w:type="pct"/>
            <w:tcBorders>
              <w:top w:val="single" w:sz="4" w:space="0" w:color="auto"/>
              <w:left w:val="nil"/>
              <w:bottom w:val="single" w:sz="4" w:space="0" w:color="auto"/>
              <w:right w:val="nil"/>
            </w:tcBorders>
            <w:shd w:val="clear" w:color="auto" w:fill="E6E6E6"/>
            <w:vAlign w:val="center"/>
            <w:hideMark/>
          </w:tcPr>
          <w:p w:rsidR="00F9552F" w:rsidRPr="008A3B9A" w:rsidRDefault="00F9552F" w:rsidP="008A3B9A">
            <w:pPr>
              <w:pStyle w:val="NoSpacing"/>
              <w:rPr>
                <w:b/>
                <w:sz w:val="22"/>
                <w:szCs w:val="22"/>
                <w:lang w:val="sr-Latn-BA"/>
              </w:rPr>
            </w:pPr>
            <w:r w:rsidRPr="008A3B9A">
              <w:rPr>
                <w:b/>
                <w:sz w:val="22"/>
                <w:szCs w:val="22"/>
                <w:lang w:val="sr-Latn-BA"/>
              </w:rPr>
              <w:t>Način izračunavanja*</w:t>
            </w:r>
          </w:p>
        </w:tc>
        <w:tc>
          <w:tcPr>
            <w:tcW w:w="757" w:type="pct"/>
            <w:tcBorders>
              <w:top w:val="single" w:sz="4" w:space="0" w:color="auto"/>
              <w:left w:val="nil"/>
              <w:bottom w:val="single" w:sz="4" w:space="0" w:color="auto"/>
              <w:right w:val="nil"/>
            </w:tcBorders>
            <w:shd w:val="clear" w:color="auto" w:fill="E6E6E6"/>
            <w:hideMark/>
          </w:tcPr>
          <w:p w:rsidR="00F9552F" w:rsidRPr="008A3B9A" w:rsidRDefault="00F9552F" w:rsidP="008A3B9A">
            <w:pPr>
              <w:pStyle w:val="NoSpacing"/>
              <w:rPr>
                <w:b/>
                <w:sz w:val="22"/>
                <w:szCs w:val="22"/>
                <w:lang w:val="sr-Latn-BA"/>
              </w:rPr>
            </w:pPr>
            <w:r w:rsidRPr="008A3B9A">
              <w:rPr>
                <w:b/>
                <w:sz w:val="22"/>
                <w:szCs w:val="22"/>
                <w:lang w:val="sr-Latn-BA"/>
              </w:rPr>
              <w:t xml:space="preserve">Jedinica mjere </w:t>
            </w:r>
          </w:p>
        </w:tc>
        <w:tc>
          <w:tcPr>
            <w:tcW w:w="757" w:type="pct"/>
            <w:tcBorders>
              <w:top w:val="single" w:sz="4" w:space="0" w:color="auto"/>
              <w:left w:val="nil"/>
              <w:bottom w:val="single" w:sz="4" w:space="0" w:color="auto"/>
              <w:right w:val="nil"/>
            </w:tcBorders>
            <w:shd w:val="clear" w:color="auto" w:fill="E6E6E6"/>
            <w:vAlign w:val="center"/>
            <w:hideMark/>
          </w:tcPr>
          <w:p w:rsidR="00F9552F" w:rsidRPr="008A3B9A" w:rsidRDefault="00F9552F" w:rsidP="008A3B9A">
            <w:pPr>
              <w:pStyle w:val="NoSpacing"/>
              <w:rPr>
                <w:b/>
                <w:sz w:val="22"/>
                <w:szCs w:val="22"/>
                <w:lang w:val="sr-Latn-BA"/>
              </w:rPr>
            </w:pPr>
            <w:r w:rsidRPr="008A3B9A">
              <w:rPr>
                <w:b/>
                <w:sz w:val="22"/>
                <w:szCs w:val="22"/>
                <w:lang w:val="sr-Latn-BA"/>
              </w:rPr>
              <w:t>Skraćenica</w:t>
            </w:r>
          </w:p>
        </w:tc>
        <w:tc>
          <w:tcPr>
            <w:tcW w:w="1191" w:type="pct"/>
            <w:tcBorders>
              <w:top w:val="single" w:sz="4" w:space="0" w:color="auto"/>
              <w:left w:val="nil"/>
              <w:bottom w:val="single" w:sz="4" w:space="0" w:color="auto"/>
              <w:right w:val="nil"/>
            </w:tcBorders>
            <w:shd w:val="clear" w:color="auto" w:fill="E6E6E6"/>
            <w:vAlign w:val="center"/>
            <w:hideMark/>
          </w:tcPr>
          <w:p w:rsidR="00F9552F" w:rsidRPr="008A3B9A" w:rsidRDefault="00F9552F" w:rsidP="008A3B9A">
            <w:pPr>
              <w:pStyle w:val="NoSpacing"/>
              <w:rPr>
                <w:b/>
                <w:sz w:val="22"/>
                <w:szCs w:val="22"/>
                <w:lang w:val="sr-Latn-BA"/>
              </w:rPr>
            </w:pPr>
            <w:r w:rsidRPr="008A3B9A">
              <w:rPr>
                <w:b/>
                <w:sz w:val="22"/>
                <w:szCs w:val="22"/>
                <w:lang w:val="sr-Latn-BA"/>
              </w:rPr>
              <w:t>Opšteprihvaćena</w:t>
            </w:r>
          </w:p>
          <w:p w:rsidR="00F9552F" w:rsidRPr="008A3B9A" w:rsidRDefault="00F9552F" w:rsidP="008A3B9A">
            <w:pPr>
              <w:pStyle w:val="NoSpacing"/>
              <w:rPr>
                <w:b/>
                <w:sz w:val="22"/>
                <w:szCs w:val="22"/>
                <w:lang w:val="sr-Latn-BA"/>
              </w:rPr>
            </w:pPr>
            <w:r w:rsidRPr="008A3B9A">
              <w:rPr>
                <w:b/>
                <w:sz w:val="22"/>
                <w:szCs w:val="22"/>
                <w:lang w:val="sr-Latn-BA"/>
              </w:rPr>
              <w:t>skraćenica</w:t>
            </w:r>
          </w:p>
        </w:tc>
      </w:tr>
      <w:tr w:rsidR="00F9552F" w:rsidRPr="008A3B9A" w:rsidTr="00F9552F">
        <w:tc>
          <w:tcPr>
            <w:tcW w:w="328"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1.</w:t>
            </w:r>
          </w:p>
        </w:tc>
        <w:tc>
          <w:tcPr>
            <w:tcW w:w="1022"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Povrat na prosječan akcijski kapital</w:t>
            </w:r>
          </w:p>
        </w:tc>
        <w:tc>
          <w:tcPr>
            <w:tcW w:w="944"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Neto dobit/</w:t>
            </w:r>
          </w:p>
          <w:p w:rsidR="00F9552F" w:rsidRPr="008A3B9A" w:rsidRDefault="00F9552F" w:rsidP="008A3B9A">
            <w:pPr>
              <w:pStyle w:val="NoSpacing"/>
              <w:rPr>
                <w:sz w:val="22"/>
                <w:szCs w:val="22"/>
                <w:lang w:val="sr-Latn-BA"/>
              </w:rPr>
            </w:pPr>
            <w:r w:rsidRPr="008A3B9A">
              <w:rPr>
                <w:sz w:val="22"/>
                <w:szCs w:val="22"/>
                <w:lang w:val="sr-Latn-BA"/>
              </w:rPr>
              <w:t>prosječan akcijski kapital</w:t>
            </w:r>
          </w:p>
        </w:tc>
        <w:tc>
          <w:tcPr>
            <w:tcW w:w="757"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u %</w:t>
            </w:r>
          </w:p>
        </w:tc>
        <w:tc>
          <w:tcPr>
            <w:tcW w:w="757"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PAK</w:t>
            </w:r>
          </w:p>
        </w:tc>
        <w:tc>
          <w:tcPr>
            <w:tcW w:w="1191"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ROAE</w:t>
            </w:r>
          </w:p>
          <w:p w:rsidR="00F9552F" w:rsidRPr="008A3B9A" w:rsidRDefault="00F9552F" w:rsidP="008A3B9A">
            <w:pPr>
              <w:pStyle w:val="NoSpacing"/>
              <w:rPr>
                <w:sz w:val="22"/>
                <w:szCs w:val="22"/>
                <w:lang w:val="sr-Latn-BA"/>
              </w:rPr>
            </w:pPr>
            <w:r w:rsidRPr="008A3B9A">
              <w:rPr>
                <w:sz w:val="22"/>
                <w:szCs w:val="22"/>
                <w:lang w:val="sr-Latn-BA"/>
              </w:rPr>
              <w:t>(return on average equity)</w:t>
            </w:r>
          </w:p>
        </w:tc>
      </w:tr>
      <w:tr w:rsidR="00F9552F" w:rsidRPr="008A3B9A" w:rsidTr="00F9552F">
        <w:tc>
          <w:tcPr>
            <w:tcW w:w="328"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2.</w:t>
            </w:r>
          </w:p>
        </w:tc>
        <w:tc>
          <w:tcPr>
            <w:tcW w:w="1022"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Implicitne aktivne kamatne stope</w:t>
            </w:r>
          </w:p>
        </w:tc>
        <w:tc>
          <w:tcPr>
            <w:tcW w:w="944"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Prihodi od kamata/</w:t>
            </w:r>
          </w:p>
          <w:p w:rsidR="00F9552F" w:rsidRPr="008A3B9A" w:rsidRDefault="00F9552F" w:rsidP="008A3B9A">
            <w:pPr>
              <w:pStyle w:val="NoSpacing"/>
              <w:rPr>
                <w:sz w:val="22"/>
                <w:szCs w:val="22"/>
                <w:lang w:val="sr-Latn-BA"/>
              </w:rPr>
            </w:pPr>
            <w:r w:rsidRPr="008A3B9A">
              <w:rPr>
                <w:sz w:val="22"/>
                <w:szCs w:val="22"/>
                <w:lang w:val="sr-Latn-BA"/>
              </w:rPr>
              <w:t>prosječna aktiva</w:t>
            </w:r>
          </w:p>
        </w:tc>
        <w:tc>
          <w:tcPr>
            <w:tcW w:w="757"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u %</w:t>
            </w:r>
          </w:p>
        </w:tc>
        <w:tc>
          <w:tcPr>
            <w:tcW w:w="757"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IAKS</w:t>
            </w:r>
          </w:p>
        </w:tc>
        <w:tc>
          <w:tcPr>
            <w:tcW w:w="1191"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(IIR)</w:t>
            </w:r>
          </w:p>
          <w:p w:rsidR="00F9552F" w:rsidRPr="008A3B9A" w:rsidRDefault="00F9552F" w:rsidP="008A3B9A">
            <w:pPr>
              <w:pStyle w:val="NoSpacing"/>
              <w:rPr>
                <w:sz w:val="22"/>
                <w:szCs w:val="22"/>
                <w:lang w:val="sr-Latn-BA"/>
              </w:rPr>
            </w:pPr>
            <w:r w:rsidRPr="008A3B9A">
              <w:rPr>
                <w:sz w:val="22"/>
                <w:szCs w:val="22"/>
                <w:lang w:val="sr-Latn-BA"/>
              </w:rPr>
              <w:t>implicit active interest rate</w:t>
            </w:r>
          </w:p>
        </w:tc>
      </w:tr>
      <w:tr w:rsidR="00F9552F" w:rsidRPr="008A3B9A" w:rsidTr="00F9552F">
        <w:tc>
          <w:tcPr>
            <w:tcW w:w="328"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3.</w:t>
            </w:r>
          </w:p>
        </w:tc>
        <w:tc>
          <w:tcPr>
            <w:tcW w:w="1022"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Neto kamatna margina</w:t>
            </w:r>
          </w:p>
        </w:tc>
        <w:tc>
          <w:tcPr>
            <w:tcW w:w="944"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Neto prihodi od kamata/prosiječna aktiva</w:t>
            </w:r>
          </w:p>
        </w:tc>
        <w:tc>
          <w:tcPr>
            <w:tcW w:w="757"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u %</w:t>
            </w:r>
          </w:p>
        </w:tc>
        <w:tc>
          <w:tcPr>
            <w:tcW w:w="757"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NKM</w:t>
            </w:r>
          </w:p>
        </w:tc>
        <w:tc>
          <w:tcPr>
            <w:tcW w:w="1191"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NIM</w:t>
            </w:r>
          </w:p>
          <w:p w:rsidR="00F9552F" w:rsidRPr="008A3B9A" w:rsidRDefault="00F9552F" w:rsidP="008A3B9A">
            <w:pPr>
              <w:pStyle w:val="NoSpacing"/>
              <w:rPr>
                <w:sz w:val="22"/>
                <w:szCs w:val="22"/>
                <w:lang w:val="sr-Latn-BA"/>
              </w:rPr>
            </w:pPr>
            <w:r w:rsidRPr="008A3B9A">
              <w:rPr>
                <w:sz w:val="22"/>
                <w:szCs w:val="22"/>
                <w:lang w:val="sr-Latn-BA"/>
              </w:rPr>
              <w:t>(net interest margin)</w:t>
            </w:r>
          </w:p>
        </w:tc>
      </w:tr>
      <w:tr w:rsidR="00F9552F" w:rsidRPr="008A3B9A" w:rsidTr="00F9552F">
        <w:tc>
          <w:tcPr>
            <w:tcW w:w="328"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4.</w:t>
            </w:r>
          </w:p>
        </w:tc>
        <w:tc>
          <w:tcPr>
            <w:tcW w:w="1022"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Koeficijent obrta aktive</w:t>
            </w:r>
          </w:p>
        </w:tc>
        <w:tc>
          <w:tcPr>
            <w:tcW w:w="944"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Ukupni prihodi/</w:t>
            </w:r>
          </w:p>
          <w:p w:rsidR="00F9552F" w:rsidRPr="008A3B9A" w:rsidRDefault="00F9552F" w:rsidP="008A3B9A">
            <w:pPr>
              <w:pStyle w:val="NoSpacing"/>
              <w:rPr>
                <w:sz w:val="22"/>
                <w:szCs w:val="22"/>
                <w:lang w:val="sr-Latn-BA"/>
              </w:rPr>
            </w:pPr>
            <w:r w:rsidRPr="008A3B9A">
              <w:rPr>
                <w:sz w:val="22"/>
                <w:szCs w:val="22"/>
                <w:lang w:val="sr-Latn-BA"/>
              </w:rPr>
              <w:t>prosiječna aktiva</w:t>
            </w:r>
          </w:p>
        </w:tc>
        <w:tc>
          <w:tcPr>
            <w:tcW w:w="757"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u %</w:t>
            </w:r>
          </w:p>
        </w:tc>
        <w:tc>
          <w:tcPr>
            <w:tcW w:w="757"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KOA</w:t>
            </w:r>
          </w:p>
        </w:tc>
        <w:tc>
          <w:tcPr>
            <w:tcW w:w="1191"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AU</w:t>
            </w:r>
          </w:p>
          <w:p w:rsidR="00F9552F" w:rsidRPr="008A3B9A" w:rsidRDefault="00F9552F" w:rsidP="008A3B9A">
            <w:pPr>
              <w:pStyle w:val="NoSpacing"/>
              <w:rPr>
                <w:sz w:val="22"/>
                <w:szCs w:val="22"/>
                <w:lang w:val="sr-Latn-BA"/>
              </w:rPr>
            </w:pPr>
            <w:r w:rsidRPr="008A3B9A">
              <w:rPr>
                <w:sz w:val="22"/>
                <w:szCs w:val="22"/>
                <w:lang w:val="sr-Latn-BA"/>
              </w:rPr>
              <w:t>(asset utilisation)</w:t>
            </w:r>
          </w:p>
        </w:tc>
      </w:tr>
      <w:tr w:rsidR="00F9552F" w:rsidRPr="008A3B9A" w:rsidTr="00F9552F">
        <w:tc>
          <w:tcPr>
            <w:tcW w:w="328"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5.</w:t>
            </w:r>
          </w:p>
        </w:tc>
        <w:tc>
          <w:tcPr>
            <w:tcW w:w="1022"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Intenzitet kredita</w:t>
            </w:r>
          </w:p>
        </w:tc>
        <w:tc>
          <w:tcPr>
            <w:tcW w:w="944"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Krediti/aktiva</w:t>
            </w:r>
          </w:p>
        </w:tc>
        <w:tc>
          <w:tcPr>
            <w:tcW w:w="757"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u %</w:t>
            </w:r>
          </w:p>
        </w:tc>
        <w:tc>
          <w:tcPr>
            <w:tcW w:w="757"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IKRE</w:t>
            </w:r>
          </w:p>
        </w:tc>
        <w:tc>
          <w:tcPr>
            <w:tcW w:w="1191" w:type="pct"/>
            <w:tcBorders>
              <w:top w:val="single" w:sz="4" w:space="0" w:color="auto"/>
              <w:left w:val="nil"/>
              <w:bottom w:val="single" w:sz="4" w:space="0" w:color="auto"/>
              <w:right w:val="nil"/>
            </w:tcBorders>
            <w:vAlign w:val="center"/>
            <w:hideMark/>
          </w:tcPr>
          <w:p w:rsidR="00F9552F" w:rsidRPr="008A3B9A" w:rsidRDefault="00F9552F" w:rsidP="008A3B9A">
            <w:pPr>
              <w:pStyle w:val="NoSpacing"/>
              <w:rPr>
                <w:sz w:val="22"/>
                <w:szCs w:val="22"/>
                <w:lang w:val="sr-Latn-BA"/>
              </w:rPr>
            </w:pPr>
            <w:r w:rsidRPr="008A3B9A">
              <w:rPr>
                <w:sz w:val="22"/>
                <w:szCs w:val="22"/>
                <w:lang w:val="sr-Latn-BA"/>
              </w:rPr>
              <w:t>LtA</w:t>
            </w:r>
          </w:p>
          <w:p w:rsidR="00F9552F" w:rsidRPr="008A3B9A" w:rsidRDefault="00F9552F" w:rsidP="008A3B9A">
            <w:pPr>
              <w:pStyle w:val="NoSpacing"/>
              <w:rPr>
                <w:sz w:val="22"/>
                <w:szCs w:val="22"/>
                <w:lang w:val="sr-Latn-BA"/>
              </w:rPr>
            </w:pPr>
            <w:r w:rsidRPr="008A3B9A">
              <w:rPr>
                <w:sz w:val="22"/>
                <w:szCs w:val="22"/>
                <w:lang w:val="sr-Latn-BA"/>
              </w:rPr>
              <w:t>(loan to asset ratio)</w:t>
            </w:r>
          </w:p>
        </w:tc>
      </w:tr>
    </w:tbl>
    <w:p w:rsidR="00F9552F" w:rsidRPr="008A3B9A" w:rsidRDefault="00F9552F" w:rsidP="008A3B9A">
      <w:pPr>
        <w:pStyle w:val="NoSpacing"/>
        <w:rPr>
          <w:sz w:val="20"/>
          <w:szCs w:val="20"/>
          <w:lang w:val="sr-Latn-BA"/>
        </w:rPr>
      </w:pPr>
      <w:r w:rsidRPr="008A3B9A">
        <w:rPr>
          <w:sz w:val="20"/>
          <w:szCs w:val="20"/>
          <w:lang w:val="sr-Latn-BA"/>
        </w:rPr>
        <w:t xml:space="preserve">Izvor: Autor. </w:t>
      </w:r>
    </w:p>
    <w:p w:rsidR="00F9552F" w:rsidRDefault="00F9552F" w:rsidP="00F9552F">
      <w:pPr>
        <w:rPr>
          <w:b/>
          <w:lang w:val="sr-Latn-BA"/>
        </w:rPr>
      </w:pPr>
      <w:r>
        <w:rPr>
          <w:b/>
          <w:lang w:val="sr-Latn-BA"/>
        </w:rPr>
        <w:t xml:space="preserve">Rezultati i diskusija </w:t>
      </w:r>
    </w:p>
    <w:p w:rsidR="00F9552F" w:rsidRPr="008A3B9A" w:rsidRDefault="00F9552F" w:rsidP="008A3B9A">
      <w:pPr>
        <w:ind w:firstLine="720"/>
        <w:rPr>
          <w:lang w:val="sr-Latn-BA"/>
        </w:rPr>
      </w:pPr>
      <w:r>
        <w:rPr>
          <w:lang w:val="sr-Latn-BA"/>
        </w:rPr>
        <w:t>Na osnovu indikatora peformansi banaka (</w:t>
      </w:r>
      <w:r>
        <w:rPr>
          <w:sz w:val="20"/>
          <w:szCs w:val="20"/>
          <w:lang w:val="sr-Latn-BA"/>
        </w:rPr>
        <w:t>Tabela 4</w:t>
      </w:r>
      <w:r>
        <w:rPr>
          <w:lang w:val="sr-Latn-BA"/>
        </w:rPr>
        <w:t>) konstruisan je model (</w:t>
      </w:r>
      <w:r>
        <w:rPr>
          <w:sz w:val="20"/>
          <w:szCs w:val="20"/>
          <w:lang w:val="sr-Latn-BA"/>
        </w:rPr>
        <w:t>Tabela 5</w:t>
      </w:r>
      <w:r>
        <w:rPr>
          <w:lang w:val="sr-Latn-BA"/>
        </w:rPr>
        <w:t>) u kojem su svi regresori visokosignifikantni, a koeficijent determinacije je blizak jedinici (</w:t>
      </w:r>
      <w:r>
        <w:rPr>
          <w:sz w:val="20"/>
          <w:szCs w:val="20"/>
          <w:lang w:val="sr-Latn-BA"/>
        </w:rPr>
        <w:t>Tabela 6</w:t>
      </w:r>
      <w:r>
        <w:rPr>
          <w:lang w:val="sr-Latn-BA"/>
        </w:rPr>
        <w:t xml:space="preserve">). Regresor PAK ima očekivani znaka, a inverzija u slučaju IAKS nije u saglasnosti sa ranijim nalazima do kojih se došlo kroz pojedinačnu analizu loših banaka, što bi se moglo objasniti nereprezentativnim i malim uzorkom banaka sa kojima su loše banke poređene. </w:t>
      </w:r>
      <w:r w:rsidR="008A3B9A">
        <w:rPr>
          <w:lang w:val="sr-Latn-BA"/>
        </w:rPr>
        <w:tab/>
      </w:r>
      <w:r w:rsidR="008A3B9A">
        <w:rPr>
          <w:lang w:val="sr-Latn-BA"/>
        </w:rPr>
        <w:tab/>
      </w:r>
      <w:r w:rsidR="008A3B9A">
        <w:rPr>
          <w:lang w:val="sr-Latn-BA"/>
        </w:rPr>
        <w:tab/>
      </w:r>
      <w:r w:rsidR="008A3B9A">
        <w:rPr>
          <w:lang w:val="sr-Latn-BA"/>
        </w:rPr>
        <w:tab/>
      </w:r>
      <w:r w:rsidR="008A3B9A">
        <w:rPr>
          <w:lang w:val="sr-Latn-BA"/>
        </w:rPr>
        <w:tab/>
      </w:r>
      <w:r w:rsidR="008A3B9A">
        <w:rPr>
          <w:lang w:val="sr-Latn-BA"/>
        </w:rPr>
        <w:tab/>
      </w:r>
      <w:r w:rsidR="008A3B9A">
        <w:rPr>
          <w:lang w:val="sr-Latn-BA"/>
        </w:rPr>
        <w:tab/>
      </w:r>
      <w:r w:rsidR="008A3B9A">
        <w:rPr>
          <w:lang w:val="sr-Latn-BA"/>
        </w:rPr>
        <w:tab/>
      </w:r>
      <w:r w:rsidR="008A3B9A">
        <w:rPr>
          <w:lang w:val="sr-Latn-BA"/>
        </w:rPr>
        <w:tab/>
      </w:r>
      <w:r w:rsidR="008A3B9A">
        <w:rPr>
          <w:lang w:val="sr-Latn-BA"/>
        </w:rPr>
        <w:tab/>
      </w:r>
      <w:r>
        <w:rPr>
          <w:lang w:val="sr-Latn-BA"/>
        </w:rPr>
        <w:t>Rast PAK smanjuje vrijednost zavisne promjenljive tj. vjerovatnoću neuspjeha, a inverzan odnos prema vjerovatnoći neuspijeha ima i IAKS. Rast PAK za 1 p.p. (procentnih poena) smanjuje vjerovatnoću neuspjeha za 0,018 p.p., dok rast IAKS za 1 p.p. ima daleko intezivniji efekta na vjerovatnoću neuspjeha i smanjuje je za 0,66. Sa rastom NKM za 1 p.p. raste vjerovatnoća neuspjeha za 0,35 i ovo je u skladu sa ekonomskom teorijom i empirijskim nalazima o bilansnim</w:t>
      </w:r>
      <w:r w:rsidR="008A3B9A">
        <w:rPr>
          <w:lang w:val="sr-Latn-BA"/>
        </w:rPr>
        <w:t xml:space="preserve"> karakteristikama loših banaka.</w:t>
      </w:r>
      <w:r w:rsidR="008A3B9A">
        <w:rPr>
          <w:lang w:val="sr-Latn-BA"/>
        </w:rPr>
        <w:tab/>
      </w:r>
      <w:r>
        <w:rPr>
          <w:lang w:val="sr-Latn-BA"/>
        </w:rPr>
        <w:t xml:space="preserve">Pozitivna veza između koeficijenta obrta aktive, KOA, i vjerovatnoće neuspjeha, takođe je očekivana i potvrđuje da loše banke imaju iznadprosječan odnos prihoda i aktive, ali veliki dio tih prihoda je nenaplativ – rast KOA za 1 p.p. povećava, ceteris paribus (sve ostalo jednako), vjerovatnoću neuspjeha za 0,46. Uticaj, IKRE, je inverzan i signifikantan, ali i nizak – povećanje IKRE za 1 p.p. smanjuje vjerovatnoću neuspjeha za 0,011 p.p. </w:t>
      </w:r>
      <w:r w:rsidR="00CD5909">
        <w:rPr>
          <w:lang w:val="sr-Latn-BA"/>
        </w:rPr>
        <w:tab/>
      </w:r>
      <w:r w:rsidR="00CD5909">
        <w:rPr>
          <w:lang w:val="sr-Latn-BA"/>
        </w:rPr>
        <w:tab/>
      </w:r>
      <w:r w:rsidR="00CD5909">
        <w:rPr>
          <w:lang w:val="sr-Latn-BA"/>
        </w:rPr>
        <w:tab/>
      </w:r>
      <w:r w:rsidR="00CD5909">
        <w:rPr>
          <w:lang w:val="sr-Latn-BA"/>
        </w:rPr>
        <w:tab/>
      </w:r>
      <w:r w:rsidR="00CD5909">
        <w:rPr>
          <w:lang w:val="sr-Latn-BA"/>
        </w:rPr>
        <w:tab/>
      </w:r>
      <w:r w:rsidR="00CD5909">
        <w:rPr>
          <w:lang w:val="sr-Latn-BA"/>
        </w:rPr>
        <w:tab/>
      </w:r>
      <w:r w:rsidR="00CD5909">
        <w:rPr>
          <w:lang w:val="sr-Latn-BA"/>
        </w:rPr>
        <w:tab/>
      </w:r>
      <w:r w:rsidR="00CD5909">
        <w:rPr>
          <w:lang w:val="sr-Latn-BA"/>
        </w:rPr>
        <w:tab/>
      </w:r>
      <w:r w:rsidR="00CD5909">
        <w:rPr>
          <w:lang w:val="sr-Latn-BA"/>
        </w:rPr>
        <w:tab/>
      </w:r>
      <w:r w:rsidR="00CD5909">
        <w:rPr>
          <w:lang w:val="sr-Latn-BA"/>
        </w:rPr>
        <w:tab/>
      </w:r>
      <w:r w:rsidR="00CD5909">
        <w:rPr>
          <w:lang w:val="sr-Latn-BA"/>
        </w:rPr>
        <w:tab/>
      </w:r>
      <w:r>
        <w:rPr>
          <w:lang w:val="sr-Latn-BA"/>
        </w:rPr>
        <w:t xml:space="preserve">Vrijednost Dubin-Votsonove statistike od 2,41, pokazuje da između reziduala postoji negativna korelacija prvog reda.  </w:t>
      </w:r>
    </w:p>
    <w:p w:rsidR="00F9552F" w:rsidRDefault="00F9552F" w:rsidP="00F9552F">
      <w:pPr>
        <w:rPr>
          <w:rFonts w:cs="Times New Roman"/>
          <w:b/>
          <w:lang w:val="sr-Latn-BA"/>
        </w:rPr>
      </w:pPr>
    </w:p>
    <w:p w:rsidR="008A3B9A" w:rsidRDefault="008A3B9A" w:rsidP="00F9552F">
      <w:pPr>
        <w:rPr>
          <w:sz w:val="22"/>
          <w:szCs w:val="22"/>
          <w:lang w:val="sr-Latn-BA"/>
        </w:rPr>
      </w:pPr>
    </w:p>
    <w:p w:rsidR="008A3B9A" w:rsidRDefault="008A3B9A" w:rsidP="00F9552F">
      <w:pPr>
        <w:rPr>
          <w:sz w:val="22"/>
          <w:szCs w:val="22"/>
          <w:lang w:val="sr-Latn-BA"/>
        </w:rPr>
      </w:pPr>
    </w:p>
    <w:p w:rsidR="00F9552F" w:rsidRPr="008A3B9A" w:rsidRDefault="00F9552F" w:rsidP="008A3B9A">
      <w:pPr>
        <w:pStyle w:val="NoSpacing"/>
        <w:rPr>
          <w:rFonts w:cs="Times New Roman"/>
          <w:sz w:val="22"/>
          <w:szCs w:val="22"/>
          <w:lang w:val="sr-Latn-BA"/>
        </w:rPr>
      </w:pPr>
      <w:r w:rsidRPr="00277681">
        <w:rPr>
          <w:rFonts w:cs="Times New Roman"/>
          <w:b/>
          <w:sz w:val="22"/>
          <w:szCs w:val="22"/>
          <w:lang w:val="sr-Latn-BA"/>
        </w:rPr>
        <w:t>Tabela 4</w:t>
      </w:r>
      <w:r w:rsidRPr="008A3B9A">
        <w:rPr>
          <w:rFonts w:cs="Times New Roman"/>
          <w:sz w:val="22"/>
          <w:szCs w:val="22"/>
          <w:lang w:val="sr-Latn-BA"/>
        </w:rPr>
        <w:t xml:space="preserve">. Podaci za LPM model – BSRS* </w:t>
      </w:r>
    </w:p>
    <w:tbl>
      <w:tblPr>
        <w:tblW w:w="5000" w:type="pct"/>
        <w:tblBorders>
          <w:top w:val="single" w:sz="4" w:space="0" w:color="auto"/>
          <w:bottom w:val="single" w:sz="4" w:space="0" w:color="auto"/>
          <w:insideH w:val="single" w:sz="4" w:space="0" w:color="auto"/>
        </w:tblBorders>
        <w:tblLook w:val="04A0"/>
      </w:tblPr>
      <w:tblGrid>
        <w:gridCol w:w="1177"/>
        <w:gridCol w:w="1442"/>
        <w:gridCol w:w="1178"/>
        <w:gridCol w:w="1179"/>
        <w:gridCol w:w="1341"/>
        <w:gridCol w:w="1179"/>
        <w:gridCol w:w="1366"/>
      </w:tblGrid>
      <w:tr w:rsidR="00F9552F" w:rsidRPr="008A3B9A" w:rsidTr="008A3B9A">
        <w:trPr>
          <w:trHeight w:val="264"/>
        </w:trPr>
        <w:tc>
          <w:tcPr>
            <w:tcW w:w="678" w:type="pct"/>
            <w:tcBorders>
              <w:top w:val="single" w:sz="4" w:space="0" w:color="auto"/>
              <w:left w:val="nil"/>
              <w:bottom w:val="single" w:sz="4" w:space="0" w:color="auto"/>
              <w:right w:val="nil"/>
            </w:tcBorders>
            <w:shd w:val="clear" w:color="auto" w:fill="DBE5F1" w:themeFill="accent1" w:themeFillTint="33"/>
            <w:vAlign w:val="center"/>
            <w:hideMark/>
          </w:tcPr>
          <w:p w:rsidR="00F9552F" w:rsidRPr="008A3B9A" w:rsidRDefault="00F9552F" w:rsidP="008A3B9A">
            <w:pPr>
              <w:pStyle w:val="NoSpacing"/>
              <w:rPr>
                <w:rFonts w:cs="Times New Roman"/>
                <w:b/>
                <w:sz w:val="22"/>
                <w:szCs w:val="22"/>
                <w:lang w:val="en-US"/>
              </w:rPr>
            </w:pPr>
            <w:r w:rsidRPr="008A3B9A">
              <w:rPr>
                <w:rFonts w:cs="Times New Roman"/>
                <w:b/>
                <w:sz w:val="22"/>
                <w:szCs w:val="22"/>
              </w:rPr>
              <w:t xml:space="preserve">Banka </w:t>
            </w:r>
          </w:p>
        </w:tc>
        <w:tc>
          <w:tcPr>
            <w:tcW w:w="731" w:type="pct"/>
            <w:tcBorders>
              <w:top w:val="single" w:sz="4" w:space="0" w:color="auto"/>
              <w:left w:val="nil"/>
              <w:bottom w:val="single" w:sz="4" w:space="0" w:color="auto"/>
              <w:right w:val="nil"/>
            </w:tcBorders>
            <w:shd w:val="clear" w:color="auto" w:fill="DBE5F1" w:themeFill="accent1" w:themeFillTint="33"/>
            <w:noWrap/>
            <w:vAlign w:val="center"/>
            <w:hideMark/>
          </w:tcPr>
          <w:p w:rsidR="00F9552F" w:rsidRPr="008A3B9A" w:rsidRDefault="00F9552F" w:rsidP="008A3B9A">
            <w:pPr>
              <w:pStyle w:val="NoSpacing"/>
              <w:rPr>
                <w:rFonts w:cs="Times New Roman"/>
                <w:b/>
                <w:sz w:val="22"/>
                <w:szCs w:val="22"/>
                <w:lang w:val="en-US"/>
              </w:rPr>
            </w:pPr>
            <w:r w:rsidRPr="008A3B9A">
              <w:rPr>
                <w:rFonts w:cs="Times New Roman"/>
                <w:b/>
                <w:sz w:val="22"/>
                <w:szCs w:val="22"/>
              </w:rPr>
              <w:t>Neuspjeh = 1</w:t>
            </w:r>
          </w:p>
          <w:p w:rsidR="00F9552F" w:rsidRPr="008A3B9A" w:rsidRDefault="00F9552F" w:rsidP="008A3B9A">
            <w:pPr>
              <w:pStyle w:val="NoSpacing"/>
              <w:rPr>
                <w:rFonts w:cs="Times New Roman"/>
                <w:b/>
                <w:sz w:val="22"/>
                <w:szCs w:val="22"/>
                <w:lang w:val="en-US"/>
              </w:rPr>
            </w:pPr>
            <w:r w:rsidRPr="008A3B9A">
              <w:rPr>
                <w:rFonts w:cs="Times New Roman"/>
                <w:b/>
                <w:sz w:val="22"/>
                <w:szCs w:val="22"/>
              </w:rPr>
              <w:t>(2014.g.)</w:t>
            </w:r>
          </w:p>
        </w:tc>
        <w:tc>
          <w:tcPr>
            <w:tcW w:w="679" w:type="pct"/>
            <w:tcBorders>
              <w:top w:val="single" w:sz="4" w:space="0" w:color="auto"/>
              <w:left w:val="nil"/>
              <w:bottom w:val="single" w:sz="4" w:space="0" w:color="auto"/>
              <w:right w:val="nil"/>
            </w:tcBorders>
            <w:shd w:val="clear" w:color="auto" w:fill="DBE5F1" w:themeFill="accent1" w:themeFillTint="33"/>
            <w:noWrap/>
            <w:vAlign w:val="center"/>
            <w:hideMark/>
          </w:tcPr>
          <w:p w:rsidR="00F9552F" w:rsidRPr="008A3B9A" w:rsidRDefault="00F9552F" w:rsidP="008A3B9A">
            <w:pPr>
              <w:pStyle w:val="NoSpacing"/>
              <w:rPr>
                <w:rFonts w:cs="Times New Roman"/>
                <w:b/>
                <w:sz w:val="22"/>
                <w:szCs w:val="22"/>
                <w:lang w:val="en-US"/>
              </w:rPr>
            </w:pPr>
            <w:r w:rsidRPr="008A3B9A">
              <w:rPr>
                <w:rFonts w:cs="Times New Roman"/>
                <w:b/>
                <w:sz w:val="22"/>
                <w:szCs w:val="22"/>
              </w:rPr>
              <w:t>PAK</w:t>
            </w:r>
          </w:p>
          <w:p w:rsidR="00F9552F" w:rsidRPr="008A3B9A" w:rsidRDefault="00F9552F" w:rsidP="008A3B9A">
            <w:pPr>
              <w:pStyle w:val="NoSpacing"/>
              <w:rPr>
                <w:rFonts w:cs="Times New Roman"/>
                <w:b/>
                <w:sz w:val="22"/>
                <w:szCs w:val="22"/>
                <w:lang w:val="en-US"/>
              </w:rPr>
            </w:pPr>
            <w:r w:rsidRPr="008A3B9A">
              <w:rPr>
                <w:rFonts w:cs="Times New Roman"/>
                <w:b/>
                <w:sz w:val="22"/>
                <w:szCs w:val="22"/>
              </w:rPr>
              <w:t>(2013.g.)</w:t>
            </w:r>
          </w:p>
        </w:tc>
        <w:tc>
          <w:tcPr>
            <w:tcW w:w="679" w:type="pct"/>
            <w:tcBorders>
              <w:top w:val="single" w:sz="4" w:space="0" w:color="auto"/>
              <w:left w:val="nil"/>
              <w:bottom w:val="single" w:sz="4" w:space="0" w:color="auto"/>
              <w:right w:val="nil"/>
            </w:tcBorders>
            <w:shd w:val="clear" w:color="auto" w:fill="DBE5F1" w:themeFill="accent1" w:themeFillTint="33"/>
            <w:noWrap/>
            <w:vAlign w:val="center"/>
            <w:hideMark/>
          </w:tcPr>
          <w:p w:rsidR="00F9552F" w:rsidRPr="008A3B9A" w:rsidRDefault="00F9552F" w:rsidP="008A3B9A">
            <w:pPr>
              <w:pStyle w:val="NoSpacing"/>
              <w:rPr>
                <w:rFonts w:cs="Times New Roman"/>
                <w:b/>
                <w:sz w:val="22"/>
                <w:szCs w:val="22"/>
                <w:lang w:val="en-US"/>
              </w:rPr>
            </w:pPr>
            <w:r w:rsidRPr="008A3B9A">
              <w:rPr>
                <w:rFonts w:cs="Times New Roman"/>
                <w:b/>
                <w:sz w:val="22"/>
                <w:szCs w:val="22"/>
              </w:rPr>
              <w:t>IAKS</w:t>
            </w:r>
          </w:p>
          <w:p w:rsidR="00F9552F" w:rsidRPr="008A3B9A" w:rsidRDefault="00F9552F" w:rsidP="008A3B9A">
            <w:pPr>
              <w:pStyle w:val="NoSpacing"/>
              <w:rPr>
                <w:rFonts w:cs="Times New Roman"/>
                <w:b/>
                <w:sz w:val="22"/>
                <w:szCs w:val="22"/>
                <w:lang w:val="en-US"/>
              </w:rPr>
            </w:pPr>
            <w:r w:rsidRPr="008A3B9A">
              <w:rPr>
                <w:rFonts w:cs="Times New Roman"/>
                <w:b/>
                <w:sz w:val="22"/>
                <w:szCs w:val="22"/>
              </w:rPr>
              <w:t>(2013.g.)</w:t>
            </w:r>
          </w:p>
        </w:tc>
        <w:tc>
          <w:tcPr>
            <w:tcW w:w="770" w:type="pct"/>
            <w:tcBorders>
              <w:top w:val="single" w:sz="4" w:space="0" w:color="auto"/>
              <w:left w:val="nil"/>
              <w:bottom w:val="single" w:sz="4" w:space="0" w:color="auto"/>
              <w:right w:val="nil"/>
            </w:tcBorders>
            <w:shd w:val="clear" w:color="auto" w:fill="DBE5F1" w:themeFill="accent1" w:themeFillTint="33"/>
            <w:noWrap/>
            <w:vAlign w:val="center"/>
            <w:hideMark/>
          </w:tcPr>
          <w:p w:rsidR="00F9552F" w:rsidRPr="008A3B9A" w:rsidRDefault="00F9552F" w:rsidP="008A3B9A">
            <w:pPr>
              <w:pStyle w:val="NoSpacing"/>
              <w:rPr>
                <w:rFonts w:cs="Times New Roman"/>
                <w:b/>
                <w:sz w:val="22"/>
                <w:szCs w:val="22"/>
                <w:lang w:val="en-US"/>
              </w:rPr>
            </w:pPr>
            <w:r w:rsidRPr="008A3B9A">
              <w:rPr>
                <w:rFonts w:cs="Times New Roman"/>
                <w:b/>
                <w:sz w:val="22"/>
                <w:szCs w:val="22"/>
              </w:rPr>
              <w:t>NKM</w:t>
            </w:r>
          </w:p>
          <w:p w:rsidR="00F9552F" w:rsidRPr="008A3B9A" w:rsidRDefault="00F9552F" w:rsidP="008A3B9A">
            <w:pPr>
              <w:pStyle w:val="NoSpacing"/>
              <w:rPr>
                <w:rFonts w:cs="Times New Roman"/>
                <w:b/>
                <w:sz w:val="22"/>
                <w:szCs w:val="22"/>
                <w:lang w:val="en-US"/>
              </w:rPr>
            </w:pPr>
            <w:r w:rsidRPr="008A3B9A">
              <w:rPr>
                <w:rFonts w:cs="Times New Roman"/>
                <w:b/>
                <w:sz w:val="22"/>
                <w:szCs w:val="22"/>
              </w:rPr>
              <w:t>(2013.g.)</w:t>
            </w:r>
          </w:p>
        </w:tc>
        <w:tc>
          <w:tcPr>
            <w:tcW w:w="679" w:type="pct"/>
            <w:tcBorders>
              <w:top w:val="single" w:sz="4" w:space="0" w:color="auto"/>
              <w:left w:val="nil"/>
              <w:bottom w:val="single" w:sz="4" w:space="0" w:color="auto"/>
              <w:right w:val="nil"/>
            </w:tcBorders>
            <w:shd w:val="clear" w:color="auto" w:fill="DBE5F1" w:themeFill="accent1" w:themeFillTint="33"/>
            <w:noWrap/>
            <w:vAlign w:val="center"/>
            <w:hideMark/>
          </w:tcPr>
          <w:p w:rsidR="00F9552F" w:rsidRPr="008A3B9A" w:rsidRDefault="00F9552F" w:rsidP="008A3B9A">
            <w:pPr>
              <w:pStyle w:val="NoSpacing"/>
              <w:rPr>
                <w:rFonts w:cs="Times New Roman"/>
                <w:b/>
                <w:sz w:val="22"/>
                <w:szCs w:val="22"/>
                <w:lang w:val="en-US"/>
              </w:rPr>
            </w:pPr>
            <w:r w:rsidRPr="008A3B9A">
              <w:rPr>
                <w:rFonts w:cs="Times New Roman"/>
                <w:b/>
                <w:sz w:val="22"/>
                <w:szCs w:val="22"/>
              </w:rPr>
              <w:t>KOA</w:t>
            </w:r>
          </w:p>
          <w:p w:rsidR="00F9552F" w:rsidRPr="008A3B9A" w:rsidRDefault="00F9552F" w:rsidP="008A3B9A">
            <w:pPr>
              <w:pStyle w:val="NoSpacing"/>
              <w:rPr>
                <w:rFonts w:cs="Times New Roman"/>
                <w:b/>
                <w:sz w:val="22"/>
                <w:szCs w:val="22"/>
                <w:lang w:val="en-US"/>
              </w:rPr>
            </w:pPr>
            <w:r w:rsidRPr="008A3B9A">
              <w:rPr>
                <w:rFonts w:cs="Times New Roman"/>
                <w:b/>
                <w:sz w:val="22"/>
                <w:szCs w:val="22"/>
              </w:rPr>
              <w:t xml:space="preserve"> (2013.g.)</w:t>
            </w:r>
          </w:p>
        </w:tc>
        <w:tc>
          <w:tcPr>
            <w:tcW w:w="784" w:type="pct"/>
            <w:tcBorders>
              <w:top w:val="single" w:sz="4" w:space="0" w:color="auto"/>
              <w:left w:val="nil"/>
              <w:bottom w:val="single" w:sz="4" w:space="0" w:color="auto"/>
              <w:right w:val="nil"/>
            </w:tcBorders>
            <w:shd w:val="clear" w:color="auto" w:fill="DBE5F1" w:themeFill="accent1" w:themeFillTint="33"/>
            <w:noWrap/>
            <w:vAlign w:val="center"/>
            <w:hideMark/>
          </w:tcPr>
          <w:p w:rsidR="00F9552F" w:rsidRPr="008A3B9A" w:rsidRDefault="00F9552F" w:rsidP="008A3B9A">
            <w:pPr>
              <w:pStyle w:val="NoSpacing"/>
              <w:rPr>
                <w:rFonts w:cs="Times New Roman"/>
                <w:b/>
                <w:sz w:val="22"/>
                <w:szCs w:val="22"/>
                <w:lang w:val="en-US"/>
              </w:rPr>
            </w:pPr>
            <w:r w:rsidRPr="008A3B9A">
              <w:rPr>
                <w:rFonts w:cs="Times New Roman"/>
                <w:b/>
                <w:sz w:val="22"/>
                <w:szCs w:val="22"/>
              </w:rPr>
              <w:t>IKRE</w:t>
            </w:r>
          </w:p>
          <w:p w:rsidR="00F9552F" w:rsidRPr="008A3B9A" w:rsidRDefault="00F9552F" w:rsidP="008A3B9A">
            <w:pPr>
              <w:pStyle w:val="NoSpacing"/>
              <w:rPr>
                <w:rFonts w:cs="Times New Roman"/>
                <w:b/>
                <w:sz w:val="22"/>
                <w:szCs w:val="22"/>
                <w:lang w:val="en-US"/>
              </w:rPr>
            </w:pPr>
            <w:r w:rsidRPr="008A3B9A">
              <w:rPr>
                <w:rFonts w:cs="Times New Roman"/>
                <w:b/>
                <w:sz w:val="22"/>
                <w:szCs w:val="22"/>
              </w:rPr>
              <w:t>(2013.g.)</w:t>
            </w:r>
          </w:p>
        </w:tc>
      </w:tr>
      <w:tr w:rsidR="00F9552F" w:rsidRPr="008A3B9A" w:rsidTr="00F9552F">
        <w:trPr>
          <w:trHeight w:val="264"/>
        </w:trPr>
        <w:tc>
          <w:tcPr>
            <w:tcW w:w="678" w:type="pct"/>
            <w:tcBorders>
              <w:top w:val="single" w:sz="4" w:space="0" w:color="auto"/>
              <w:left w:val="nil"/>
              <w:bottom w:val="single" w:sz="4" w:space="0" w:color="auto"/>
              <w:right w:val="nil"/>
            </w:tcBorders>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NBLB</w:t>
            </w:r>
          </w:p>
        </w:tc>
        <w:tc>
          <w:tcPr>
            <w:tcW w:w="731"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0</w:t>
            </w:r>
          </w:p>
        </w:tc>
        <w:tc>
          <w:tcPr>
            <w:tcW w:w="679" w:type="pct"/>
            <w:tcBorders>
              <w:top w:val="single" w:sz="4" w:space="0" w:color="auto"/>
              <w:left w:val="nil"/>
              <w:bottom w:val="single" w:sz="4" w:space="0" w:color="auto"/>
              <w:right w:val="nil"/>
            </w:tcBorders>
            <w:noWrap/>
            <w:vAlign w:val="center"/>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18,40</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5,89</w:t>
            </w:r>
          </w:p>
        </w:tc>
        <w:tc>
          <w:tcPr>
            <w:tcW w:w="770"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4,69</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7,24</w:t>
            </w:r>
          </w:p>
        </w:tc>
        <w:tc>
          <w:tcPr>
            <w:tcW w:w="784"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81,53</w:t>
            </w:r>
          </w:p>
        </w:tc>
      </w:tr>
      <w:tr w:rsidR="00F9552F" w:rsidRPr="008A3B9A" w:rsidTr="00F9552F">
        <w:trPr>
          <w:trHeight w:val="264"/>
        </w:trPr>
        <w:tc>
          <w:tcPr>
            <w:tcW w:w="678" w:type="pct"/>
            <w:tcBorders>
              <w:top w:val="single" w:sz="4" w:space="0" w:color="auto"/>
              <w:left w:val="nil"/>
              <w:bottom w:val="single" w:sz="4" w:space="0" w:color="auto"/>
              <w:right w:val="nil"/>
            </w:tcBorders>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KRLB</w:t>
            </w:r>
          </w:p>
        </w:tc>
        <w:tc>
          <w:tcPr>
            <w:tcW w:w="731"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1</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-48,26</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4,46</w:t>
            </w:r>
          </w:p>
        </w:tc>
        <w:tc>
          <w:tcPr>
            <w:tcW w:w="770"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2,47</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6,28</w:t>
            </w:r>
          </w:p>
        </w:tc>
        <w:tc>
          <w:tcPr>
            <w:tcW w:w="784"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67,40</w:t>
            </w:r>
          </w:p>
        </w:tc>
      </w:tr>
      <w:tr w:rsidR="00F9552F" w:rsidRPr="008A3B9A" w:rsidTr="00F9552F">
        <w:trPr>
          <w:trHeight w:val="264"/>
        </w:trPr>
        <w:tc>
          <w:tcPr>
            <w:tcW w:w="678" w:type="pct"/>
            <w:tcBorders>
              <w:top w:val="single" w:sz="4" w:space="0" w:color="auto"/>
              <w:left w:val="nil"/>
              <w:bottom w:val="single" w:sz="4" w:space="0" w:color="auto"/>
              <w:right w:val="nil"/>
            </w:tcBorders>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lang w:val="sr-Latn-BA"/>
              </w:rPr>
              <w:t>BBRB</w:t>
            </w:r>
          </w:p>
        </w:tc>
        <w:tc>
          <w:tcPr>
            <w:tcW w:w="731"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1</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3,98</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6,32</w:t>
            </w:r>
          </w:p>
        </w:tc>
        <w:tc>
          <w:tcPr>
            <w:tcW w:w="770"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3,44</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10,40</w:t>
            </w:r>
          </w:p>
        </w:tc>
        <w:tc>
          <w:tcPr>
            <w:tcW w:w="784"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66,04</w:t>
            </w:r>
          </w:p>
        </w:tc>
      </w:tr>
      <w:tr w:rsidR="00F9552F" w:rsidRPr="008A3B9A" w:rsidTr="00F9552F">
        <w:trPr>
          <w:trHeight w:val="69"/>
        </w:trPr>
        <w:tc>
          <w:tcPr>
            <w:tcW w:w="678" w:type="pct"/>
            <w:tcBorders>
              <w:top w:val="single" w:sz="4" w:space="0" w:color="auto"/>
              <w:left w:val="nil"/>
              <w:bottom w:val="single" w:sz="4" w:space="0" w:color="auto"/>
              <w:right w:val="nil"/>
            </w:tcBorders>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VBBB</w:t>
            </w:r>
          </w:p>
        </w:tc>
        <w:tc>
          <w:tcPr>
            <w:tcW w:w="731"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0</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21,43</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4,38</w:t>
            </w:r>
          </w:p>
        </w:tc>
        <w:tc>
          <w:tcPr>
            <w:tcW w:w="770"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2,70</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6,30</w:t>
            </w:r>
          </w:p>
        </w:tc>
        <w:tc>
          <w:tcPr>
            <w:tcW w:w="784"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63,75</w:t>
            </w:r>
          </w:p>
        </w:tc>
      </w:tr>
      <w:tr w:rsidR="00F9552F" w:rsidRPr="008A3B9A" w:rsidTr="00F9552F">
        <w:trPr>
          <w:trHeight w:val="264"/>
        </w:trPr>
        <w:tc>
          <w:tcPr>
            <w:tcW w:w="678" w:type="pct"/>
            <w:tcBorders>
              <w:top w:val="single" w:sz="4" w:space="0" w:color="auto"/>
              <w:left w:val="nil"/>
              <w:bottom w:val="single" w:sz="4" w:space="0" w:color="auto"/>
              <w:right w:val="nil"/>
            </w:tcBorders>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ZPKB</w:t>
            </w:r>
          </w:p>
        </w:tc>
        <w:tc>
          <w:tcPr>
            <w:tcW w:w="731"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0</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4,24</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6,66</w:t>
            </w:r>
          </w:p>
        </w:tc>
        <w:tc>
          <w:tcPr>
            <w:tcW w:w="770"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4,34</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8,52</w:t>
            </w:r>
          </w:p>
        </w:tc>
        <w:tc>
          <w:tcPr>
            <w:tcW w:w="784"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86,25</w:t>
            </w:r>
          </w:p>
        </w:tc>
      </w:tr>
      <w:tr w:rsidR="00F9552F" w:rsidRPr="008A3B9A" w:rsidTr="00F9552F">
        <w:trPr>
          <w:trHeight w:val="264"/>
        </w:trPr>
        <w:tc>
          <w:tcPr>
            <w:tcW w:w="678" w:type="pct"/>
            <w:tcBorders>
              <w:top w:val="single" w:sz="4" w:space="0" w:color="auto"/>
              <w:left w:val="nil"/>
              <w:bottom w:val="single" w:sz="4" w:space="0" w:color="auto"/>
              <w:right w:val="nil"/>
            </w:tcBorders>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BLKB</w:t>
            </w:r>
          </w:p>
        </w:tc>
        <w:tc>
          <w:tcPr>
            <w:tcW w:w="731"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1</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-38,97</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5,48</w:t>
            </w:r>
          </w:p>
        </w:tc>
        <w:tc>
          <w:tcPr>
            <w:tcW w:w="770"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2,81</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7,58</w:t>
            </w:r>
          </w:p>
        </w:tc>
        <w:tc>
          <w:tcPr>
            <w:tcW w:w="784"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65,35</w:t>
            </w:r>
          </w:p>
        </w:tc>
      </w:tr>
      <w:tr w:rsidR="00F9552F" w:rsidRPr="008A3B9A" w:rsidTr="00F9552F">
        <w:trPr>
          <w:trHeight w:val="264"/>
        </w:trPr>
        <w:tc>
          <w:tcPr>
            <w:tcW w:w="678" w:type="pct"/>
            <w:tcBorders>
              <w:top w:val="single" w:sz="4" w:space="0" w:color="auto"/>
              <w:left w:val="nil"/>
              <w:bottom w:val="single" w:sz="4" w:space="0" w:color="auto"/>
              <w:right w:val="nil"/>
            </w:tcBorders>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PIBB</w:t>
            </w:r>
          </w:p>
        </w:tc>
        <w:tc>
          <w:tcPr>
            <w:tcW w:w="731"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1</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2,73</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6,15</w:t>
            </w:r>
          </w:p>
        </w:tc>
        <w:tc>
          <w:tcPr>
            <w:tcW w:w="770"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3,98</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9,19</w:t>
            </w:r>
          </w:p>
        </w:tc>
        <w:tc>
          <w:tcPr>
            <w:tcW w:w="784"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66,37</w:t>
            </w:r>
          </w:p>
        </w:tc>
      </w:tr>
      <w:tr w:rsidR="00F9552F" w:rsidRPr="008A3B9A" w:rsidTr="00F9552F">
        <w:trPr>
          <w:trHeight w:val="264"/>
        </w:trPr>
        <w:tc>
          <w:tcPr>
            <w:tcW w:w="678" w:type="pct"/>
            <w:tcBorders>
              <w:top w:val="single" w:sz="4" w:space="0" w:color="auto"/>
              <w:left w:val="nil"/>
              <w:bottom w:val="single" w:sz="4" w:space="0" w:color="auto"/>
              <w:right w:val="nil"/>
            </w:tcBorders>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NOVB</w:t>
            </w:r>
          </w:p>
        </w:tc>
        <w:tc>
          <w:tcPr>
            <w:tcW w:w="731"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0</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12,92</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5,79</w:t>
            </w:r>
          </w:p>
        </w:tc>
        <w:tc>
          <w:tcPr>
            <w:tcW w:w="770"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2,94</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8,08</w:t>
            </w:r>
          </w:p>
        </w:tc>
        <w:tc>
          <w:tcPr>
            <w:tcW w:w="784"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72,36</w:t>
            </w:r>
          </w:p>
        </w:tc>
      </w:tr>
      <w:tr w:rsidR="00F9552F" w:rsidRPr="008A3B9A" w:rsidTr="00F9552F">
        <w:trPr>
          <w:trHeight w:val="264"/>
        </w:trPr>
        <w:tc>
          <w:tcPr>
            <w:tcW w:w="678" w:type="pct"/>
            <w:tcBorders>
              <w:top w:val="single" w:sz="4" w:space="0" w:color="auto"/>
              <w:left w:val="nil"/>
              <w:bottom w:val="single" w:sz="4" w:space="0" w:color="auto"/>
              <w:right w:val="nil"/>
            </w:tcBorders>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KMCB</w:t>
            </w:r>
          </w:p>
        </w:tc>
        <w:tc>
          <w:tcPr>
            <w:tcW w:w="731"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0</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0,43</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5,70</w:t>
            </w:r>
          </w:p>
        </w:tc>
        <w:tc>
          <w:tcPr>
            <w:tcW w:w="770"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3,95</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7,02</w:t>
            </w:r>
          </w:p>
        </w:tc>
        <w:tc>
          <w:tcPr>
            <w:tcW w:w="784"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71,34</w:t>
            </w:r>
          </w:p>
        </w:tc>
      </w:tr>
      <w:tr w:rsidR="00F9552F" w:rsidRPr="008A3B9A" w:rsidTr="00F9552F">
        <w:trPr>
          <w:trHeight w:val="264"/>
        </w:trPr>
        <w:tc>
          <w:tcPr>
            <w:tcW w:w="678" w:type="pct"/>
            <w:tcBorders>
              <w:top w:val="single" w:sz="4" w:space="0" w:color="auto"/>
              <w:left w:val="nil"/>
              <w:bottom w:val="single" w:sz="4" w:space="0" w:color="auto"/>
              <w:right w:val="nil"/>
            </w:tcBorders>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IEFB</w:t>
            </w:r>
          </w:p>
        </w:tc>
        <w:tc>
          <w:tcPr>
            <w:tcW w:w="731"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0</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1,13</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8,22</w:t>
            </w:r>
          </w:p>
        </w:tc>
        <w:tc>
          <w:tcPr>
            <w:tcW w:w="770"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4,95</w:t>
            </w:r>
          </w:p>
        </w:tc>
        <w:tc>
          <w:tcPr>
            <w:tcW w:w="679"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9,51</w:t>
            </w:r>
          </w:p>
        </w:tc>
        <w:tc>
          <w:tcPr>
            <w:tcW w:w="784" w:type="pct"/>
            <w:tcBorders>
              <w:top w:val="single" w:sz="4" w:space="0" w:color="auto"/>
              <w:left w:val="nil"/>
              <w:bottom w:val="single" w:sz="4" w:space="0" w:color="auto"/>
              <w:right w:val="nil"/>
            </w:tcBorders>
            <w:noWrap/>
            <w:vAlign w:val="bottom"/>
            <w:hideMark/>
          </w:tcPr>
          <w:p w:rsidR="00F9552F" w:rsidRPr="008A3B9A" w:rsidRDefault="00F9552F" w:rsidP="008A3B9A">
            <w:pPr>
              <w:pStyle w:val="NoSpacing"/>
              <w:rPr>
                <w:rFonts w:cs="Times New Roman"/>
                <w:sz w:val="22"/>
                <w:szCs w:val="22"/>
                <w:lang w:val="en-US"/>
              </w:rPr>
            </w:pPr>
            <w:r w:rsidRPr="008A3B9A">
              <w:rPr>
                <w:rFonts w:cs="Times New Roman"/>
                <w:sz w:val="22"/>
                <w:szCs w:val="22"/>
              </w:rPr>
              <w:t>71,77</w:t>
            </w:r>
          </w:p>
        </w:tc>
      </w:tr>
    </w:tbl>
    <w:p w:rsidR="00F9552F" w:rsidRPr="00155E30" w:rsidRDefault="00F9552F" w:rsidP="008A3B9A">
      <w:pPr>
        <w:pStyle w:val="NoSpacing"/>
        <w:rPr>
          <w:sz w:val="20"/>
          <w:szCs w:val="20"/>
          <w:lang w:val="de-AT"/>
        </w:rPr>
      </w:pPr>
      <w:r w:rsidRPr="008A3B9A">
        <w:rPr>
          <w:sz w:val="20"/>
          <w:szCs w:val="20"/>
          <w:lang w:val="sr-Latn-BA"/>
        </w:rPr>
        <w:t xml:space="preserve">Izvor: </w:t>
      </w:r>
      <w:r w:rsidRPr="008A3B9A">
        <w:rPr>
          <w:sz w:val="20"/>
          <w:szCs w:val="20"/>
        </w:rPr>
        <w:t xml:space="preserve">Agencija za bankarstvo Republike Srpske. (2014). </w:t>
      </w:r>
      <w:r w:rsidRPr="008A3B9A">
        <w:rPr>
          <w:i/>
          <w:iCs/>
          <w:sz w:val="20"/>
          <w:szCs w:val="20"/>
        </w:rPr>
        <w:t>Skraćeni izvještaji vanjskih revizora o finansijskim pokazateljima banaka u Republici Srpskoj za 2014. godinu.</w:t>
      </w:r>
      <w:r w:rsidRPr="008A3B9A">
        <w:rPr>
          <w:sz w:val="20"/>
          <w:szCs w:val="20"/>
        </w:rPr>
        <w:t xml:space="preserve"> </w:t>
      </w:r>
      <w:hyperlink r:id="rId8" w:history="1">
        <w:r w:rsidRPr="008A3B9A">
          <w:rPr>
            <w:rStyle w:val="Hyperlink"/>
            <w:rFonts w:eastAsiaTheme="majorEastAsia"/>
            <w:sz w:val="20"/>
            <w:szCs w:val="20"/>
          </w:rPr>
          <w:t>www.abrs.ba</w:t>
        </w:r>
      </w:hyperlink>
      <w:r w:rsidRPr="008A3B9A">
        <w:rPr>
          <w:sz w:val="20"/>
          <w:szCs w:val="20"/>
        </w:rPr>
        <w:t xml:space="preserve">. (pristupljeno 25.09.2015. g.). Agencija za bankarstvo Republike Srpske. (2013). </w:t>
      </w:r>
      <w:r w:rsidRPr="008A3B9A">
        <w:rPr>
          <w:i/>
          <w:iCs/>
          <w:sz w:val="20"/>
          <w:szCs w:val="20"/>
        </w:rPr>
        <w:t>Skraćeni izvještaji vanjskih revizora o finansijskim pokazateljima banaka u Republici Srpskoj za 2013. godinu.</w:t>
      </w:r>
      <w:r w:rsidRPr="008A3B9A">
        <w:rPr>
          <w:sz w:val="20"/>
          <w:szCs w:val="20"/>
        </w:rPr>
        <w:t xml:space="preserve"> </w:t>
      </w:r>
      <w:hyperlink r:id="rId9" w:history="1">
        <w:r w:rsidRPr="00155E30">
          <w:rPr>
            <w:rStyle w:val="Hyperlink"/>
            <w:rFonts w:eastAsiaTheme="majorEastAsia"/>
            <w:sz w:val="20"/>
            <w:szCs w:val="20"/>
            <w:lang w:val="de-AT"/>
          </w:rPr>
          <w:t>www.abrs.ba</w:t>
        </w:r>
      </w:hyperlink>
      <w:r w:rsidRPr="00155E30">
        <w:rPr>
          <w:sz w:val="20"/>
          <w:szCs w:val="20"/>
          <w:lang w:val="de-AT"/>
        </w:rPr>
        <w:t xml:space="preserve">. (pristupljeno 25.09.2015. g.). </w:t>
      </w:r>
      <w:r w:rsidRPr="008A3B9A">
        <w:rPr>
          <w:sz w:val="20"/>
          <w:szCs w:val="20"/>
          <w:lang w:val="sr-Latn-BA"/>
        </w:rPr>
        <w:t xml:space="preserve">(Obradio autor). Napomena: * Svi finansijski indikatori su u %. </w:t>
      </w:r>
    </w:p>
    <w:p w:rsidR="00F9552F" w:rsidRDefault="00F9552F" w:rsidP="008A3B9A">
      <w:pPr>
        <w:pStyle w:val="NoSpacing"/>
        <w:rPr>
          <w:sz w:val="20"/>
          <w:szCs w:val="20"/>
          <w:lang w:val="sr-Latn-BA"/>
        </w:rPr>
      </w:pPr>
    </w:p>
    <w:p w:rsidR="00F9552F" w:rsidRPr="00301969" w:rsidRDefault="00F9552F" w:rsidP="00301969">
      <w:pPr>
        <w:pStyle w:val="NoSpacing"/>
        <w:rPr>
          <w:sz w:val="22"/>
          <w:szCs w:val="22"/>
          <w:lang w:val="sr-Latn-BA"/>
        </w:rPr>
      </w:pPr>
      <w:r w:rsidRPr="00277681">
        <w:rPr>
          <w:b/>
          <w:sz w:val="22"/>
          <w:szCs w:val="22"/>
          <w:lang w:val="sr-Latn-BA"/>
        </w:rPr>
        <w:t>Tabela 5</w:t>
      </w:r>
      <w:r w:rsidRPr="00301969">
        <w:rPr>
          <w:sz w:val="22"/>
          <w:szCs w:val="22"/>
          <w:lang w:val="sr-Latn-BA"/>
        </w:rPr>
        <w:t xml:space="preserve">. Specifikacija modela </w:t>
      </w:r>
    </w:p>
    <w:tbl>
      <w:tblPr>
        <w:tblW w:w="0" w:type="auto"/>
        <w:tblBorders>
          <w:top w:val="single" w:sz="4" w:space="0" w:color="auto"/>
          <w:bottom w:val="single" w:sz="4" w:space="0" w:color="auto"/>
          <w:insideH w:val="single" w:sz="4" w:space="0" w:color="auto"/>
        </w:tblBorders>
        <w:tblLook w:val="04A0"/>
      </w:tblPr>
      <w:tblGrid>
        <w:gridCol w:w="8856"/>
      </w:tblGrid>
      <w:tr w:rsidR="00F9552F" w:rsidRPr="00537797" w:rsidTr="00F9552F">
        <w:tc>
          <w:tcPr>
            <w:tcW w:w="8856" w:type="dxa"/>
            <w:tcBorders>
              <w:top w:val="single" w:sz="4" w:space="0" w:color="auto"/>
              <w:left w:val="nil"/>
              <w:bottom w:val="single" w:sz="4" w:space="0" w:color="auto"/>
              <w:right w:val="nil"/>
            </w:tcBorders>
            <w:hideMark/>
          </w:tcPr>
          <w:p w:rsidR="00F9552F" w:rsidRPr="00301969" w:rsidRDefault="00F9552F" w:rsidP="00301969">
            <w:pPr>
              <w:pStyle w:val="NoSpacing"/>
              <w:rPr>
                <w:color w:val="000000"/>
                <w:sz w:val="22"/>
                <w:szCs w:val="22"/>
                <w:lang w:val="de-DE"/>
              </w:rPr>
            </w:pPr>
            <w:r w:rsidRPr="00301969">
              <w:rPr>
                <w:sz w:val="22"/>
                <w:szCs w:val="22"/>
                <w:lang w:val="sr-Latn-CS" w:eastAsia="sr-Latn-CS"/>
              </w:rPr>
              <w:t>*PROB = C(1)*PAK + C(2)*IAKS + C(3)*NKM + C(4)*KOA + C(5)*IKRE</w:t>
            </w:r>
          </w:p>
        </w:tc>
      </w:tr>
      <w:tr w:rsidR="00F9552F" w:rsidRPr="00537797" w:rsidTr="00F9552F">
        <w:tc>
          <w:tcPr>
            <w:tcW w:w="8856" w:type="dxa"/>
            <w:tcBorders>
              <w:top w:val="single" w:sz="4" w:space="0" w:color="auto"/>
              <w:left w:val="nil"/>
              <w:bottom w:val="single" w:sz="4" w:space="0" w:color="auto"/>
              <w:right w:val="nil"/>
            </w:tcBorders>
            <w:hideMark/>
          </w:tcPr>
          <w:p w:rsidR="00F9552F" w:rsidRPr="00301969" w:rsidRDefault="00F9552F" w:rsidP="00301969">
            <w:pPr>
              <w:pStyle w:val="NoSpacing"/>
              <w:rPr>
                <w:color w:val="000000"/>
                <w:sz w:val="22"/>
                <w:szCs w:val="22"/>
                <w:lang w:val="de-DE"/>
              </w:rPr>
            </w:pPr>
            <w:r w:rsidRPr="00301969">
              <w:rPr>
                <w:sz w:val="22"/>
                <w:szCs w:val="22"/>
                <w:lang w:val="sr-Latn-CS" w:eastAsia="sr-Latn-CS"/>
              </w:rPr>
              <w:t>PROB = -0.018*PAK - 0.658*IAKS + 0.353*NKM + 0.467*KOA - 0.011*IKRE</w:t>
            </w:r>
          </w:p>
        </w:tc>
      </w:tr>
    </w:tbl>
    <w:p w:rsidR="00F9552F" w:rsidRPr="00301969" w:rsidRDefault="00F9552F" w:rsidP="00301969">
      <w:pPr>
        <w:pStyle w:val="NoSpacing"/>
        <w:rPr>
          <w:color w:val="000000"/>
          <w:sz w:val="20"/>
          <w:szCs w:val="20"/>
          <w:lang w:val="en-US"/>
        </w:rPr>
      </w:pPr>
      <w:r w:rsidRPr="00301969">
        <w:rPr>
          <w:color w:val="000000"/>
          <w:sz w:val="20"/>
          <w:szCs w:val="20"/>
        </w:rPr>
        <w:t xml:space="preserve">Izvor: Autor. * Napomena: PROB - vjerovatnoća neuspjeha. </w:t>
      </w:r>
    </w:p>
    <w:p w:rsidR="00F9552F" w:rsidRDefault="00F9552F" w:rsidP="00301969">
      <w:pPr>
        <w:pStyle w:val="NoSpacing"/>
        <w:rPr>
          <w:color w:val="000000"/>
        </w:rPr>
      </w:pPr>
    </w:p>
    <w:p w:rsidR="00F9552F" w:rsidRPr="00301969" w:rsidRDefault="00F9552F" w:rsidP="00301969">
      <w:pPr>
        <w:pStyle w:val="NoSpacing"/>
        <w:rPr>
          <w:sz w:val="22"/>
          <w:szCs w:val="22"/>
          <w:lang w:val="sr-Latn-BA"/>
        </w:rPr>
      </w:pPr>
      <w:r w:rsidRPr="00277681">
        <w:rPr>
          <w:b/>
          <w:sz w:val="22"/>
          <w:szCs w:val="22"/>
          <w:lang w:val="sr-Latn-BA"/>
        </w:rPr>
        <w:t>Tabela 6.</w:t>
      </w:r>
      <w:r w:rsidRPr="00301969">
        <w:rPr>
          <w:sz w:val="22"/>
          <w:szCs w:val="22"/>
          <w:lang w:val="sr-Latn-BA"/>
        </w:rPr>
        <w:t xml:space="preserve"> Estimacija modela LPM, BSRS 12/2013. godine * </w:t>
      </w:r>
    </w:p>
    <w:tbl>
      <w:tblPr>
        <w:tblW w:w="5000" w:type="pct"/>
        <w:tblBorders>
          <w:insideH w:val="single" w:sz="4" w:space="0" w:color="auto"/>
          <w:insideV w:val="single" w:sz="4" w:space="0" w:color="auto"/>
        </w:tblBorders>
        <w:tblLook w:val="04A0"/>
      </w:tblPr>
      <w:tblGrid>
        <w:gridCol w:w="1258"/>
        <w:gridCol w:w="1352"/>
        <w:gridCol w:w="1351"/>
        <w:gridCol w:w="1237"/>
        <w:gridCol w:w="934"/>
        <w:gridCol w:w="1511"/>
        <w:gridCol w:w="1219"/>
      </w:tblGrid>
      <w:tr w:rsidR="00F9552F" w:rsidRPr="00301969" w:rsidTr="00A346C6">
        <w:tc>
          <w:tcPr>
            <w:tcW w:w="71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F9552F" w:rsidRPr="00301969" w:rsidRDefault="00F9552F" w:rsidP="00301969">
            <w:pPr>
              <w:pStyle w:val="NoSpacing"/>
              <w:rPr>
                <w:b/>
                <w:sz w:val="22"/>
                <w:szCs w:val="22"/>
                <w:lang w:val="sr-Latn-BA"/>
              </w:rPr>
            </w:pPr>
            <w:r w:rsidRPr="00301969">
              <w:rPr>
                <w:b/>
                <w:sz w:val="22"/>
                <w:szCs w:val="22"/>
                <w:lang w:val="sr-Latn-BA"/>
              </w:rPr>
              <w:t>Varijable</w:t>
            </w:r>
          </w:p>
        </w:tc>
        <w:tc>
          <w:tcPr>
            <w:tcW w:w="7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9552F" w:rsidRPr="00301969" w:rsidRDefault="00F9552F" w:rsidP="00301969">
            <w:pPr>
              <w:pStyle w:val="NoSpacing"/>
              <w:rPr>
                <w:b/>
                <w:sz w:val="22"/>
                <w:szCs w:val="22"/>
                <w:lang w:val="sr-Latn-BA"/>
              </w:rPr>
            </w:pPr>
            <w:r w:rsidRPr="00301969">
              <w:rPr>
                <w:b/>
                <w:sz w:val="22"/>
                <w:szCs w:val="22"/>
                <w:lang w:val="sr-Latn-BA"/>
              </w:rPr>
              <w:t>Koeficijenti</w:t>
            </w:r>
          </w:p>
        </w:tc>
        <w:tc>
          <w:tcPr>
            <w:tcW w:w="7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9552F" w:rsidRPr="00301969" w:rsidRDefault="00F9552F" w:rsidP="00301969">
            <w:pPr>
              <w:pStyle w:val="NoSpacing"/>
              <w:rPr>
                <w:b/>
                <w:sz w:val="22"/>
                <w:szCs w:val="22"/>
                <w:lang w:val="sr-Latn-BA"/>
              </w:rPr>
            </w:pPr>
            <w:r w:rsidRPr="00301969">
              <w:rPr>
                <w:b/>
                <w:sz w:val="22"/>
                <w:szCs w:val="22"/>
                <w:lang w:val="sr-Latn-BA"/>
              </w:rPr>
              <w:t>Standardna greške</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9552F" w:rsidRPr="00301969" w:rsidRDefault="00F9552F" w:rsidP="00301969">
            <w:pPr>
              <w:pStyle w:val="NoSpacing"/>
              <w:rPr>
                <w:b/>
                <w:i/>
                <w:sz w:val="22"/>
                <w:szCs w:val="22"/>
                <w:lang w:val="sr-Latn-BA"/>
              </w:rPr>
            </w:pPr>
            <w:r w:rsidRPr="00301969">
              <w:rPr>
                <w:b/>
                <w:i/>
                <w:sz w:val="22"/>
                <w:szCs w:val="22"/>
                <w:lang w:val="sr-Latn-BA"/>
              </w:rPr>
              <w:t>t</w:t>
            </w:r>
          </w:p>
          <w:p w:rsidR="00F9552F" w:rsidRPr="00301969" w:rsidRDefault="00F9552F" w:rsidP="00301969">
            <w:pPr>
              <w:pStyle w:val="NoSpacing"/>
              <w:rPr>
                <w:b/>
                <w:sz w:val="22"/>
                <w:szCs w:val="22"/>
                <w:lang w:val="sr-Latn-BA"/>
              </w:rPr>
            </w:pPr>
            <w:r w:rsidRPr="00301969">
              <w:rPr>
                <w:b/>
                <w:sz w:val="22"/>
                <w:szCs w:val="22"/>
                <w:lang w:val="sr-Latn-BA"/>
              </w:rPr>
              <w:t>statistika</w:t>
            </w:r>
          </w:p>
        </w:tc>
        <w:tc>
          <w:tcPr>
            <w:tcW w:w="5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9552F" w:rsidRPr="00301969" w:rsidRDefault="00F9552F" w:rsidP="00301969">
            <w:pPr>
              <w:pStyle w:val="NoSpacing"/>
              <w:rPr>
                <w:b/>
                <w:i/>
                <w:sz w:val="22"/>
                <w:szCs w:val="22"/>
                <w:lang w:val="sr-Latn-BA"/>
              </w:rPr>
            </w:pPr>
            <w:r w:rsidRPr="00301969">
              <w:rPr>
                <w:b/>
                <w:i/>
                <w:sz w:val="22"/>
                <w:szCs w:val="22"/>
                <w:lang w:val="sr-Latn-BA"/>
              </w:rPr>
              <w:t>p</w:t>
            </w:r>
          </w:p>
        </w:tc>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9552F" w:rsidRPr="00301969" w:rsidRDefault="00F9552F" w:rsidP="00301969">
            <w:pPr>
              <w:pStyle w:val="NoSpacing"/>
              <w:rPr>
                <w:b/>
                <w:sz w:val="22"/>
                <w:szCs w:val="22"/>
                <w:lang w:val="sr-Latn-BA"/>
              </w:rPr>
            </w:pPr>
            <w:r w:rsidRPr="00301969">
              <w:rPr>
                <w:b/>
                <w:sz w:val="22"/>
                <w:szCs w:val="22"/>
                <w:lang w:val="sr-Latn-BA"/>
              </w:rPr>
              <w:t>Koeficijent determinacije</w:t>
            </w:r>
          </w:p>
        </w:tc>
        <w:tc>
          <w:tcPr>
            <w:tcW w:w="6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9552F" w:rsidRPr="00301969" w:rsidRDefault="00F9552F" w:rsidP="00301969">
            <w:pPr>
              <w:pStyle w:val="NoSpacing"/>
              <w:rPr>
                <w:b/>
                <w:sz w:val="22"/>
                <w:szCs w:val="22"/>
                <w:lang w:val="sr-Latn-BA"/>
              </w:rPr>
            </w:pPr>
            <w:r w:rsidRPr="00301969">
              <w:rPr>
                <w:b/>
                <w:sz w:val="22"/>
                <w:szCs w:val="22"/>
                <w:lang w:val="sr-Latn-BA"/>
              </w:rPr>
              <w:t>Durbin</w:t>
            </w:r>
          </w:p>
          <w:p w:rsidR="00F9552F" w:rsidRPr="00301969" w:rsidRDefault="00F9552F" w:rsidP="00301969">
            <w:pPr>
              <w:pStyle w:val="NoSpacing"/>
              <w:rPr>
                <w:b/>
                <w:sz w:val="22"/>
                <w:szCs w:val="22"/>
                <w:lang w:val="sr-Latn-BA"/>
              </w:rPr>
            </w:pPr>
            <w:r w:rsidRPr="00301969">
              <w:rPr>
                <w:b/>
                <w:sz w:val="22"/>
                <w:szCs w:val="22"/>
                <w:lang w:val="sr-Latn-BA"/>
              </w:rPr>
              <w:t>Votsonova statistika</w:t>
            </w:r>
          </w:p>
        </w:tc>
      </w:tr>
      <w:tr w:rsidR="00F9552F" w:rsidRPr="00301969" w:rsidTr="00F9552F">
        <w:tc>
          <w:tcPr>
            <w:tcW w:w="719" w:type="pct"/>
            <w:tcBorders>
              <w:top w:val="single" w:sz="4" w:space="0" w:color="auto"/>
              <w:left w:val="nil"/>
              <w:bottom w:val="single" w:sz="4" w:space="0" w:color="auto"/>
              <w:right w:val="single" w:sz="4" w:space="0" w:color="auto"/>
            </w:tcBorders>
            <w:vAlign w:val="bottom"/>
            <w:hideMark/>
          </w:tcPr>
          <w:p w:rsidR="00F9552F" w:rsidRPr="00301969" w:rsidRDefault="00F9552F" w:rsidP="00301969">
            <w:pPr>
              <w:pStyle w:val="NoSpacing"/>
              <w:rPr>
                <w:color w:val="000000"/>
                <w:sz w:val="22"/>
                <w:szCs w:val="22"/>
                <w:lang w:val="en-US"/>
              </w:rPr>
            </w:pPr>
            <w:r w:rsidRPr="00301969">
              <w:rPr>
                <w:color w:val="000000"/>
                <w:sz w:val="22"/>
                <w:szCs w:val="22"/>
              </w:rPr>
              <w:t>PAK</w:t>
            </w:r>
          </w:p>
        </w:tc>
        <w:tc>
          <w:tcPr>
            <w:tcW w:w="772"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-0.018191</w:t>
            </w:r>
          </w:p>
        </w:tc>
        <w:tc>
          <w:tcPr>
            <w:tcW w:w="771"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0.002080</w:t>
            </w:r>
          </w:p>
        </w:tc>
        <w:tc>
          <w:tcPr>
            <w:tcW w:w="707"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-8.744868</w:t>
            </w:r>
          </w:p>
        </w:tc>
        <w:tc>
          <w:tcPr>
            <w:tcW w:w="536"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0.0003</w:t>
            </w:r>
          </w:p>
        </w:tc>
        <w:tc>
          <w:tcPr>
            <w:tcW w:w="798"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sr-Latn-BA"/>
              </w:rPr>
            </w:pPr>
            <w:r w:rsidRPr="00301969">
              <w:rPr>
                <w:sz w:val="22"/>
                <w:szCs w:val="22"/>
                <w:lang w:val="sr-Latn-BA"/>
              </w:rPr>
              <w:t>0,968</w:t>
            </w:r>
          </w:p>
        </w:tc>
        <w:tc>
          <w:tcPr>
            <w:tcW w:w="697" w:type="pct"/>
            <w:tcBorders>
              <w:top w:val="single" w:sz="4" w:space="0" w:color="auto"/>
              <w:left w:val="single" w:sz="4" w:space="0" w:color="auto"/>
              <w:bottom w:val="single" w:sz="4" w:space="0" w:color="auto"/>
              <w:right w:val="nil"/>
            </w:tcBorders>
            <w:hideMark/>
          </w:tcPr>
          <w:p w:rsidR="00F9552F" w:rsidRPr="00301969" w:rsidRDefault="00F9552F" w:rsidP="00301969">
            <w:pPr>
              <w:pStyle w:val="NoSpacing"/>
              <w:rPr>
                <w:sz w:val="22"/>
                <w:szCs w:val="22"/>
                <w:lang w:val="sr-Latn-BA"/>
              </w:rPr>
            </w:pPr>
            <w:r w:rsidRPr="00301969">
              <w:rPr>
                <w:sz w:val="22"/>
                <w:szCs w:val="22"/>
                <w:lang w:val="sr-Latn-BA"/>
              </w:rPr>
              <w:t>2,41</w:t>
            </w:r>
          </w:p>
        </w:tc>
      </w:tr>
      <w:tr w:rsidR="00F9552F" w:rsidRPr="00301969" w:rsidTr="00F9552F">
        <w:tc>
          <w:tcPr>
            <w:tcW w:w="719" w:type="pct"/>
            <w:tcBorders>
              <w:top w:val="single" w:sz="4" w:space="0" w:color="auto"/>
              <w:left w:val="nil"/>
              <w:bottom w:val="single" w:sz="4" w:space="0" w:color="auto"/>
              <w:right w:val="single" w:sz="4" w:space="0" w:color="auto"/>
            </w:tcBorders>
            <w:vAlign w:val="bottom"/>
            <w:hideMark/>
          </w:tcPr>
          <w:p w:rsidR="00F9552F" w:rsidRPr="00301969" w:rsidRDefault="00F9552F" w:rsidP="00301969">
            <w:pPr>
              <w:pStyle w:val="NoSpacing"/>
              <w:rPr>
                <w:color w:val="000000"/>
                <w:sz w:val="22"/>
                <w:szCs w:val="22"/>
                <w:lang w:val="en-US"/>
              </w:rPr>
            </w:pPr>
            <w:r w:rsidRPr="00301969">
              <w:rPr>
                <w:color w:val="000000"/>
                <w:sz w:val="22"/>
                <w:szCs w:val="22"/>
              </w:rPr>
              <w:t>IAKS</w:t>
            </w:r>
          </w:p>
        </w:tc>
        <w:tc>
          <w:tcPr>
            <w:tcW w:w="772"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-0.658304</w:t>
            </w:r>
          </w:p>
        </w:tc>
        <w:tc>
          <w:tcPr>
            <w:tcW w:w="771"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0.108427</w:t>
            </w:r>
          </w:p>
        </w:tc>
        <w:tc>
          <w:tcPr>
            <w:tcW w:w="707"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-6.071426</w:t>
            </w:r>
          </w:p>
        </w:tc>
        <w:tc>
          <w:tcPr>
            <w:tcW w:w="536"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0.0018</w:t>
            </w:r>
          </w:p>
        </w:tc>
        <w:tc>
          <w:tcPr>
            <w:tcW w:w="798" w:type="pct"/>
            <w:tcBorders>
              <w:top w:val="single" w:sz="4" w:space="0" w:color="auto"/>
              <w:left w:val="single" w:sz="4" w:space="0" w:color="auto"/>
              <w:bottom w:val="single" w:sz="4" w:space="0" w:color="auto"/>
              <w:right w:val="single" w:sz="4" w:space="0" w:color="auto"/>
            </w:tcBorders>
          </w:tcPr>
          <w:p w:rsidR="00F9552F" w:rsidRPr="00301969" w:rsidRDefault="00F9552F" w:rsidP="00301969">
            <w:pPr>
              <w:pStyle w:val="NoSpacing"/>
              <w:rPr>
                <w:sz w:val="22"/>
                <w:szCs w:val="22"/>
                <w:lang w:val="sr-Latn-BA"/>
              </w:rPr>
            </w:pPr>
          </w:p>
        </w:tc>
        <w:tc>
          <w:tcPr>
            <w:tcW w:w="697" w:type="pct"/>
            <w:tcBorders>
              <w:top w:val="single" w:sz="4" w:space="0" w:color="auto"/>
              <w:left w:val="single" w:sz="4" w:space="0" w:color="auto"/>
              <w:bottom w:val="single" w:sz="4" w:space="0" w:color="auto"/>
              <w:right w:val="nil"/>
            </w:tcBorders>
          </w:tcPr>
          <w:p w:rsidR="00F9552F" w:rsidRPr="00301969" w:rsidRDefault="00F9552F" w:rsidP="00301969">
            <w:pPr>
              <w:pStyle w:val="NoSpacing"/>
              <w:rPr>
                <w:sz w:val="22"/>
                <w:szCs w:val="22"/>
                <w:lang w:val="sr-Latn-BA"/>
              </w:rPr>
            </w:pPr>
          </w:p>
        </w:tc>
      </w:tr>
      <w:tr w:rsidR="00F9552F" w:rsidRPr="00301969" w:rsidTr="00F9552F">
        <w:tc>
          <w:tcPr>
            <w:tcW w:w="719" w:type="pct"/>
            <w:tcBorders>
              <w:top w:val="single" w:sz="4" w:space="0" w:color="auto"/>
              <w:left w:val="nil"/>
              <w:bottom w:val="single" w:sz="4" w:space="0" w:color="auto"/>
              <w:right w:val="single" w:sz="4" w:space="0" w:color="auto"/>
            </w:tcBorders>
            <w:vAlign w:val="bottom"/>
            <w:hideMark/>
          </w:tcPr>
          <w:p w:rsidR="00F9552F" w:rsidRPr="00301969" w:rsidRDefault="00F9552F" w:rsidP="00301969">
            <w:pPr>
              <w:pStyle w:val="NoSpacing"/>
              <w:rPr>
                <w:color w:val="000000"/>
                <w:sz w:val="22"/>
                <w:szCs w:val="22"/>
                <w:lang w:val="en-US"/>
              </w:rPr>
            </w:pPr>
            <w:r w:rsidRPr="00301969">
              <w:rPr>
                <w:color w:val="000000"/>
                <w:sz w:val="22"/>
                <w:szCs w:val="22"/>
              </w:rPr>
              <w:t>NKM</w:t>
            </w:r>
          </w:p>
        </w:tc>
        <w:tc>
          <w:tcPr>
            <w:tcW w:w="772"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0.353845</w:t>
            </w:r>
          </w:p>
        </w:tc>
        <w:tc>
          <w:tcPr>
            <w:tcW w:w="771"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0.110417</w:t>
            </w:r>
          </w:p>
        </w:tc>
        <w:tc>
          <w:tcPr>
            <w:tcW w:w="707"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3.204636</w:t>
            </w:r>
          </w:p>
        </w:tc>
        <w:tc>
          <w:tcPr>
            <w:tcW w:w="536"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0.0239</w:t>
            </w:r>
          </w:p>
        </w:tc>
        <w:tc>
          <w:tcPr>
            <w:tcW w:w="798" w:type="pct"/>
            <w:tcBorders>
              <w:top w:val="single" w:sz="4" w:space="0" w:color="auto"/>
              <w:left w:val="single" w:sz="4" w:space="0" w:color="auto"/>
              <w:bottom w:val="single" w:sz="4" w:space="0" w:color="auto"/>
              <w:right w:val="single" w:sz="4" w:space="0" w:color="auto"/>
            </w:tcBorders>
          </w:tcPr>
          <w:p w:rsidR="00F9552F" w:rsidRPr="00301969" w:rsidRDefault="00F9552F" w:rsidP="00301969">
            <w:pPr>
              <w:pStyle w:val="NoSpacing"/>
              <w:rPr>
                <w:sz w:val="22"/>
                <w:szCs w:val="22"/>
                <w:lang w:val="sr-Latn-BA"/>
              </w:rPr>
            </w:pPr>
          </w:p>
        </w:tc>
        <w:tc>
          <w:tcPr>
            <w:tcW w:w="697" w:type="pct"/>
            <w:tcBorders>
              <w:top w:val="single" w:sz="4" w:space="0" w:color="auto"/>
              <w:left w:val="single" w:sz="4" w:space="0" w:color="auto"/>
              <w:bottom w:val="single" w:sz="4" w:space="0" w:color="auto"/>
              <w:right w:val="nil"/>
            </w:tcBorders>
          </w:tcPr>
          <w:p w:rsidR="00F9552F" w:rsidRPr="00301969" w:rsidRDefault="00F9552F" w:rsidP="00301969">
            <w:pPr>
              <w:pStyle w:val="NoSpacing"/>
              <w:rPr>
                <w:sz w:val="22"/>
                <w:szCs w:val="22"/>
                <w:lang w:val="sr-Latn-BA"/>
              </w:rPr>
            </w:pPr>
          </w:p>
        </w:tc>
      </w:tr>
      <w:tr w:rsidR="00F9552F" w:rsidRPr="00301969" w:rsidTr="0055799A">
        <w:tc>
          <w:tcPr>
            <w:tcW w:w="719" w:type="pct"/>
            <w:tcBorders>
              <w:top w:val="single" w:sz="4" w:space="0" w:color="auto"/>
              <w:left w:val="nil"/>
              <w:bottom w:val="single" w:sz="4" w:space="0" w:color="auto"/>
              <w:right w:val="single" w:sz="4" w:space="0" w:color="auto"/>
            </w:tcBorders>
            <w:vAlign w:val="bottom"/>
            <w:hideMark/>
          </w:tcPr>
          <w:p w:rsidR="00F9552F" w:rsidRPr="00301969" w:rsidRDefault="00F9552F" w:rsidP="00301969">
            <w:pPr>
              <w:pStyle w:val="NoSpacing"/>
              <w:rPr>
                <w:color w:val="000000"/>
                <w:sz w:val="22"/>
                <w:szCs w:val="22"/>
                <w:lang w:val="en-US"/>
              </w:rPr>
            </w:pPr>
            <w:r w:rsidRPr="00301969">
              <w:rPr>
                <w:color w:val="000000"/>
                <w:sz w:val="22"/>
                <w:szCs w:val="22"/>
              </w:rPr>
              <w:t>KOA</w:t>
            </w:r>
          </w:p>
        </w:tc>
        <w:tc>
          <w:tcPr>
            <w:tcW w:w="772"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0.467503</w:t>
            </w:r>
          </w:p>
        </w:tc>
        <w:tc>
          <w:tcPr>
            <w:tcW w:w="771"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0.051413</w:t>
            </w:r>
          </w:p>
        </w:tc>
        <w:tc>
          <w:tcPr>
            <w:tcW w:w="707"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9.093024</w:t>
            </w:r>
          </w:p>
        </w:tc>
        <w:tc>
          <w:tcPr>
            <w:tcW w:w="536"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0.0003</w:t>
            </w:r>
          </w:p>
        </w:tc>
        <w:tc>
          <w:tcPr>
            <w:tcW w:w="798" w:type="pct"/>
            <w:tcBorders>
              <w:top w:val="single" w:sz="4" w:space="0" w:color="auto"/>
              <w:left w:val="single" w:sz="4" w:space="0" w:color="auto"/>
              <w:bottom w:val="single" w:sz="4" w:space="0" w:color="auto"/>
              <w:right w:val="single" w:sz="4" w:space="0" w:color="auto"/>
            </w:tcBorders>
          </w:tcPr>
          <w:p w:rsidR="00F9552F" w:rsidRPr="00301969" w:rsidRDefault="00F9552F" w:rsidP="00301969">
            <w:pPr>
              <w:pStyle w:val="NoSpacing"/>
              <w:rPr>
                <w:sz w:val="22"/>
                <w:szCs w:val="22"/>
                <w:lang w:val="sr-Latn-BA"/>
              </w:rPr>
            </w:pPr>
          </w:p>
        </w:tc>
        <w:tc>
          <w:tcPr>
            <w:tcW w:w="697" w:type="pct"/>
            <w:tcBorders>
              <w:top w:val="single" w:sz="4" w:space="0" w:color="auto"/>
              <w:left w:val="single" w:sz="4" w:space="0" w:color="auto"/>
              <w:bottom w:val="single" w:sz="4" w:space="0" w:color="auto"/>
              <w:right w:val="nil"/>
            </w:tcBorders>
          </w:tcPr>
          <w:p w:rsidR="00F9552F" w:rsidRPr="00301969" w:rsidRDefault="00F9552F" w:rsidP="00301969">
            <w:pPr>
              <w:pStyle w:val="NoSpacing"/>
              <w:rPr>
                <w:sz w:val="22"/>
                <w:szCs w:val="22"/>
                <w:lang w:val="sr-Latn-BA"/>
              </w:rPr>
            </w:pPr>
          </w:p>
        </w:tc>
      </w:tr>
      <w:tr w:rsidR="00F9552F" w:rsidRPr="00301969" w:rsidTr="0055799A">
        <w:tc>
          <w:tcPr>
            <w:tcW w:w="719" w:type="pct"/>
            <w:tcBorders>
              <w:top w:val="single" w:sz="4" w:space="0" w:color="auto"/>
              <w:left w:val="nil"/>
              <w:bottom w:val="single" w:sz="4" w:space="0" w:color="auto"/>
              <w:right w:val="single" w:sz="4" w:space="0" w:color="auto"/>
            </w:tcBorders>
            <w:vAlign w:val="bottom"/>
            <w:hideMark/>
          </w:tcPr>
          <w:p w:rsidR="00F9552F" w:rsidRPr="00301969" w:rsidRDefault="00F9552F" w:rsidP="00301969">
            <w:pPr>
              <w:pStyle w:val="NoSpacing"/>
              <w:rPr>
                <w:color w:val="000000"/>
                <w:sz w:val="22"/>
                <w:szCs w:val="22"/>
                <w:lang w:val="en-US"/>
              </w:rPr>
            </w:pPr>
            <w:r w:rsidRPr="00301969">
              <w:rPr>
                <w:color w:val="000000"/>
                <w:sz w:val="22"/>
                <w:szCs w:val="22"/>
              </w:rPr>
              <w:t>IKRE</w:t>
            </w:r>
          </w:p>
        </w:tc>
        <w:tc>
          <w:tcPr>
            <w:tcW w:w="772"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-0.011033</w:t>
            </w:r>
          </w:p>
        </w:tc>
        <w:tc>
          <w:tcPr>
            <w:tcW w:w="771"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0.003809</w:t>
            </w:r>
          </w:p>
        </w:tc>
        <w:tc>
          <w:tcPr>
            <w:tcW w:w="707"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-2.896794</w:t>
            </w:r>
          </w:p>
        </w:tc>
        <w:tc>
          <w:tcPr>
            <w:tcW w:w="536" w:type="pct"/>
            <w:tcBorders>
              <w:top w:val="single" w:sz="4" w:space="0" w:color="auto"/>
              <w:left w:val="single" w:sz="4" w:space="0" w:color="auto"/>
              <w:bottom w:val="single" w:sz="4" w:space="0" w:color="auto"/>
              <w:right w:val="single" w:sz="4" w:space="0" w:color="auto"/>
            </w:tcBorders>
            <w:hideMark/>
          </w:tcPr>
          <w:p w:rsidR="00F9552F" w:rsidRPr="00301969" w:rsidRDefault="00F9552F" w:rsidP="00301969">
            <w:pPr>
              <w:pStyle w:val="NoSpacing"/>
              <w:rPr>
                <w:sz w:val="22"/>
                <w:szCs w:val="22"/>
                <w:lang w:val="en-US"/>
              </w:rPr>
            </w:pPr>
            <w:r w:rsidRPr="00301969">
              <w:rPr>
                <w:sz w:val="22"/>
                <w:szCs w:val="22"/>
              </w:rPr>
              <w:t>0.0339</w:t>
            </w:r>
          </w:p>
        </w:tc>
        <w:tc>
          <w:tcPr>
            <w:tcW w:w="798" w:type="pct"/>
            <w:tcBorders>
              <w:top w:val="single" w:sz="4" w:space="0" w:color="auto"/>
              <w:left w:val="single" w:sz="4" w:space="0" w:color="auto"/>
              <w:bottom w:val="single" w:sz="4" w:space="0" w:color="auto"/>
              <w:right w:val="single" w:sz="4" w:space="0" w:color="auto"/>
            </w:tcBorders>
          </w:tcPr>
          <w:p w:rsidR="00F9552F" w:rsidRPr="00301969" w:rsidRDefault="00F9552F" w:rsidP="00301969">
            <w:pPr>
              <w:pStyle w:val="NoSpacing"/>
              <w:rPr>
                <w:sz w:val="22"/>
                <w:szCs w:val="22"/>
                <w:lang w:val="sr-Latn-BA"/>
              </w:rPr>
            </w:pPr>
          </w:p>
        </w:tc>
        <w:tc>
          <w:tcPr>
            <w:tcW w:w="697" w:type="pct"/>
            <w:tcBorders>
              <w:top w:val="single" w:sz="4" w:space="0" w:color="auto"/>
              <w:left w:val="single" w:sz="4" w:space="0" w:color="auto"/>
              <w:bottom w:val="single" w:sz="4" w:space="0" w:color="auto"/>
              <w:right w:val="nil"/>
            </w:tcBorders>
          </w:tcPr>
          <w:p w:rsidR="00F9552F" w:rsidRPr="00301969" w:rsidRDefault="00F9552F" w:rsidP="00301969">
            <w:pPr>
              <w:pStyle w:val="NoSpacing"/>
              <w:rPr>
                <w:sz w:val="22"/>
                <w:szCs w:val="22"/>
                <w:lang w:val="sr-Latn-BA"/>
              </w:rPr>
            </w:pPr>
          </w:p>
        </w:tc>
      </w:tr>
    </w:tbl>
    <w:p w:rsidR="00F9552F" w:rsidRPr="0055799A" w:rsidRDefault="00F9552F" w:rsidP="00301969">
      <w:pPr>
        <w:pStyle w:val="NoSpacing"/>
        <w:rPr>
          <w:sz w:val="20"/>
          <w:szCs w:val="20"/>
          <w:lang w:val="sr-Latn-BA"/>
        </w:rPr>
      </w:pPr>
      <w:r w:rsidRPr="0055799A">
        <w:rPr>
          <w:sz w:val="20"/>
          <w:szCs w:val="20"/>
          <w:lang w:val="sr-Latn-BA"/>
        </w:rPr>
        <w:t xml:space="preserve">Izvor: Ibid. * Napomena: Vrijednost zavisne varijable, neuspjeha, je određena na osnovu informacija o neuspjehu iz 2014. godine. </w:t>
      </w:r>
    </w:p>
    <w:p w:rsidR="00F9552F" w:rsidRDefault="00F9552F" w:rsidP="00301969">
      <w:pPr>
        <w:pStyle w:val="NoSpacing"/>
        <w:rPr>
          <w:sz w:val="20"/>
          <w:szCs w:val="20"/>
          <w:lang w:val="sr-Latn-BA"/>
        </w:rPr>
      </w:pPr>
    </w:p>
    <w:p w:rsidR="00537797" w:rsidRDefault="00F9552F" w:rsidP="0055799A">
      <w:pPr>
        <w:pStyle w:val="NoSpacing"/>
        <w:ind w:firstLine="720"/>
        <w:rPr>
          <w:lang w:val="sr-Latn-BA"/>
        </w:rPr>
      </w:pPr>
      <w:r>
        <w:rPr>
          <w:lang w:val="sr-Latn-BA"/>
        </w:rPr>
        <w:t>Model je vrlo precizno ocijenio vjerovatnoću neuspjeha svih banka (</w:t>
      </w:r>
      <w:r>
        <w:rPr>
          <w:sz w:val="20"/>
          <w:szCs w:val="20"/>
          <w:lang w:val="sr-Latn-BA"/>
        </w:rPr>
        <w:t>Tabela 7</w:t>
      </w:r>
      <w:r>
        <w:rPr>
          <w:lang w:val="sr-Latn-BA"/>
        </w:rPr>
        <w:t>). Za sve četiri banke koje su doživjele neuspjeh u 2014. godini, modelirana vjerovatnoća neuspjeha je izuzetno visoka i približava se jedinici (KRLB, BLKB, PIBB, BBRB). Kod banaka koje nemaju problema u poslovanju (ukupno 6 banka) ocijena vjerovatnoće neuspjeha konvergira nuli sa desne, ali i sa lijeve strane. Suma kvadrata reziduala je izuzetno niska i iznosi svega</w:t>
      </w:r>
      <w:r>
        <w:rPr>
          <w:b/>
          <w:lang w:val="sr-Latn-BA"/>
        </w:rPr>
        <w:t xml:space="preserve"> </w:t>
      </w:r>
      <w:r>
        <w:rPr>
          <w:lang w:val="sr-Latn-BA"/>
        </w:rPr>
        <w:t>0,076 (</w:t>
      </w:r>
      <w:r>
        <w:rPr>
          <w:sz w:val="20"/>
          <w:szCs w:val="20"/>
          <w:lang w:val="sr-Latn-BA"/>
        </w:rPr>
        <w:t>Grafikon 1</w:t>
      </w:r>
      <w:r>
        <w:rPr>
          <w:lang w:val="sr-Latn-BA"/>
        </w:rPr>
        <w:t xml:space="preserve">), a to je mjera izuzetno dobre specifikacije modela. </w:t>
      </w:r>
    </w:p>
    <w:p w:rsidR="00F9552F" w:rsidRDefault="00F9552F" w:rsidP="0055799A">
      <w:pPr>
        <w:pStyle w:val="NoSpacing"/>
        <w:ind w:firstLine="720"/>
        <w:rPr>
          <w:lang w:val="sr-Latn-BA"/>
        </w:rPr>
      </w:pPr>
      <w:r>
        <w:rPr>
          <w:lang w:val="sr-Latn-BA"/>
        </w:rPr>
        <w:t>Ocjenjena vrijednost zavisne promjenljive, u odnosu na stvarnu, najviše odstupa u slučaju Komercijalne banke AD Banjaluka (KRLB), koja nije doživjela neuspjeh, ali je ocjenjena vjerovatnoća neuspjeha 13,4%.</w:t>
      </w:r>
    </w:p>
    <w:p w:rsidR="00F9552F" w:rsidRDefault="00F9552F" w:rsidP="00F9552F">
      <w:pPr>
        <w:rPr>
          <w:lang w:val="sr-Latn-BA"/>
        </w:rPr>
      </w:pPr>
    </w:p>
    <w:p w:rsidR="00F9552F" w:rsidRPr="0055799A" w:rsidRDefault="00F9552F" w:rsidP="0055799A">
      <w:pPr>
        <w:pStyle w:val="NoSpacing"/>
        <w:rPr>
          <w:sz w:val="22"/>
          <w:szCs w:val="22"/>
          <w:lang w:val="sr-Latn-BA"/>
        </w:rPr>
      </w:pPr>
      <w:r w:rsidRPr="00537797">
        <w:rPr>
          <w:b/>
          <w:sz w:val="22"/>
          <w:szCs w:val="22"/>
          <w:lang w:val="sr-Latn-BA"/>
        </w:rPr>
        <w:lastRenderedPageBreak/>
        <w:t>Grafikon 1</w:t>
      </w:r>
      <w:r w:rsidRPr="0055799A">
        <w:rPr>
          <w:sz w:val="22"/>
          <w:szCs w:val="22"/>
          <w:lang w:val="sr-Latn-BA"/>
        </w:rPr>
        <w:t xml:space="preserve">. Stvarna i ocijenjena vrijednost zavisne varijable i reziduli </w:t>
      </w:r>
    </w:p>
    <w:p w:rsidR="00F9552F" w:rsidRDefault="00F9552F" w:rsidP="00F9552F">
      <w:pPr>
        <w:rPr>
          <w:lang w:val="sr-Latn-BA"/>
        </w:rPr>
      </w:pPr>
      <w:r>
        <w:rPr>
          <w:noProof/>
          <w:lang w:val="bs-Latn-BA" w:eastAsia="bs-Latn-BA"/>
        </w:rPr>
        <w:drawing>
          <wp:inline distT="0" distB="0" distL="0" distR="0">
            <wp:extent cx="3679825" cy="2399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9825" cy="2399665"/>
                    </a:xfrm>
                    <a:prstGeom prst="rect">
                      <a:avLst/>
                    </a:prstGeom>
                    <a:noFill/>
                    <a:ln>
                      <a:noFill/>
                    </a:ln>
                  </pic:spPr>
                </pic:pic>
              </a:graphicData>
            </a:graphic>
          </wp:inline>
        </w:drawing>
      </w:r>
    </w:p>
    <w:p w:rsidR="00F9552F" w:rsidRPr="0055799A" w:rsidRDefault="00F9552F" w:rsidP="0055799A">
      <w:pPr>
        <w:pStyle w:val="NoSpacing"/>
        <w:rPr>
          <w:sz w:val="20"/>
          <w:szCs w:val="20"/>
          <w:lang w:val="sr-Latn-BA"/>
        </w:rPr>
      </w:pPr>
      <w:r w:rsidRPr="0055799A">
        <w:rPr>
          <w:sz w:val="20"/>
          <w:szCs w:val="20"/>
          <w:lang w:val="sr-Latn-BA"/>
        </w:rPr>
        <w:t xml:space="preserve">Izvor: Ibid. </w:t>
      </w:r>
    </w:p>
    <w:p w:rsidR="00F9552F" w:rsidRDefault="00F9552F" w:rsidP="00F9552F">
      <w:pPr>
        <w:rPr>
          <w:sz w:val="20"/>
          <w:szCs w:val="20"/>
          <w:lang w:val="sr-Latn-BA"/>
        </w:rPr>
      </w:pPr>
    </w:p>
    <w:p w:rsidR="00F9552F" w:rsidRPr="0055799A" w:rsidRDefault="00F9552F" w:rsidP="0055799A">
      <w:pPr>
        <w:pStyle w:val="NoSpacing"/>
        <w:rPr>
          <w:rFonts w:cs="Times New Roman"/>
          <w:sz w:val="22"/>
          <w:szCs w:val="22"/>
          <w:lang w:val="sr-Latn-BA"/>
        </w:rPr>
      </w:pPr>
      <w:r w:rsidRPr="0096748B">
        <w:rPr>
          <w:rFonts w:cs="Times New Roman"/>
          <w:b/>
          <w:sz w:val="22"/>
          <w:szCs w:val="22"/>
          <w:lang w:val="sr-Latn-BA"/>
        </w:rPr>
        <w:t>Tabela 7</w:t>
      </w:r>
      <w:r w:rsidRPr="0055799A">
        <w:rPr>
          <w:rFonts w:cs="Times New Roman"/>
          <w:sz w:val="22"/>
          <w:szCs w:val="22"/>
          <w:lang w:val="sr-Latn-BA"/>
        </w:rPr>
        <w:t xml:space="preserve">. Prognoza vjerovatnoće neuspjeha banaka u 2014. godini* </w:t>
      </w:r>
    </w:p>
    <w:tbl>
      <w:tblPr>
        <w:tblW w:w="0" w:type="auto"/>
        <w:tblLook w:val="04A0"/>
      </w:tblPr>
      <w:tblGrid>
        <w:gridCol w:w="1811"/>
        <w:gridCol w:w="718"/>
        <w:gridCol w:w="707"/>
        <w:gridCol w:w="738"/>
        <w:gridCol w:w="692"/>
        <w:gridCol w:w="687"/>
        <w:gridCol w:w="758"/>
        <w:gridCol w:w="630"/>
        <w:gridCol w:w="707"/>
        <w:gridCol w:w="707"/>
        <w:gridCol w:w="707"/>
      </w:tblGrid>
      <w:tr w:rsidR="00F9552F" w:rsidRPr="0055799A" w:rsidTr="00A346C6">
        <w:trPr>
          <w:trHeight w:val="264"/>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Banka</w:t>
            </w:r>
          </w:p>
        </w:tc>
        <w:tc>
          <w:tcPr>
            <w:tcW w:w="0" w:type="auto"/>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VBBB</w:t>
            </w:r>
          </w:p>
        </w:tc>
        <w:tc>
          <w:tcPr>
            <w:tcW w:w="0" w:type="auto"/>
            <w:tcBorders>
              <w:top w:val="single" w:sz="4" w:space="0" w:color="auto"/>
              <w:left w:val="nil"/>
              <w:bottom w:val="single" w:sz="4" w:space="0" w:color="auto"/>
              <w:right w:val="nil"/>
            </w:tcBorders>
            <w:shd w:val="clear" w:color="auto" w:fill="DBE5F1" w:themeFill="accent1" w:themeFillTint="33"/>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NBLB</w:t>
            </w:r>
          </w:p>
        </w:tc>
        <w:tc>
          <w:tcPr>
            <w:tcW w:w="0" w:type="auto"/>
            <w:tcBorders>
              <w:top w:val="single" w:sz="4" w:space="0" w:color="auto"/>
              <w:left w:val="nil"/>
              <w:bottom w:val="single" w:sz="4" w:space="0" w:color="auto"/>
              <w:right w:val="nil"/>
            </w:tcBorders>
            <w:shd w:val="clear" w:color="auto" w:fill="DBE5F1" w:themeFill="accent1" w:themeFillTint="33"/>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NOVB</w:t>
            </w:r>
          </w:p>
        </w:tc>
        <w:tc>
          <w:tcPr>
            <w:tcW w:w="0" w:type="auto"/>
            <w:tcBorders>
              <w:top w:val="single" w:sz="4" w:space="0" w:color="auto"/>
              <w:left w:val="nil"/>
              <w:bottom w:val="single" w:sz="4" w:space="0" w:color="auto"/>
              <w:right w:val="nil"/>
            </w:tcBorders>
            <w:shd w:val="clear" w:color="auto" w:fill="DBE5F1" w:themeFill="accent1" w:themeFillTint="33"/>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IEFB</w:t>
            </w:r>
          </w:p>
        </w:tc>
        <w:tc>
          <w:tcPr>
            <w:tcW w:w="0" w:type="auto"/>
            <w:tcBorders>
              <w:top w:val="single" w:sz="4" w:space="0" w:color="auto"/>
              <w:left w:val="nil"/>
              <w:bottom w:val="single" w:sz="4" w:space="0" w:color="auto"/>
              <w:right w:val="nil"/>
            </w:tcBorders>
            <w:shd w:val="clear" w:color="auto" w:fill="DBE5F1" w:themeFill="accent1" w:themeFillTint="33"/>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ZPKB</w:t>
            </w:r>
          </w:p>
        </w:tc>
        <w:tc>
          <w:tcPr>
            <w:tcW w:w="0" w:type="auto"/>
            <w:tcBorders>
              <w:top w:val="single" w:sz="4" w:space="0" w:color="auto"/>
              <w:left w:val="nil"/>
              <w:bottom w:val="single" w:sz="4" w:space="0" w:color="auto"/>
              <w:right w:val="nil"/>
            </w:tcBorders>
            <w:shd w:val="clear" w:color="auto" w:fill="DBE5F1" w:themeFill="accent1" w:themeFillTint="33"/>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KMCB</w:t>
            </w:r>
          </w:p>
        </w:tc>
        <w:tc>
          <w:tcPr>
            <w:tcW w:w="0" w:type="auto"/>
            <w:tcBorders>
              <w:top w:val="single" w:sz="4" w:space="0" w:color="auto"/>
              <w:left w:val="nil"/>
              <w:bottom w:val="single" w:sz="4" w:space="0" w:color="auto"/>
              <w:right w:val="nil"/>
            </w:tcBorders>
            <w:shd w:val="clear" w:color="auto" w:fill="DBE5F1" w:themeFill="accent1" w:themeFillTint="33"/>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PIBB</w:t>
            </w:r>
          </w:p>
        </w:tc>
        <w:tc>
          <w:tcPr>
            <w:tcW w:w="0" w:type="auto"/>
            <w:tcBorders>
              <w:top w:val="single" w:sz="4" w:space="0" w:color="auto"/>
              <w:left w:val="nil"/>
              <w:bottom w:val="single" w:sz="4" w:space="0" w:color="auto"/>
              <w:right w:val="nil"/>
            </w:tcBorders>
            <w:shd w:val="clear" w:color="auto" w:fill="DBE5F1" w:themeFill="accent1" w:themeFillTint="33"/>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BLKB</w:t>
            </w:r>
          </w:p>
        </w:tc>
        <w:tc>
          <w:tcPr>
            <w:tcW w:w="0" w:type="auto"/>
            <w:tcBorders>
              <w:top w:val="single" w:sz="4" w:space="0" w:color="auto"/>
              <w:left w:val="nil"/>
              <w:bottom w:val="single" w:sz="4" w:space="0" w:color="auto"/>
              <w:right w:val="nil"/>
            </w:tcBorders>
            <w:shd w:val="clear" w:color="auto" w:fill="DBE5F1" w:themeFill="accent1" w:themeFillTint="33"/>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KRLB</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BBRB</w:t>
            </w:r>
          </w:p>
        </w:tc>
      </w:tr>
      <w:tr w:rsidR="00F9552F" w:rsidRPr="0055799A" w:rsidTr="00A346C6">
        <w:trPr>
          <w:trHeight w:val="264"/>
        </w:trPr>
        <w:tc>
          <w:tcPr>
            <w:tcW w:w="0" w:type="auto"/>
            <w:tcBorders>
              <w:top w:val="single" w:sz="4" w:space="0" w:color="auto"/>
              <w:left w:val="single" w:sz="4" w:space="0" w:color="auto"/>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Vjerovatnoća</w:t>
            </w:r>
          </w:p>
          <w:p w:rsidR="00F9552F" w:rsidRPr="0055799A" w:rsidRDefault="00F9552F" w:rsidP="0055799A">
            <w:pPr>
              <w:pStyle w:val="NoSpacing"/>
              <w:rPr>
                <w:rFonts w:cs="Times New Roman"/>
                <w:sz w:val="22"/>
                <w:szCs w:val="22"/>
                <w:lang w:val="en-US"/>
              </w:rPr>
            </w:pPr>
            <w:r w:rsidRPr="0055799A">
              <w:rPr>
                <w:rFonts w:cs="Times New Roman"/>
                <w:sz w:val="22"/>
                <w:szCs w:val="22"/>
              </w:rPr>
              <w:t>neuspjeha</w:t>
            </w:r>
          </w:p>
        </w:tc>
        <w:tc>
          <w:tcPr>
            <w:tcW w:w="0" w:type="auto"/>
            <w:tcBorders>
              <w:top w:val="nil"/>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-0,077</w:t>
            </w:r>
          </w:p>
        </w:tc>
        <w:tc>
          <w:tcPr>
            <w:tcW w:w="0" w:type="auto"/>
            <w:tcBorders>
              <w:top w:val="nil"/>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-0,064</w:t>
            </w:r>
          </w:p>
        </w:tc>
        <w:tc>
          <w:tcPr>
            <w:tcW w:w="0" w:type="auto"/>
            <w:tcBorders>
              <w:top w:val="nil"/>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-0,027</w:t>
            </w:r>
          </w:p>
        </w:tc>
        <w:tc>
          <w:tcPr>
            <w:tcW w:w="0" w:type="auto"/>
            <w:tcBorders>
              <w:top w:val="nil"/>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-0,023</w:t>
            </w:r>
          </w:p>
        </w:tc>
        <w:tc>
          <w:tcPr>
            <w:tcW w:w="0" w:type="auto"/>
            <w:tcBorders>
              <w:top w:val="nil"/>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0,106</w:t>
            </w:r>
          </w:p>
        </w:tc>
        <w:tc>
          <w:tcPr>
            <w:tcW w:w="0" w:type="auto"/>
            <w:tcBorders>
              <w:top w:val="nil"/>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0,134</w:t>
            </w:r>
          </w:p>
        </w:tc>
        <w:tc>
          <w:tcPr>
            <w:tcW w:w="0" w:type="auto"/>
            <w:tcBorders>
              <w:top w:val="nil"/>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0,875</w:t>
            </w:r>
          </w:p>
        </w:tc>
        <w:tc>
          <w:tcPr>
            <w:tcW w:w="0" w:type="auto"/>
            <w:tcBorders>
              <w:top w:val="nil"/>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0,920</w:t>
            </w:r>
          </w:p>
        </w:tc>
        <w:tc>
          <w:tcPr>
            <w:tcW w:w="0" w:type="auto"/>
            <w:tcBorders>
              <w:top w:val="nil"/>
              <w:left w:val="nil"/>
              <w:bottom w:val="single" w:sz="4" w:space="0" w:color="auto"/>
              <w:right w:val="nil"/>
            </w:tcBorders>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1,011</w:t>
            </w:r>
          </w:p>
        </w:tc>
        <w:tc>
          <w:tcPr>
            <w:tcW w:w="0" w:type="auto"/>
            <w:tcBorders>
              <w:top w:val="single" w:sz="4" w:space="0" w:color="auto"/>
              <w:left w:val="nil"/>
              <w:bottom w:val="single" w:sz="4" w:space="0" w:color="auto"/>
              <w:right w:val="single" w:sz="4" w:space="0" w:color="auto"/>
            </w:tcBorders>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1,117</w:t>
            </w:r>
          </w:p>
        </w:tc>
      </w:tr>
      <w:tr w:rsidR="00F9552F" w:rsidRPr="0055799A" w:rsidTr="00A346C6">
        <w:trPr>
          <w:trHeight w:val="264"/>
        </w:trPr>
        <w:tc>
          <w:tcPr>
            <w:tcW w:w="0" w:type="auto"/>
            <w:tcBorders>
              <w:top w:val="single" w:sz="4" w:space="0" w:color="auto"/>
              <w:left w:val="single" w:sz="4" w:space="0" w:color="auto"/>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Neuspjeh (=1)</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0</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1</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1</w:t>
            </w:r>
          </w:p>
        </w:tc>
        <w:tc>
          <w:tcPr>
            <w:tcW w:w="0" w:type="auto"/>
            <w:tcBorders>
              <w:top w:val="single" w:sz="4" w:space="0" w:color="auto"/>
              <w:left w:val="nil"/>
              <w:bottom w:val="single" w:sz="4" w:space="0" w:color="auto"/>
              <w:right w:val="nil"/>
            </w:tcBorders>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1</w:t>
            </w:r>
          </w:p>
        </w:tc>
        <w:tc>
          <w:tcPr>
            <w:tcW w:w="0" w:type="auto"/>
            <w:tcBorders>
              <w:top w:val="single" w:sz="4" w:space="0" w:color="auto"/>
              <w:left w:val="nil"/>
              <w:bottom w:val="single" w:sz="4" w:space="0" w:color="auto"/>
              <w:right w:val="single" w:sz="4" w:space="0" w:color="auto"/>
            </w:tcBorders>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1</w:t>
            </w:r>
          </w:p>
        </w:tc>
      </w:tr>
      <w:tr w:rsidR="00F9552F" w:rsidRPr="0055799A" w:rsidTr="00A346C6">
        <w:trPr>
          <w:trHeight w:val="264"/>
        </w:trPr>
        <w:tc>
          <w:tcPr>
            <w:tcW w:w="0" w:type="auto"/>
            <w:tcBorders>
              <w:top w:val="single" w:sz="4" w:space="0" w:color="auto"/>
              <w:left w:val="single" w:sz="4" w:space="0" w:color="auto"/>
              <w:bottom w:val="single" w:sz="4" w:space="0" w:color="auto"/>
              <w:right w:val="nil"/>
            </w:tcBorders>
            <w:noWrap/>
            <w:vAlign w:val="center"/>
            <w:hideMark/>
          </w:tcPr>
          <w:p w:rsidR="00F9552F" w:rsidRPr="0055799A" w:rsidRDefault="00F9552F" w:rsidP="0055799A">
            <w:pPr>
              <w:pStyle w:val="NoSpacing"/>
              <w:rPr>
                <w:rFonts w:cs="Times New Roman"/>
                <w:sz w:val="22"/>
                <w:szCs w:val="22"/>
                <w:lang w:val="de-DE"/>
              </w:rPr>
            </w:pPr>
            <w:r w:rsidRPr="0055799A">
              <w:rPr>
                <w:rFonts w:cs="Times New Roman"/>
                <w:sz w:val="22"/>
                <w:szCs w:val="22"/>
                <w:lang w:val="de-DE"/>
              </w:rPr>
              <w:t>Ta</w:t>
            </w:r>
            <w:r w:rsidRPr="0055799A">
              <w:rPr>
                <w:rFonts w:cs="Times New Roman"/>
                <w:sz w:val="22"/>
                <w:szCs w:val="22"/>
                <w:lang w:val="sr-Latn-BA"/>
              </w:rPr>
              <w:t>čna prognoza(T)</w:t>
            </w:r>
            <w:r w:rsidRPr="0055799A">
              <w:rPr>
                <w:rFonts w:cs="Times New Roman"/>
                <w:sz w:val="22"/>
                <w:szCs w:val="22"/>
                <w:lang w:val="de-DE"/>
              </w:rPr>
              <w:t>/</w:t>
            </w:r>
          </w:p>
          <w:p w:rsidR="00F9552F" w:rsidRPr="0055799A" w:rsidRDefault="00F9552F" w:rsidP="0055799A">
            <w:pPr>
              <w:pStyle w:val="NoSpacing"/>
              <w:rPr>
                <w:rFonts w:cs="Times New Roman"/>
                <w:sz w:val="22"/>
                <w:szCs w:val="22"/>
                <w:lang w:val="de-DE"/>
              </w:rPr>
            </w:pPr>
            <w:r w:rsidRPr="0055799A">
              <w:rPr>
                <w:rFonts w:cs="Times New Roman"/>
                <w:sz w:val="22"/>
                <w:szCs w:val="22"/>
                <w:lang w:val="de-DE"/>
              </w:rPr>
              <w:t>netačna prognoza (N)</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T</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T</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T</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T</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T</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T</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T</w:t>
            </w:r>
          </w:p>
        </w:tc>
        <w:tc>
          <w:tcPr>
            <w:tcW w:w="0" w:type="auto"/>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T</w:t>
            </w:r>
          </w:p>
        </w:tc>
        <w:tc>
          <w:tcPr>
            <w:tcW w:w="0" w:type="auto"/>
            <w:tcBorders>
              <w:top w:val="single" w:sz="4" w:space="0" w:color="auto"/>
              <w:left w:val="nil"/>
              <w:bottom w:val="single" w:sz="4" w:space="0" w:color="auto"/>
              <w:right w:val="nil"/>
            </w:tcBorders>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T</w:t>
            </w:r>
          </w:p>
        </w:tc>
        <w:tc>
          <w:tcPr>
            <w:tcW w:w="0" w:type="auto"/>
            <w:tcBorders>
              <w:top w:val="single" w:sz="4" w:space="0" w:color="auto"/>
              <w:left w:val="nil"/>
              <w:bottom w:val="single" w:sz="4" w:space="0" w:color="auto"/>
              <w:right w:val="single" w:sz="4" w:space="0" w:color="auto"/>
            </w:tcBorders>
            <w:vAlign w:val="center"/>
            <w:hideMark/>
          </w:tcPr>
          <w:p w:rsidR="00F9552F" w:rsidRPr="0055799A" w:rsidRDefault="00F9552F" w:rsidP="0055799A">
            <w:pPr>
              <w:pStyle w:val="NoSpacing"/>
              <w:rPr>
                <w:rFonts w:cs="Times New Roman"/>
                <w:sz w:val="22"/>
                <w:szCs w:val="22"/>
                <w:lang w:val="en-US"/>
              </w:rPr>
            </w:pPr>
            <w:r w:rsidRPr="0055799A">
              <w:rPr>
                <w:rFonts w:cs="Times New Roman"/>
                <w:sz w:val="22"/>
                <w:szCs w:val="22"/>
              </w:rPr>
              <w:t>T</w:t>
            </w:r>
          </w:p>
        </w:tc>
      </w:tr>
    </w:tbl>
    <w:p w:rsidR="00F9552F" w:rsidRPr="0055799A" w:rsidRDefault="00F9552F" w:rsidP="0055799A">
      <w:pPr>
        <w:pStyle w:val="NoSpacing"/>
        <w:rPr>
          <w:rFonts w:cs="Times New Roman"/>
          <w:sz w:val="20"/>
          <w:szCs w:val="20"/>
          <w:lang w:val="sr-Latn-BA"/>
        </w:rPr>
      </w:pPr>
      <w:r w:rsidRPr="0055799A">
        <w:rPr>
          <w:rFonts w:cs="Times New Roman"/>
          <w:sz w:val="20"/>
          <w:szCs w:val="20"/>
          <w:lang w:val="sr-Latn-BA"/>
        </w:rPr>
        <w:t xml:space="preserve">Izvor: Ibid. * Napomena: Banke su poredane po rastućoj vjerovatnoći neuspjeha. </w:t>
      </w:r>
    </w:p>
    <w:p w:rsidR="00F9552F" w:rsidRPr="0055799A" w:rsidRDefault="00F9552F" w:rsidP="0055799A">
      <w:pPr>
        <w:pStyle w:val="NoSpacing"/>
        <w:rPr>
          <w:rFonts w:cs="Times New Roman"/>
          <w:sz w:val="22"/>
          <w:szCs w:val="22"/>
          <w:lang w:val="sr-Latn-BA"/>
        </w:rPr>
      </w:pPr>
    </w:p>
    <w:p w:rsidR="00F9552F" w:rsidRDefault="00F9552F" w:rsidP="0055799A">
      <w:pPr>
        <w:pStyle w:val="NoSpacing"/>
        <w:ind w:firstLine="720"/>
        <w:rPr>
          <w:lang w:val="sr-Latn-BA"/>
        </w:rPr>
      </w:pPr>
      <w:r>
        <w:rPr>
          <w:lang w:val="sr-Latn-BA"/>
        </w:rPr>
        <w:t>Koristeći podatke o vrijednosti finansijskih indikatora po bankama za 2014.godinu, na osnovu konstruisanog modela smo odredili vjerovatnoću neuspjeha banaka u 2015. godini (</w:t>
      </w:r>
      <w:r>
        <w:rPr>
          <w:sz w:val="20"/>
          <w:szCs w:val="20"/>
          <w:lang w:val="sr-Latn-BA"/>
        </w:rPr>
        <w:t>Tabela 8</w:t>
      </w:r>
      <w:r>
        <w:rPr>
          <w:lang w:val="sr-Latn-BA"/>
        </w:rPr>
        <w:t>). Prema modelu, neuspjeh (vrijedost zavisno-promjenljive veća od 0,5) se mogla očekivati kod tri banke; vjerovatnoća neuspjeha u KRLB, BLKB, PIBB je 63% i 74% i 87% respektivno. Kod prve dvije banke vjerovatnoća neuspjeha u 2015. godini se smanjila, a kod PIIP je skoro na istom nivou (</w:t>
      </w:r>
      <w:r>
        <w:rPr>
          <w:sz w:val="20"/>
          <w:szCs w:val="20"/>
          <w:lang w:val="sr-Latn-BA"/>
        </w:rPr>
        <w:t>Grafikon 2</w:t>
      </w:r>
      <w:r>
        <w:rPr>
          <w:lang w:val="sr-Latn-BA"/>
        </w:rPr>
        <w:t>). Kod nekih banaka ocjenjena vrijednost nezavisno promjenljive je još negativnija nego u 2014. godini (</w:t>
      </w:r>
      <w:r>
        <w:rPr>
          <w:sz w:val="20"/>
          <w:szCs w:val="20"/>
          <w:lang w:val="sr-Latn-BA"/>
        </w:rPr>
        <w:t>Tabela 9</w:t>
      </w:r>
      <w:r>
        <w:rPr>
          <w:lang w:val="sr-Latn-BA"/>
        </w:rPr>
        <w:t xml:space="preserve">), što bi se moglo tumačiti na način da odabrani model daje ovim bankama minimalnu vjerovatnoću, ili još nižu vjerovatnoću neuspjeha u 2015. godini  u odnosu na 2014. godinu. Vjerovatnoća neuspjeha </w:t>
      </w:r>
      <w:r w:rsidR="00A346C6">
        <w:rPr>
          <w:lang w:val="sr-Latn-BA"/>
        </w:rPr>
        <w:t xml:space="preserve"> </w:t>
      </w:r>
      <w:r>
        <w:rPr>
          <w:lang w:val="sr-Latn-BA"/>
        </w:rPr>
        <w:t xml:space="preserve">KMCB je povećana sa 13,4%, na 19,7%. </w:t>
      </w:r>
    </w:p>
    <w:p w:rsidR="0055799A" w:rsidRDefault="0055799A" w:rsidP="0055799A">
      <w:pPr>
        <w:pStyle w:val="NoSpacing"/>
        <w:rPr>
          <w:sz w:val="22"/>
          <w:szCs w:val="22"/>
          <w:lang w:val="sr-Latn-BA"/>
        </w:rPr>
      </w:pPr>
    </w:p>
    <w:p w:rsidR="00F9552F" w:rsidRPr="0055799A" w:rsidRDefault="00F9552F" w:rsidP="0055799A">
      <w:pPr>
        <w:pStyle w:val="NoSpacing"/>
        <w:rPr>
          <w:sz w:val="22"/>
          <w:szCs w:val="22"/>
          <w:lang w:val="sr-Latn-BA"/>
        </w:rPr>
      </w:pPr>
      <w:r w:rsidRPr="0096748B">
        <w:rPr>
          <w:b/>
          <w:sz w:val="22"/>
          <w:szCs w:val="22"/>
          <w:lang w:val="sr-Latn-BA"/>
        </w:rPr>
        <w:t>Tabela 8</w:t>
      </w:r>
      <w:r w:rsidRPr="0055799A">
        <w:rPr>
          <w:sz w:val="22"/>
          <w:szCs w:val="22"/>
          <w:lang w:val="sr-Latn-BA"/>
        </w:rPr>
        <w:t xml:space="preserve">. Prognoza vjerovatnoće </w:t>
      </w:r>
      <w:r w:rsidR="0055799A" w:rsidRPr="0055799A">
        <w:rPr>
          <w:sz w:val="22"/>
          <w:szCs w:val="22"/>
          <w:lang w:val="sr-Latn-BA"/>
        </w:rPr>
        <w:t xml:space="preserve">neuspjeha u 2015. godini </w:t>
      </w:r>
    </w:p>
    <w:tbl>
      <w:tblPr>
        <w:tblW w:w="5000" w:type="pct"/>
        <w:tblLook w:val="04A0"/>
      </w:tblPr>
      <w:tblGrid>
        <w:gridCol w:w="2096"/>
        <w:gridCol w:w="720"/>
        <w:gridCol w:w="748"/>
        <w:gridCol w:w="780"/>
        <w:gridCol w:w="748"/>
        <w:gridCol w:w="747"/>
        <w:gridCol w:w="823"/>
        <w:gridCol w:w="769"/>
        <w:gridCol w:w="759"/>
        <w:gridCol w:w="672"/>
      </w:tblGrid>
      <w:tr w:rsidR="00F9552F" w:rsidRPr="0055799A" w:rsidTr="0096748B">
        <w:trPr>
          <w:trHeight w:val="264"/>
        </w:trPr>
        <w:tc>
          <w:tcPr>
            <w:tcW w:w="1214" w:type="pc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rsidR="00F9552F" w:rsidRPr="0055799A" w:rsidRDefault="00F9552F" w:rsidP="0055799A">
            <w:pPr>
              <w:pStyle w:val="NoSpacing"/>
              <w:jc w:val="center"/>
              <w:rPr>
                <w:b/>
                <w:sz w:val="22"/>
                <w:szCs w:val="22"/>
                <w:lang w:val="en-US"/>
              </w:rPr>
            </w:pPr>
            <w:r w:rsidRPr="0055799A">
              <w:rPr>
                <w:b/>
                <w:sz w:val="22"/>
                <w:szCs w:val="22"/>
              </w:rPr>
              <w:t>Banka</w:t>
            </w:r>
          </w:p>
        </w:tc>
        <w:tc>
          <w:tcPr>
            <w:tcW w:w="396" w:type="pct"/>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rsidR="00F9552F" w:rsidRPr="0055799A" w:rsidRDefault="00F9552F" w:rsidP="0055799A">
            <w:pPr>
              <w:pStyle w:val="NoSpacing"/>
              <w:jc w:val="center"/>
              <w:rPr>
                <w:b/>
                <w:sz w:val="22"/>
                <w:szCs w:val="22"/>
                <w:lang w:val="en-US"/>
              </w:rPr>
            </w:pPr>
            <w:r w:rsidRPr="0055799A">
              <w:rPr>
                <w:b/>
                <w:sz w:val="22"/>
                <w:szCs w:val="22"/>
              </w:rPr>
              <w:t>IEFB</w:t>
            </w:r>
          </w:p>
        </w:tc>
        <w:tc>
          <w:tcPr>
            <w:tcW w:w="429" w:type="pct"/>
            <w:tcBorders>
              <w:top w:val="single" w:sz="4" w:space="0" w:color="auto"/>
              <w:left w:val="nil"/>
              <w:bottom w:val="single" w:sz="4" w:space="0" w:color="auto"/>
              <w:right w:val="nil"/>
            </w:tcBorders>
            <w:shd w:val="clear" w:color="auto" w:fill="DBE5F1" w:themeFill="accent1" w:themeFillTint="33"/>
            <w:noWrap/>
            <w:vAlign w:val="bottom"/>
            <w:hideMark/>
          </w:tcPr>
          <w:p w:rsidR="00F9552F" w:rsidRPr="0055799A" w:rsidRDefault="00F9552F" w:rsidP="0055799A">
            <w:pPr>
              <w:pStyle w:val="NoSpacing"/>
              <w:jc w:val="center"/>
              <w:rPr>
                <w:b/>
                <w:sz w:val="22"/>
                <w:szCs w:val="22"/>
                <w:lang w:val="en-US"/>
              </w:rPr>
            </w:pPr>
            <w:r w:rsidRPr="0055799A">
              <w:rPr>
                <w:b/>
                <w:sz w:val="22"/>
                <w:szCs w:val="22"/>
              </w:rPr>
              <w:t>VBBB</w:t>
            </w:r>
          </w:p>
        </w:tc>
        <w:tc>
          <w:tcPr>
            <w:tcW w:w="441" w:type="pct"/>
            <w:tcBorders>
              <w:top w:val="single" w:sz="4" w:space="0" w:color="auto"/>
              <w:left w:val="nil"/>
              <w:bottom w:val="single" w:sz="4" w:space="0" w:color="auto"/>
              <w:right w:val="nil"/>
            </w:tcBorders>
            <w:shd w:val="clear" w:color="auto" w:fill="DBE5F1" w:themeFill="accent1" w:themeFillTint="33"/>
            <w:noWrap/>
            <w:vAlign w:val="bottom"/>
            <w:hideMark/>
          </w:tcPr>
          <w:p w:rsidR="00F9552F" w:rsidRPr="0055799A" w:rsidRDefault="00F9552F" w:rsidP="0055799A">
            <w:pPr>
              <w:pStyle w:val="NoSpacing"/>
              <w:jc w:val="center"/>
              <w:rPr>
                <w:b/>
                <w:sz w:val="22"/>
                <w:szCs w:val="22"/>
                <w:lang w:val="en-US"/>
              </w:rPr>
            </w:pPr>
            <w:r w:rsidRPr="0055799A">
              <w:rPr>
                <w:b/>
                <w:sz w:val="22"/>
                <w:szCs w:val="22"/>
              </w:rPr>
              <w:t>NOVB</w:t>
            </w:r>
          </w:p>
        </w:tc>
        <w:tc>
          <w:tcPr>
            <w:tcW w:w="423" w:type="pct"/>
            <w:tcBorders>
              <w:top w:val="single" w:sz="4" w:space="0" w:color="auto"/>
              <w:left w:val="nil"/>
              <w:bottom w:val="single" w:sz="4" w:space="0" w:color="auto"/>
              <w:right w:val="nil"/>
            </w:tcBorders>
            <w:shd w:val="clear" w:color="auto" w:fill="DBE5F1" w:themeFill="accent1" w:themeFillTint="33"/>
            <w:noWrap/>
            <w:vAlign w:val="bottom"/>
            <w:hideMark/>
          </w:tcPr>
          <w:p w:rsidR="00F9552F" w:rsidRPr="0055799A" w:rsidRDefault="00F9552F" w:rsidP="0055799A">
            <w:pPr>
              <w:pStyle w:val="NoSpacing"/>
              <w:jc w:val="center"/>
              <w:rPr>
                <w:b/>
                <w:sz w:val="22"/>
                <w:szCs w:val="22"/>
                <w:lang w:val="en-US"/>
              </w:rPr>
            </w:pPr>
            <w:r w:rsidRPr="0055799A">
              <w:rPr>
                <w:b/>
                <w:sz w:val="22"/>
                <w:szCs w:val="22"/>
              </w:rPr>
              <w:t>NBLB</w:t>
            </w:r>
          </w:p>
        </w:tc>
        <w:tc>
          <w:tcPr>
            <w:tcW w:w="410" w:type="pct"/>
            <w:tcBorders>
              <w:top w:val="single" w:sz="4" w:space="0" w:color="auto"/>
              <w:left w:val="nil"/>
              <w:bottom w:val="single" w:sz="4" w:space="0" w:color="auto"/>
              <w:right w:val="nil"/>
            </w:tcBorders>
            <w:shd w:val="clear" w:color="auto" w:fill="DBE5F1" w:themeFill="accent1" w:themeFillTint="33"/>
            <w:noWrap/>
            <w:vAlign w:val="bottom"/>
            <w:hideMark/>
          </w:tcPr>
          <w:p w:rsidR="00F9552F" w:rsidRPr="0055799A" w:rsidRDefault="00F9552F" w:rsidP="0055799A">
            <w:pPr>
              <w:pStyle w:val="NoSpacing"/>
              <w:jc w:val="center"/>
              <w:rPr>
                <w:b/>
                <w:sz w:val="22"/>
                <w:szCs w:val="22"/>
                <w:lang w:val="en-US"/>
              </w:rPr>
            </w:pPr>
            <w:r w:rsidRPr="0055799A">
              <w:rPr>
                <w:b/>
                <w:sz w:val="22"/>
                <w:szCs w:val="22"/>
              </w:rPr>
              <w:t>ZPKB</w:t>
            </w:r>
          </w:p>
        </w:tc>
        <w:tc>
          <w:tcPr>
            <w:tcW w:w="442" w:type="pct"/>
            <w:tcBorders>
              <w:top w:val="single" w:sz="4" w:space="0" w:color="auto"/>
              <w:left w:val="nil"/>
              <w:bottom w:val="single" w:sz="4" w:space="0" w:color="auto"/>
              <w:right w:val="nil"/>
            </w:tcBorders>
            <w:shd w:val="clear" w:color="auto" w:fill="DBE5F1" w:themeFill="accent1" w:themeFillTint="33"/>
            <w:noWrap/>
            <w:vAlign w:val="bottom"/>
            <w:hideMark/>
          </w:tcPr>
          <w:p w:rsidR="00F9552F" w:rsidRPr="0055799A" w:rsidRDefault="00F9552F" w:rsidP="0055799A">
            <w:pPr>
              <w:pStyle w:val="NoSpacing"/>
              <w:jc w:val="center"/>
              <w:rPr>
                <w:b/>
                <w:sz w:val="22"/>
                <w:szCs w:val="22"/>
                <w:lang w:val="en-US"/>
              </w:rPr>
            </w:pPr>
            <w:r w:rsidRPr="0055799A">
              <w:rPr>
                <w:b/>
                <w:sz w:val="22"/>
                <w:szCs w:val="22"/>
              </w:rPr>
              <w:t>KMCB</w:t>
            </w:r>
          </w:p>
        </w:tc>
        <w:tc>
          <w:tcPr>
            <w:tcW w:w="423" w:type="pct"/>
            <w:tcBorders>
              <w:top w:val="single" w:sz="4" w:space="0" w:color="auto"/>
              <w:left w:val="nil"/>
              <w:bottom w:val="single" w:sz="4" w:space="0" w:color="auto"/>
              <w:right w:val="nil"/>
            </w:tcBorders>
            <w:shd w:val="clear" w:color="auto" w:fill="DBE5F1" w:themeFill="accent1" w:themeFillTint="33"/>
            <w:noWrap/>
            <w:vAlign w:val="bottom"/>
            <w:hideMark/>
          </w:tcPr>
          <w:p w:rsidR="00F9552F" w:rsidRPr="0055799A" w:rsidRDefault="00F9552F" w:rsidP="0055799A">
            <w:pPr>
              <w:pStyle w:val="NoSpacing"/>
              <w:jc w:val="center"/>
              <w:rPr>
                <w:b/>
                <w:sz w:val="22"/>
                <w:szCs w:val="22"/>
                <w:lang w:val="en-US"/>
              </w:rPr>
            </w:pPr>
            <w:r w:rsidRPr="0055799A">
              <w:rPr>
                <w:b/>
                <w:sz w:val="22"/>
                <w:szCs w:val="22"/>
              </w:rPr>
              <w:t>KRLB</w:t>
            </w:r>
          </w:p>
        </w:tc>
        <w:tc>
          <w:tcPr>
            <w:tcW w:w="423" w:type="pct"/>
            <w:tcBorders>
              <w:top w:val="single" w:sz="4" w:space="0" w:color="auto"/>
              <w:left w:val="nil"/>
              <w:bottom w:val="single" w:sz="4" w:space="0" w:color="auto"/>
              <w:right w:val="nil"/>
            </w:tcBorders>
            <w:shd w:val="clear" w:color="auto" w:fill="DBE5F1" w:themeFill="accent1" w:themeFillTint="33"/>
            <w:noWrap/>
            <w:vAlign w:val="bottom"/>
            <w:hideMark/>
          </w:tcPr>
          <w:p w:rsidR="00F9552F" w:rsidRPr="0055799A" w:rsidRDefault="00F9552F" w:rsidP="0055799A">
            <w:pPr>
              <w:pStyle w:val="NoSpacing"/>
              <w:jc w:val="center"/>
              <w:rPr>
                <w:b/>
                <w:sz w:val="22"/>
                <w:szCs w:val="22"/>
                <w:lang w:val="en-US"/>
              </w:rPr>
            </w:pPr>
            <w:r w:rsidRPr="0055799A">
              <w:rPr>
                <w:b/>
                <w:sz w:val="22"/>
                <w:szCs w:val="22"/>
              </w:rPr>
              <w:t>BLKB</w:t>
            </w:r>
          </w:p>
        </w:tc>
        <w:tc>
          <w:tcPr>
            <w:tcW w:w="399" w:type="pct"/>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F9552F" w:rsidRPr="0055799A" w:rsidRDefault="00F9552F" w:rsidP="0055799A">
            <w:pPr>
              <w:pStyle w:val="NoSpacing"/>
              <w:jc w:val="center"/>
              <w:rPr>
                <w:b/>
                <w:sz w:val="22"/>
                <w:szCs w:val="22"/>
                <w:lang w:val="en-US"/>
              </w:rPr>
            </w:pPr>
            <w:r w:rsidRPr="0055799A">
              <w:rPr>
                <w:b/>
                <w:sz w:val="22"/>
                <w:szCs w:val="22"/>
              </w:rPr>
              <w:t>PIBB</w:t>
            </w:r>
          </w:p>
        </w:tc>
      </w:tr>
      <w:tr w:rsidR="00F9552F" w:rsidRPr="0055799A" w:rsidTr="0055799A">
        <w:trPr>
          <w:trHeight w:val="264"/>
        </w:trPr>
        <w:tc>
          <w:tcPr>
            <w:tcW w:w="1214" w:type="pct"/>
            <w:tcBorders>
              <w:top w:val="single" w:sz="4" w:space="0" w:color="auto"/>
              <w:left w:val="single" w:sz="4" w:space="0" w:color="auto"/>
              <w:bottom w:val="single" w:sz="4" w:space="0" w:color="auto"/>
              <w:right w:val="single" w:sz="4" w:space="0" w:color="auto"/>
            </w:tcBorders>
            <w:noWrap/>
            <w:vAlign w:val="bottom"/>
            <w:hideMark/>
          </w:tcPr>
          <w:p w:rsidR="00F9552F" w:rsidRPr="0055799A" w:rsidRDefault="00F9552F" w:rsidP="0055799A">
            <w:pPr>
              <w:pStyle w:val="NoSpacing"/>
              <w:rPr>
                <w:sz w:val="22"/>
                <w:szCs w:val="22"/>
                <w:lang w:val="en-US"/>
              </w:rPr>
            </w:pPr>
            <w:r w:rsidRPr="0055799A">
              <w:rPr>
                <w:sz w:val="22"/>
                <w:szCs w:val="22"/>
              </w:rPr>
              <w:t xml:space="preserve">Vjerovatnoća neuspjeha </w:t>
            </w:r>
          </w:p>
        </w:tc>
        <w:tc>
          <w:tcPr>
            <w:tcW w:w="396" w:type="pct"/>
            <w:tcBorders>
              <w:top w:val="single" w:sz="4" w:space="0" w:color="auto"/>
              <w:left w:val="single" w:sz="4" w:space="0" w:color="auto"/>
              <w:bottom w:val="single" w:sz="4" w:space="0" w:color="auto"/>
              <w:right w:val="nil"/>
            </w:tcBorders>
            <w:noWrap/>
            <w:vAlign w:val="bottom"/>
            <w:hideMark/>
          </w:tcPr>
          <w:p w:rsidR="00F9552F" w:rsidRPr="0055799A" w:rsidRDefault="00F9552F" w:rsidP="0055799A">
            <w:pPr>
              <w:pStyle w:val="NoSpacing"/>
              <w:rPr>
                <w:sz w:val="22"/>
                <w:szCs w:val="22"/>
                <w:lang w:val="en-US"/>
              </w:rPr>
            </w:pPr>
            <w:r w:rsidRPr="0055799A">
              <w:rPr>
                <w:sz w:val="22"/>
                <w:szCs w:val="22"/>
              </w:rPr>
              <w:t>-0.193</w:t>
            </w:r>
          </w:p>
        </w:tc>
        <w:tc>
          <w:tcPr>
            <w:tcW w:w="429" w:type="pct"/>
            <w:tcBorders>
              <w:top w:val="single" w:sz="4" w:space="0" w:color="auto"/>
              <w:left w:val="nil"/>
              <w:bottom w:val="single" w:sz="4" w:space="0" w:color="auto"/>
              <w:right w:val="nil"/>
            </w:tcBorders>
            <w:noWrap/>
            <w:vAlign w:val="bottom"/>
            <w:hideMark/>
          </w:tcPr>
          <w:p w:rsidR="00F9552F" w:rsidRPr="0055799A" w:rsidRDefault="00F9552F" w:rsidP="0055799A">
            <w:pPr>
              <w:pStyle w:val="NoSpacing"/>
              <w:rPr>
                <w:sz w:val="22"/>
                <w:szCs w:val="22"/>
                <w:lang w:val="en-US"/>
              </w:rPr>
            </w:pPr>
            <w:r w:rsidRPr="0055799A">
              <w:rPr>
                <w:sz w:val="22"/>
                <w:szCs w:val="22"/>
              </w:rPr>
              <w:t>-0.187</w:t>
            </w:r>
          </w:p>
        </w:tc>
        <w:tc>
          <w:tcPr>
            <w:tcW w:w="441" w:type="pct"/>
            <w:tcBorders>
              <w:top w:val="single" w:sz="4" w:space="0" w:color="auto"/>
              <w:left w:val="nil"/>
              <w:bottom w:val="single" w:sz="4" w:space="0" w:color="auto"/>
              <w:right w:val="nil"/>
            </w:tcBorders>
            <w:noWrap/>
            <w:vAlign w:val="bottom"/>
            <w:hideMark/>
          </w:tcPr>
          <w:p w:rsidR="00F9552F" w:rsidRPr="0055799A" w:rsidRDefault="00F9552F" w:rsidP="0055799A">
            <w:pPr>
              <w:pStyle w:val="NoSpacing"/>
              <w:rPr>
                <w:sz w:val="22"/>
                <w:szCs w:val="22"/>
                <w:lang w:val="en-US"/>
              </w:rPr>
            </w:pPr>
            <w:r w:rsidRPr="0055799A">
              <w:rPr>
                <w:sz w:val="22"/>
                <w:szCs w:val="22"/>
              </w:rPr>
              <w:t>-0.104</w:t>
            </w:r>
          </w:p>
        </w:tc>
        <w:tc>
          <w:tcPr>
            <w:tcW w:w="423" w:type="pct"/>
            <w:tcBorders>
              <w:top w:val="single" w:sz="4" w:space="0" w:color="auto"/>
              <w:left w:val="nil"/>
              <w:bottom w:val="single" w:sz="4" w:space="0" w:color="auto"/>
              <w:right w:val="nil"/>
            </w:tcBorders>
            <w:noWrap/>
            <w:vAlign w:val="bottom"/>
            <w:hideMark/>
          </w:tcPr>
          <w:p w:rsidR="00F9552F" w:rsidRPr="0055799A" w:rsidRDefault="00F9552F" w:rsidP="0055799A">
            <w:pPr>
              <w:pStyle w:val="NoSpacing"/>
              <w:rPr>
                <w:sz w:val="22"/>
                <w:szCs w:val="22"/>
                <w:lang w:val="en-US"/>
              </w:rPr>
            </w:pPr>
            <w:r w:rsidRPr="0055799A">
              <w:rPr>
                <w:sz w:val="22"/>
                <w:szCs w:val="22"/>
              </w:rPr>
              <w:t>-0.093</w:t>
            </w:r>
          </w:p>
        </w:tc>
        <w:tc>
          <w:tcPr>
            <w:tcW w:w="410" w:type="pct"/>
            <w:tcBorders>
              <w:top w:val="single" w:sz="4" w:space="0" w:color="auto"/>
              <w:left w:val="nil"/>
              <w:bottom w:val="single" w:sz="4" w:space="0" w:color="auto"/>
              <w:right w:val="nil"/>
            </w:tcBorders>
            <w:noWrap/>
            <w:vAlign w:val="bottom"/>
            <w:hideMark/>
          </w:tcPr>
          <w:p w:rsidR="00F9552F" w:rsidRPr="0055799A" w:rsidRDefault="00F9552F" w:rsidP="0055799A">
            <w:pPr>
              <w:pStyle w:val="NoSpacing"/>
              <w:rPr>
                <w:sz w:val="22"/>
                <w:szCs w:val="22"/>
                <w:lang w:val="en-US"/>
              </w:rPr>
            </w:pPr>
            <w:r w:rsidRPr="0055799A">
              <w:rPr>
                <w:sz w:val="22"/>
                <w:szCs w:val="22"/>
              </w:rPr>
              <w:t>-0.043</w:t>
            </w:r>
          </w:p>
        </w:tc>
        <w:tc>
          <w:tcPr>
            <w:tcW w:w="442" w:type="pct"/>
            <w:tcBorders>
              <w:top w:val="single" w:sz="4" w:space="0" w:color="auto"/>
              <w:left w:val="nil"/>
              <w:bottom w:val="single" w:sz="4" w:space="0" w:color="auto"/>
              <w:right w:val="nil"/>
            </w:tcBorders>
            <w:noWrap/>
            <w:vAlign w:val="bottom"/>
            <w:hideMark/>
          </w:tcPr>
          <w:p w:rsidR="00F9552F" w:rsidRPr="0055799A" w:rsidRDefault="00F9552F" w:rsidP="0055799A">
            <w:pPr>
              <w:pStyle w:val="NoSpacing"/>
              <w:rPr>
                <w:sz w:val="22"/>
                <w:szCs w:val="22"/>
                <w:lang w:val="en-US"/>
              </w:rPr>
            </w:pPr>
            <w:r w:rsidRPr="0055799A">
              <w:rPr>
                <w:sz w:val="22"/>
                <w:szCs w:val="22"/>
              </w:rPr>
              <w:t>0.197</w:t>
            </w:r>
          </w:p>
        </w:tc>
        <w:tc>
          <w:tcPr>
            <w:tcW w:w="423" w:type="pct"/>
            <w:tcBorders>
              <w:top w:val="single" w:sz="4" w:space="0" w:color="auto"/>
              <w:left w:val="nil"/>
              <w:bottom w:val="single" w:sz="4" w:space="0" w:color="auto"/>
              <w:right w:val="nil"/>
            </w:tcBorders>
            <w:noWrap/>
            <w:vAlign w:val="bottom"/>
            <w:hideMark/>
          </w:tcPr>
          <w:p w:rsidR="00F9552F" w:rsidRPr="0055799A" w:rsidRDefault="00F9552F" w:rsidP="0055799A">
            <w:pPr>
              <w:pStyle w:val="NoSpacing"/>
              <w:rPr>
                <w:sz w:val="22"/>
                <w:szCs w:val="22"/>
                <w:lang w:val="en-US"/>
              </w:rPr>
            </w:pPr>
            <w:r w:rsidRPr="0055799A">
              <w:rPr>
                <w:sz w:val="22"/>
                <w:szCs w:val="22"/>
              </w:rPr>
              <w:t>0.628</w:t>
            </w:r>
          </w:p>
        </w:tc>
        <w:tc>
          <w:tcPr>
            <w:tcW w:w="423" w:type="pct"/>
            <w:tcBorders>
              <w:top w:val="single" w:sz="4" w:space="0" w:color="auto"/>
              <w:left w:val="nil"/>
              <w:bottom w:val="single" w:sz="4" w:space="0" w:color="auto"/>
              <w:right w:val="nil"/>
            </w:tcBorders>
            <w:noWrap/>
            <w:vAlign w:val="bottom"/>
            <w:hideMark/>
          </w:tcPr>
          <w:p w:rsidR="00F9552F" w:rsidRPr="0055799A" w:rsidRDefault="00F9552F" w:rsidP="0055799A">
            <w:pPr>
              <w:pStyle w:val="NoSpacing"/>
              <w:rPr>
                <w:sz w:val="22"/>
                <w:szCs w:val="22"/>
                <w:lang w:val="en-US"/>
              </w:rPr>
            </w:pPr>
            <w:r w:rsidRPr="0055799A">
              <w:rPr>
                <w:sz w:val="22"/>
                <w:szCs w:val="22"/>
              </w:rPr>
              <w:t>0.739</w:t>
            </w:r>
          </w:p>
        </w:tc>
        <w:tc>
          <w:tcPr>
            <w:tcW w:w="399" w:type="pct"/>
            <w:tcBorders>
              <w:top w:val="single" w:sz="4" w:space="0" w:color="auto"/>
              <w:left w:val="nil"/>
              <w:bottom w:val="single" w:sz="4" w:space="0" w:color="auto"/>
              <w:right w:val="single" w:sz="4" w:space="0" w:color="auto"/>
            </w:tcBorders>
            <w:noWrap/>
            <w:vAlign w:val="bottom"/>
            <w:hideMark/>
          </w:tcPr>
          <w:p w:rsidR="00F9552F" w:rsidRPr="0055799A" w:rsidRDefault="00F9552F" w:rsidP="0055799A">
            <w:pPr>
              <w:pStyle w:val="NoSpacing"/>
              <w:rPr>
                <w:sz w:val="22"/>
                <w:szCs w:val="22"/>
                <w:lang w:val="en-US"/>
              </w:rPr>
            </w:pPr>
            <w:r w:rsidRPr="0055799A">
              <w:rPr>
                <w:sz w:val="22"/>
                <w:szCs w:val="22"/>
              </w:rPr>
              <w:t>0.866</w:t>
            </w:r>
          </w:p>
        </w:tc>
      </w:tr>
    </w:tbl>
    <w:p w:rsidR="00F9552F" w:rsidRPr="0055799A" w:rsidRDefault="00F9552F" w:rsidP="0055799A">
      <w:pPr>
        <w:pStyle w:val="NoSpacing"/>
        <w:rPr>
          <w:sz w:val="20"/>
          <w:szCs w:val="20"/>
        </w:rPr>
      </w:pPr>
      <w:r w:rsidRPr="0055799A">
        <w:rPr>
          <w:sz w:val="20"/>
          <w:szCs w:val="20"/>
        </w:rPr>
        <w:t xml:space="preserve">Izvor: Ibid. </w:t>
      </w:r>
    </w:p>
    <w:p w:rsidR="00F9552F" w:rsidRPr="0055799A" w:rsidRDefault="00F9552F" w:rsidP="0055799A">
      <w:pPr>
        <w:pStyle w:val="NoSpacing"/>
        <w:rPr>
          <w:sz w:val="22"/>
          <w:szCs w:val="22"/>
        </w:rPr>
      </w:pPr>
    </w:p>
    <w:p w:rsidR="00F9552F" w:rsidRPr="0055799A" w:rsidRDefault="00F9552F" w:rsidP="0055799A">
      <w:pPr>
        <w:pStyle w:val="NoSpacing"/>
        <w:rPr>
          <w:sz w:val="22"/>
          <w:szCs w:val="22"/>
        </w:rPr>
      </w:pPr>
      <w:r w:rsidRPr="0096748B">
        <w:rPr>
          <w:b/>
          <w:sz w:val="22"/>
          <w:szCs w:val="22"/>
        </w:rPr>
        <w:t>Grafikon 2</w:t>
      </w:r>
      <w:r w:rsidRPr="0055799A">
        <w:rPr>
          <w:sz w:val="22"/>
          <w:szCs w:val="22"/>
        </w:rPr>
        <w:t>. Prognoza neuspjeha*</w:t>
      </w:r>
    </w:p>
    <w:p w:rsidR="00F9552F" w:rsidRDefault="00F9552F" w:rsidP="00F9552F">
      <w:pPr>
        <w:autoSpaceDE w:val="0"/>
        <w:autoSpaceDN w:val="0"/>
        <w:adjustRightInd w:val="0"/>
      </w:pPr>
      <w:r>
        <w:rPr>
          <w:noProof/>
          <w:lang w:val="bs-Latn-BA" w:eastAsia="bs-Latn-BA"/>
        </w:rPr>
        <w:drawing>
          <wp:inline distT="0" distB="0" distL="0" distR="0">
            <wp:extent cx="3665220" cy="2706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5220" cy="2706370"/>
                    </a:xfrm>
                    <a:prstGeom prst="rect">
                      <a:avLst/>
                    </a:prstGeom>
                    <a:noFill/>
                    <a:ln>
                      <a:noFill/>
                    </a:ln>
                  </pic:spPr>
                </pic:pic>
              </a:graphicData>
            </a:graphic>
          </wp:inline>
        </w:drawing>
      </w:r>
    </w:p>
    <w:p w:rsidR="00F9552F" w:rsidRPr="0055799A" w:rsidRDefault="00F9552F" w:rsidP="0055799A">
      <w:pPr>
        <w:pStyle w:val="NoSpacing"/>
        <w:rPr>
          <w:sz w:val="20"/>
          <w:szCs w:val="20"/>
        </w:rPr>
      </w:pPr>
      <w:r w:rsidRPr="0055799A">
        <w:rPr>
          <w:sz w:val="20"/>
          <w:szCs w:val="20"/>
        </w:rPr>
        <w:t xml:space="preserve">Izvor: Autor. * Napomena: Vjerovatnoća neuspjeha je poredana po veličini za prognozu iz 2015. godine. </w:t>
      </w:r>
    </w:p>
    <w:p w:rsidR="00F9552F" w:rsidRDefault="00F9552F" w:rsidP="00F9552F">
      <w:pPr>
        <w:autoSpaceDE w:val="0"/>
        <w:autoSpaceDN w:val="0"/>
        <w:adjustRightInd w:val="0"/>
        <w:rPr>
          <w:sz w:val="20"/>
          <w:szCs w:val="20"/>
        </w:rPr>
      </w:pPr>
    </w:p>
    <w:p w:rsidR="00F9552F" w:rsidRPr="0055799A" w:rsidRDefault="00F9552F" w:rsidP="0055799A">
      <w:pPr>
        <w:pStyle w:val="NoSpacing"/>
        <w:rPr>
          <w:sz w:val="22"/>
          <w:szCs w:val="22"/>
        </w:rPr>
      </w:pPr>
      <w:r w:rsidRPr="0096748B">
        <w:rPr>
          <w:b/>
          <w:sz w:val="22"/>
          <w:szCs w:val="22"/>
        </w:rPr>
        <w:t>Tabela 9</w:t>
      </w:r>
      <w:r w:rsidRPr="0055799A">
        <w:rPr>
          <w:sz w:val="22"/>
          <w:szCs w:val="22"/>
        </w:rPr>
        <w:t>. Prognoza vjerovatnoće neuspjeha u 2015. godini</w:t>
      </w:r>
    </w:p>
    <w:tbl>
      <w:tblPr>
        <w:tblW w:w="5115" w:type="pct"/>
        <w:tblBorders>
          <w:top w:val="single" w:sz="4" w:space="0" w:color="auto"/>
          <w:bottom w:val="single" w:sz="4" w:space="0" w:color="auto"/>
          <w:insideH w:val="single" w:sz="4" w:space="0" w:color="auto"/>
        </w:tblBorders>
        <w:tblLook w:val="04A0"/>
      </w:tblPr>
      <w:tblGrid>
        <w:gridCol w:w="2173"/>
        <w:gridCol w:w="711"/>
        <w:gridCol w:w="761"/>
        <w:gridCol w:w="794"/>
        <w:gridCol w:w="761"/>
        <w:gridCol w:w="761"/>
        <w:gridCol w:w="839"/>
        <w:gridCol w:w="783"/>
        <w:gridCol w:w="772"/>
        <w:gridCol w:w="711"/>
      </w:tblGrid>
      <w:tr w:rsidR="00F9552F" w:rsidRPr="0055799A" w:rsidTr="00A346C6">
        <w:trPr>
          <w:trHeight w:val="528"/>
        </w:trPr>
        <w:tc>
          <w:tcPr>
            <w:tcW w:w="124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9552F" w:rsidRPr="0055799A" w:rsidRDefault="00F9552F" w:rsidP="0055799A">
            <w:pPr>
              <w:pStyle w:val="NoSpacing"/>
              <w:rPr>
                <w:b/>
                <w:sz w:val="22"/>
                <w:szCs w:val="22"/>
                <w:lang w:val="en-US"/>
              </w:rPr>
            </w:pPr>
          </w:p>
        </w:tc>
        <w:tc>
          <w:tcPr>
            <w:tcW w:w="374" w:type="pct"/>
            <w:tcBorders>
              <w:top w:val="single" w:sz="4" w:space="0" w:color="auto"/>
              <w:left w:val="single" w:sz="4" w:space="0" w:color="auto"/>
              <w:bottom w:val="single" w:sz="4" w:space="0" w:color="auto"/>
              <w:right w:val="nil"/>
            </w:tcBorders>
            <w:shd w:val="clear" w:color="auto" w:fill="DAEEF3" w:themeFill="accent5" w:themeFillTint="33"/>
            <w:vAlign w:val="center"/>
            <w:hideMark/>
          </w:tcPr>
          <w:p w:rsidR="00F9552F" w:rsidRPr="0055799A" w:rsidRDefault="00F9552F" w:rsidP="0055799A">
            <w:pPr>
              <w:pStyle w:val="NoSpacing"/>
              <w:rPr>
                <w:b/>
                <w:sz w:val="20"/>
                <w:szCs w:val="20"/>
                <w:lang w:val="en-US"/>
              </w:rPr>
            </w:pPr>
            <w:r w:rsidRPr="0055799A">
              <w:rPr>
                <w:b/>
                <w:sz w:val="20"/>
                <w:szCs w:val="20"/>
              </w:rPr>
              <w:t>IEFB</w:t>
            </w:r>
          </w:p>
        </w:tc>
        <w:tc>
          <w:tcPr>
            <w:tcW w:w="452" w:type="pct"/>
            <w:tcBorders>
              <w:top w:val="single" w:sz="4" w:space="0" w:color="auto"/>
              <w:left w:val="nil"/>
              <w:bottom w:val="single" w:sz="4" w:space="0" w:color="auto"/>
              <w:right w:val="nil"/>
            </w:tcBorders>
            <w:shd w:val="clear" w:color="auto" w:fill="DAEEF3" w:themeFill="accent5" w:themeFillTint="33"/>
            <w:vAlign w:val="center"/>
            <w:hideMark/>
          </w:tcPr>
          <w:p w:rsidR="00F9552F" w:rsidRPr="0055799A" w:rsidRDefault="00F9552F" w:rsidP="0055799A">
            <w:pPr>
              <w:pStyle w:val="NoSpacing"/>
              <w:rPr>
                <w:b/>
                <w:sz w:val="20"/>
                <w:szCs w:val="20"/>
                <w:lang w:val="en-US"/>
              </w:rPr>
            </w:pPr>
            <w:r w:rsidRPr="0055799A">
              <w:rPr>
                <w:b/>
                <w:sz w:val="20"/>
                <w:szCs w:val="20"/>
              </w:rPr>
              <w:t>VBBB</w:t>
            </w:r>
          </w:p>
        </w:tc>
        <w:tc>
          <w:tcPr>
            <w:tcW w:w="458" w:type="pct"/>
            <w:tcBorders>
              <w:top w:val="single" w:sz="4" w:space="0" w:color="auto"/>
              <w:left w:val="nil"/>
              <w:bottom w:val="single" w:sz="4" w:space="0" w:color="auto"/>
              <w:right w:val="nil"/>
            </w:tcBorders>
            <w:shd w:val="clear" w:color="auto" w:fill="DAEEF3" w:themeFill="accent5" w:themeFillTint="33"/>
            <w:vAlign w:val="center"/>
            <w:hideMark/>
          </w:tcPr>
          <w:p w:rsidR="00F9552F" w:rsidRPr="0055799A" w:rsidRDefault="00F9552F" w:rsidP="0055799A">
            <w:pPr>
              <w:pStyle w:val="NoSpacing"/>
              <w:rPr>
                <w:b/>
                <w:sz w:val="20"/>
                <w:szCs w:val="20"/>
                <w:lang w:val="en-US"/>
              </w:rPr>
            </w:pPr>
            <w:r w:rsidRPr="0055799A">
              <w:rPr>
                <w:b/>
                <w:sz w:val="20"/>
                <w:szCs w:val="20"/>
              </w:rPr>
              <w:t>NOVB</w:t>
            </w:r>
          </w:p>
        </w:tc>
        <w:tc>
          <w:tcPr>
            <w:tcW w:w="408" w:type="pct"/>
            <w:tcBorders>
              <w:top w:val="single" w:sz="4" w:space="0" w:color="auto"/>
              <w:left w:val="nil"/>
              <w:bottom w:val="single" w:sz="4" w:space="0" w:color="auto"/>
              <w:right w:val="nil"/>
            </w:tcBorders>
            <w:shd w:val="clear" w:color="auto" w:fill="DAEEF3" w:themeFill="accent5" w:themeFillTint="33"/>
            <w:vAlign w:val="center"/>
            <w:hideMark/>
          </w:tcPr>
          <w:p w:rsidR="00F9552F" w:rsidRPr="0055799A" w:rsidRDefault="00F9552F" w:rsidP="0055799A">
            <w:pPr>
              <w:pStyle w:val="NoSpacing"/>
              <w:rPr>
                <w:b/>
                <w:sz w:val="20"/>
                <w:szCs w:val="20"/>
                <w:lang w:val="en-US"/>
              </w:rPr>
            </w:pPr>
            <w:r w:rsidRPr="0055799A">
              <w:rPr>
                <w:b/>
                <w:sz w:val="20"/>
                <w:szCs w:val="20"/>
              </w:rPr>
              <w:t>NBLB</w:t>
            </w:r>
          </w:p>
        </w:tc>
        <w:tc>
          <w:tcPr>
            <w:tcW w:w="414" w:type="pct"/>
            <w:tcBorders>
              <w:top w:val="single" w:sz="4" w:space="0" w:color="auto"/>
              <w:left w:val="nil"/>
              <w:bottom w:val="single" w:sz="4" w:space="0" w:color="auto"/>
              <w:right w:val="nil"/>
            </w:tcBorders>
            <w:shd w:val="clear" w:color="auto" w:fill="DAEEF3" w:themeFill="accent5" w:themeFillTint="33"/>
            <w:vAlign w:val="center"/>
            <w:hideMark/>
          </w:tcPr>
          <w:p w:rsidR="00F9552F" w:rsidRPr="0055799A" w:rsidRDefault="00F9552F" w:rsidP="0055799A">
            <w:pPr>
              <w:pStyle w:val="NoSpacing"/>
              <w:rPr>
                <w:b/>
                <w:sz w:val="20"/>
                <w:szCs w:val="20"/>
                <w:lang w:val="en-US"/>
              </w:rPr>
            </w:pPr>
            <w:r w:rsidRPr="0055799A">
              <w:rPr>
                <w:b/>
                <w:sz w:val="20"/>
                <w:szCs w:val="20"/>
              </w:rPr>
              <w:t>ZPKB</w:t>
            </w:r>
          </w:p>
        </w:tc>
        <w:tc>
          <w:tcPr>
            <w:tcW w:w="457" w:type="pct"/>
            <w:tcBorders>
              <w:top w:val="single" w:sz="4" w:space="0" w:color="auto"/>
              <w:left w:val="nil"/>
              <w:bottom w:val="single" w:sz="4" w:space="0" w:color="auto"/>
              <w:right w:val="nil"/>
            </w:tcBorders>
            <w:shd w:val="clear" w:color="auto" w:fill="DAEEF3" w:themeFill="accent5" w:themeFillTint="33"/>
            <w:vAlign w:val="center"/>
            <w:hideMark/>
          </w:tcPr>
          <w:p w:rsidR="00F9552F" w:rsidRPr="0055799A" w:rsidRDefault="00F9552F" w:rsidP="0055799A">
            <w:pPr>
              <w:pStyle w:val="NoSpacing"/>
              <w:rPr>
                <w:b/>
                <w:sz w:val="20"/>
                <w:szCs w:val="20"/>
                <w:lang w:val="en-US"/>
              </w:rPr>
            </w:pPr>
            <w:r w:rsidRPr="0055799A">
              <w:rPr>
                <w:b/>
                <w:sz w:val="20"/>
                <w:szCs w:val="20"/>
              </w:rPr>
              <w:t>KMCB</w:t>
            </w:r>
          </w:p>
        </w:tc>
        <w:tc>
          <w:tcPr>
            <w:tcW w:w="408" w:type="pct"/>
            <w:tcBorders>
              <w:top w:val="single" w:sz="4" w:space="0" w:color="auto"/>
              <w:left w:val="nil"/>
              <w:bottom w:val="single" w:sz="4" w:space="0" w:color="auto"/>
              <w:right w:val="nil"/>
            </w:tcBorders>
            <w:shd w:val="clear" w:color="auto" w:fill="DAEEF3" w:themeFill="accent5" w:themeFillTint="33"/>
            <w:vAlign w:val="center"/>
            <w:hideMark/>
          </w:tcPr>
          <w:p w:rsidR="00F9552F" w:rsidRPr="0055799A" w:rsidRDefault="00F9552F" w:rsidP="0055799A">
            <w:pPr>
              <w:pStyle w:val="NoSpacing"/>
              <w:rPr>
                <w:b/>
                <w:sz w:val="20"/>
                <w:szCs w:val="20"/>
                <w:lang w:val="en-US"/>
              </w:rPr>
            </w:pPr>
            <w:r w:rsidRPr="0055799A">
              <w:rPr>
                <w:b/>
                <w:sz w:val="20"/>
                <w:szCs w:val="20"/>
              </w:rPr>
              <w:t>KRLB</w:t>
            </w:r>
          </w:p>
        </w:tc>
        <w:tc>
          <w:tcPr>
            <w:tcW w:w="415" w:type="pct"/>
            <w:tcBorders>
              <w:top w:val="single" w:sz="4" w:space="0" w:color="auto"/>
              <w:left w:val="nil"/>
              <w:bottom w:val="single" w:sz="4" w:space="0" w:color="auto"/>
              <w:right w:val="nil"/>
            </w:tcBorders>
            <w:shd w:val="clear" w:color="auto" w:fill="DAEEF3" w:themeFill="accent5" w:themeFillTint="33"/>
            <w:vAlign w:val="center"/>
            <w:hideMark/>
          </w:tcPr>
          <w:p w:rsidR="00F9552F" w:rsidRPr="0055799A" w:rsidRDefault="00F9552F" w:rsidP="0055799A">
            <w:pPr>
              <w:pStyle w:val="NoSpacing"/>
              <w:rPr>
                <w:b/>
                <w:sz w:val="20"/>
                <w:szCs w:val="20"/>
                <w:lang w:val="en-US"/>
              </w:rPr>
            </w:pPr>
            <w:r w:rsidRPr="0055799A">
              <w:rPr>
                <w:b/>
                <w:sz w:val="20"/>
                <w:szCs w:val="20"/>
              </w:rPr>
              <w:t>BLKB</w:t>
            </w:r>
          </w:p>
        </w:tc>
        <w:tc>
          <w:tcPr>
            <w:tcW w:w="372"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F9552F" w:rsidRPr="0055799A" w:rsidRDefault="00F9552F" w:rsidP="0055799A">
            <w:pPr>
              <w:pStyle w:val="NoSpacing"/>
              <w:rPr>
                <w:b/>
                <w:sz w:val="20"/>
                <w:szCs w:val="20"/>
                <w:lang w:val="en-US"/>
              </w:rPr>
            </w:pPr>
            <w:r w:rsidRPr="0055799A">
              <w:rPr>
                <w:b/>
                <w:sz w:val="20"/>
                <w:szCs w:val="20"/>
              </w:rPr>
              <w:t>PIBB</w:t>
            </w:r>
          </w:p>
        </w:tc>
      </w:tr>
      <w:tr w:rsidR="00F9552F" w:rsidRPr="0055799A" w:rsidTr="00A346C6">
        <w:trPr>
          <w:trHeight w:val="264"/>
        </w:trPr>
        <w:tc>
          <w:tcPr>
            <w:tcW w:w="1241" w:type="pct"/>
            <w:tcBorders>
              <w:top w:val="single" w:sz="4" w:space="0" w:color="auto"/>
              <w:left w:val="single" w:sz="4" w:space="0" w:color="auto"/>
              <w:bottom w:val="single" w:sz="4" w:space="0" w:color="auto"/>
              <w:right w:val="single" w:sz="4" w:space="0" w:color="auto"/>
            </w:tcBorders>
            <w:noWrap/>
            <w:vAlign w:val="center"/>
            <w:hideMark/>
          </w:tcPr>
          <w:p w:rsidR="00F9552F" w:rsidRPr="0055799A" w:rsidRDefault="00F9552F" w:rsidP="0055799A">
            <w:pPr>
              <w:pStyle w:val="NoSpacing"/>
              <w:rPr>
                <w:sz w:val="22"/>
                <w:szCs w:val="22"/>
                <w:lang w:val="en-US"/>
              </w:rPr>
            </w:pPr>
            <w:r w:rsidRPr="0055799A">
              <w:rPr>
                <w:sz w:val="22"/>
                <w:szCs w:val="22"/>
              </w:rPr>
              <w:t>Promjena</w:t>
            </w:r>
          </w:p>
          <w:p w:rsidR="00F9552F" w:rsidRPr="0055799A" w:rsidRDefault="00F9552F" w:rsidP="0055799A">
            <w:pPr>
              <w:pStyle w:val="NoSpacing"/>
              <w:rPr>
                <w:sz w:val="22"/>
                <w:szCs w:val="22"/>
              </w:rPr>
            </w:pPr>
            <w:r w:rsidRPr="0055799A">
              <w:rPr>
                <w:sz w:val="22"/>
                <w:szCs w:val="22"/>
              </w:rPr>
              <w:t>vjerovatnoće</w:t>
            </w:r>
          </w:p>
          <w:p w:rsidR="00F9552F" w:rsidRPr="0055799A" w:rsidRDefault="00F9552F" w:rsidP="0055799A">
            <w:pPr>
              <w:pStyle w:val="NoSpacing"/>
              <w:rPr>
                <w:sz w:val="22"/>
                <w:szCs w:val="22"/>
                <w:lang w:val="en-US"/>
              </w:rPr>
            </w:pPr>
            <w:r w:rsidRPr="0055799A">
              <w:rPr>
                <w:sz w:val="22"/>
                <w:szCs w:val="22"/>
              </w:rPr>
              <w:t xml:space="preserve"> neuspjeha*</w:t>
            </w:r>
          </w:p>
        </w:tc>
        <w:tc>
          <w:tcPr>
            <w:tcW w:w="374" w:type="pct"/>
            <w:tcBorders>
              <w:top w:val="single" w:sz="4" w:space="0" w:color="auto"/>
              <w:left w:val="single" w:sz="4" w:space="0" w:color="auto"/>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w:t>
            </w:r>
          </w:p>
        </w:tc>
        <w:tc>
          <w:tcPr>
            <w:tcW w:w="452"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sr-Latn-BA"/>
              </w:rPr>
            </w:pPr>
            <w:r w:rsidRPr="0055799A">
              <w:rPr>
                <w:sz w:val="22"/>
                <w:szCs w:val="22"/>
              </w:rPr>
              <w:t>-</w:t>
            </w:r>
          </w:p>
        </w:tc>
        <w:tc>
          <w:tcPr>
            <w:tcW w:w="458"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w:t>
            </w:r>
          </w:p>
        </w:tc>
        <w:tc>
          <w:tcPr>
            <w:tcW w:w="408"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w:t>
            </w:r>
          </w:p>
        </w:tc>
        <w:tc>
          <w:tcPr>
            <w:tcW w:w="414"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w:t>
            </w:r>
          </w:p>
        </w:tc>
        <w:tc>
          <w:tcPr>
            <w:tcW w:w="457"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w:t>
            </w:r>
          </w:p>
        </w:tc>
        <w:tc>
          <w:tcPr>
            <w:tcW w:w="408"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w:t>
            </w:r>
          </w:p>
        </w:tc>
        <w:tc>
          <w:tcPr>
            <w:tcW w:w="415"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w:t>
            </w:r>
          </w:p>
        </w:tc>
        <w:tc>
          <w:tcPr>
            <w:tcW w:w="372" w:type="pct"/>
            <w:tcBorders>
              <w:top w:val="single" w:sz="4" w:space="0" w:color="auto"/>
              <w:left w:val="nil"/>
              <w:bottom w:val="single" w:sz="4" w:space="0" w:color="auto"/>
              <w:right w:val="single" w:sz="4" w:space="0" w:color="auto"/>
            </w:tcBorders>
            <w:noWrap/>
            <w:vAlign w:val="center"/>
            <w:hideMark/>
          </w:tcPr>
          <w:p w:rsidR="00F9552F" w:rsidRPr="0055799A" w:rsidRDefault="00F9552F" w:rsidP="0055799A">
            <w:pPr>
              <w:pStyle w:val="NoSpacing"/>
              <w:rPr>
                <w:sz w:val="22"/>
                <w:szCs w:val="22"/>
                <w:lang w:val="en-US"/>
              </w:rPr>
            </w:pPr>
            <w:r w:rsidRPr="0055799A">
              <w:rPr>
                <w:sz w:val="22"/>
                <w:szCs w:val="22"/>
              </w:rPr>
              <w:t>-</w:t>
            </w:r>
          </w:p>
        </w:tc>
      </w:tr>
      <w:tr w:rsidR="00F9552F" w:rsidRPr="0055799A" w:rsidTr="00A346C6">
        <w:trPr>
          <w:trHeight w:val="264"/>
        </w:trPr>
        <w:tc>
          <w:tcPr>
            <w:tcW w:w="1241" w:type="pct"/>
            <w:tcBorders>
              <w:top w:val="single" w:sz="4" w:space="0" w:color="auto"/>
              <w:left w:val="single" w:sz="4" w:space="0" w:color="auto"/>
              <w:bottom w:val="single" w:sz="4" w:space="0" w:color="auto"/>
              <w:right w:val="single" w:sz="4" w:space="0" w:color="auto"/>
            </w:tcBorders>
            <w:noWrap/>
            <w:vAlign w:val="center"/>
            <w:hideMark/>
          </w:tcPr>
          <w:p w:rsidR="00F9552F" w:rsidRPr="0055799A" w:rsidRDefault="00F9552F" w:rsidP="0055799A">
            <w:pPr>
              <w:pStyle w:val="NoSpacing"/>
              <w:rPr>
                <w:sz w:val="22"/>
                <w:szCs w:val="22"/>
                <w:lang w:val="de-DE"/>
              </w:rPr>
            </w:pPr>
            <w:r w:rsidRPr="0055799A">
              <w:rPr>
                <w:sz w:val="22"/>
                <w:szCs w:val="22"/>
                <w:lang w:val="de-DE"/>
              </w:rPr>
              <w:t>Apsolutna vrijednost</w:t>
            </w:r>
          </w:p>
          <w:p w:rsidR="00F9552F" w:rsidRPr="0055799A" w:rsidRDefault="00F9552F" w:rsidP="0055799A">
            <w:pPr>
              <w:pStyle w:val="NoSpacing"/>
              <w:rPr>
                <w:sz w:val="22"/>
                <w:szCs w:val="22"/>
                <w:lang w:val="de-DE"/>
              </w:rPr>
            </w:pPr>
            <w:r w:rsidRPr="0055799A">
              <w:rPr>
                <w:sz w:val="22"/>
                <w:szCs w:val="22"/>
                <w:lang w:val="de-DE"/>
              </w:rPr>
              <w:t xml:space="preserve">promjene neuspjeha </w:t>
            </w:r>
          </w:p>
          <w:p w:rsidR="00F9552F" w:rsidRPr="0055799A" w:rsidRDefault="00F9552F" w:rsidP="0055799A">
            <w:pPr>
              <w:pStyle w:val="NoSpacing"/>
              <w:rPr>
                <w:sz w:val="22"/>
                <w:szCs w:val="22"/>
                <w:lang w:val="de-DE"/>
              </w:rPr>
            </w:pPr>
            <w:r w:rsidRPr="0055799A">
              <w:rPr>
                <w:sz w:val="22"/>
                <w:szCs w:val="22"/>
                <w:lang w:val="de-DE"/>
              </w:rPr>
              <w:t>(u p.p.)**</w:t>
            </w:r>
          </w:p>
        </w:tc>
        <w:tc>
          <w:tcPr>
            <w:tcW w:w="374" w:type="pct"/>
            <w:tcBorders>
              <w:top w:val="single" w:sz="4" w:space="0" w:color="auto"/>
              <w:left w:val="single" w:sz="4" w:space="0" w:color="auto"/>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0,170</w:t>
            </w:r>
          </w:p>
        </w:tc>
        <w:tc>
          <w:tcPr>
            <w:tcW w:w="452"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0,111</w:t>
            </w:r>
          </w:p>
        </w:tc>
        <w:tc>
          <w:tcPr>
            <w:tcW w:w="458"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0,076</w:t>
            </w:r>
          </w:p>
        </w:tc>
        <w:tc>
          <w:tcPr>
            <w:tcW w:w="408"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0,029</w:t>
            </w:r>
          </w:p>
        </w:tc>
        <w:tc>
          <w:tcPr>
            <w:tcW w:w="414"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0,149</w:t>
            </w:r>
          </w:p>
        </w:tc>
        <w:tc>
          <w:tcPr>
            <w:tcW w:w="457"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0,063</w:t>
            </w:r>
          </w:p>
        </w:tc>
        <w:tc>
          <w:tcPr>
            <w:tcW w:w="408"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0,383</w:t>
            </w:r>
          </w:p>
        </w:tc>
        <w:tc>
          <w:tcPr>
            <w:tcW w:w="415" w:type="pct"/>
            <w:tcBorders>
              <w:top w:val="single" w:sz="4" w:space="0" w:color="auto"/>
              <w:left w:val="nil"/>
              <w:bottom w:val="single" w:sz="4" w:space="0" w:color="auto"/>
              <w:right w:val="nil"/>
            </w:tcBorders>
            <w:noWrap/>
            <w:vAlign w:val="center"/>
            <w:hideMark/>
          </w:tcPr>
          <w:p w:rsidR="00F9552F" w:rsidRPr="0055799A" w:rsidRDefault="00F9552F" w:rsidP="0055799A">
            <w:pPr>
              <w:pStyle w:val="NoSpacing"/>
              <w:rPr>
                <w:sz w:val="22"/>
                <w:szCs w:val="22"/>
                <w:lang w:val="en-US"/>
              </w:rPr>
            </w:pPr>
            <w:r w:rsidRPr="0055799A">
              <w:rPr>
                <w:sz w:val="22"/>
                <w:szCs w:val="22"/>
              </w:rPr>
              <w:t>0,181</w:t>
            </w:r>
          </w:p>
        </w:tc>
        <w:tc>
          <w:tcPr>
            <w:tcW w:w="372" w:type="pct"/>
            <w:tcBorders>
              <w:top w:val="single" w:sz="4" w:space="0" w:color="auto"/>
              <w:left w:val="nil"/>
              <w:bottom w:val="single" w:sz="4" w:space="0" w:color="auto"/>
              <w:right w:val="single" w:sz="4" w:space="0" w:color="auto"/>
            </w:tcBorders>
            <w:noWrap/>
            <w:vAlign w:val="center"/>
            <w:hideMark/>
          </w:tcPr>
          <w:p w:rsidR="00F9552F" w:rsidRPr="0055799A" w:rsidRDefault="00F9552F" w:rsidP="0055799A">
            <w:pPr>
              <w:pStyle w:val="NoSpacing"/>
              <w:rPr>
                <w:sz w:val="22"/>
                <w:szCs w:val="22"/>
                <w:lang w:val="en-US"/>
              </w:rPr>
            </w:pPr>
            <w:r w:rsidRPr="0055799A">
              <w:rPr>
                <w:sz w:val="22"/>
                <w:szCs w:val="22"/>
              </w:rPr>
              <w:t>0,009</w:t>
            </w:r>
          </w:p>
        </w:tc>
      </w:tr>
    </w:tbl>
    <w:p w:rsidR="00F9552F" w:rsidRPr="0055799A" w:rsidRDefault="00F9552F" w:rsidP="0055799A">
      <w:pPr>
        <w:pStyle w:val="NoSpacing"/>
        <w:rPr>
          <w:sz w:val="20"/>
          <w:szCs w:val="20"/>
        </w:rPr>
      </w:pPr>
      <w:r w:rsidRPr="0055799A">
        <w:rPr>
          <w:sz w:val="20"/>
          <w:szCs w:val="20"/>
        </w:rPr>
        <w:t xml:space="preserve">Izvor: Autor. Napomene: * Negativan znak (-), označava smanjenje vjerovatnoće neuspjeha, pozitivan (+) rast vjerovatnoće neuspjeha, 0 nepromjenjenu vjerovatnoću. ** Promjena je računata kao razlika između prognoze neuspjeha za 2015. godinu i prognoze neuspjeha za 2014. godinu. </w:t>
      </w:r>
    </w:p>
    <w:p w:rsidR="00F9552F" w:rsidRPr="00510FF3" w:rsidRDefault="00F9552F" w:rsidP="00510FF3">
      <w:pPr>
        <w:autoSpaceDE w:val="0"/>
        <w:autoSpaceDN w:val="0"/>
        <w:adjustRightInd w:val="0"/>
        <w:ind w:firstLine="720"/>
        <w:rPr>
          <w:lang w:val="sr-Latn-BA"/>
        </w:rPr>
      </w:pPr>
      <w:r>
        <w:t>Na osnovu usvojenih definicija rentabilnosti, a i prema pokazateljima rentabilnosti za 06/2015. godinu samo je jedna banka doživjela neuspjeh. BLKB nije dostavila revizorski izvještaj za 2014. (Banjalučkoj berzi AD Banjaluka), što je postupak koji prevazilazi formalni propust i kršenje pravne norme, zbog čega je Berza (po nalogu Komisije za hartije od vrijednosti Republike Srpske) obustavila trgovanje akcijama BLKB</w:t>
      </w:r>
      <w:r>
        <w:rPr>
          <w:rStyle w:val="FootnoteReference"/>
        </w:rPr>
        <w:footnoteReference w:id="6"/>
      </w:r>
      <w:r>
        <w:t xml:space="preserve">. BLKB ne želi, da preko institucija finansijskog tržišta, stavi javnosti na uvid najnovije revidirane bilansne karakteristike svoga poslovanja, čim indirektno i implicitno poručuje da ima ogromnih problema u svom poslovanju. Da postoje pozitivne razvojne tendencije u bilansu uspijeha, uz nivo transparentnosti i preciznosti u procijeni gubitaka na kreditima i ostalim ulaganjima, menadžment banke bi sigurno naložio javno objelodanjivanje informacija i postupanje u skladu sa obavezom dostavljanja finansijskih izvještaja vodećoj instituciji finansijskog tržišta - Banjalučkoj berzi AD Banjaluka. </w:t>
      </w:r>
      <w:r>
        <w:lastRenderedPageBreak/>
        <w:t>Odbijanje BLKB da preko berze, mjesta na kojem je u punom obimu prisutna investiciona zajednica, objavi svoje revidirane finansijske izvje</w:t>
      </w:r>
      <w:r>
        <w:rPr>
          <w:lang w:val="sr-Latn-BA"/>
        </w:rPr>
        <w:t>štaje, kao i njena nezainteresovanost za kotaciju na berzi i cijenu akcija, implicitana je potvrda da su finansijski izvještaji BLKB izuzetno negativni i da je to razlog zbog kojeg je BLKB zainteresovana za neobjavljivanje revidiranih finansijkih izvještaja i za odsustvo tržišnog vrednovanja BLKB – preko berze i kroz berzansku cijenu</w:t>
      </w:r>
      <w:r>
        <w:rPr>
          <w:rStyle w:val="FootnoteReference"/>
          <w:lang w:val="sr-Latn-BA"/>
        </w:rPr>
        <w:footnoteReference w:id="7"/>
      </w:r>
      <w:r w:rsidR="00510FF3">
        <w:rPr>
          <w:lang w:val="sr-Latn-BA"/>
        </w:rPr>
        <w:t>.</w:t>
      </w:r>
      <w:r w:rsidR="00510FF3">
        <w:rPr>
          <w:lang w:val="sr-Latn-BA"/>
        </w:rPr>
        <w:tab/>
      </w:r>
      <w:r w:rsidR="00510FF3">
        <w:rPr>
          <w:lang w:val="sr-Latn-BA"/>
        </w:rPr>
        <w:tab/>
      </w:r>
      <w:r w:rsidR="00510FF3">
        <w:rPr>
          <w:lang w:val="sr-Latn-BA"/>
        </w:rPr>
        <w:tab/>
      </w:r>
      <w:r w:rsidR="00510FF3">
        <w:rPr>
          <w:lang w:val="sr-Latn-BA"/>
        </w:rPr>
        <w:tab/>
      </w:r>
      <w:r w:rsidR="00510FF3">
        <w:rPr>
          <w:lang w:val="sr-Latn-BA"/>
        </w:rPr>
        <w:tab/>
      </w:r>
      <w:r w:rsidR="00510FF3">
        <w:rPr>
          <w:lang w:val="sr-Latn-BA"/>
        </w:rPr>
        <w:tab/>
      </w:r>
      <w:r w:rsidRPr="00510FF3">
        <w:rPr>
          <w:lang w:val="sr-Latn-BA"/>
        </w:rPr>
        <w:t>Od 9 opservacija model je u 7 slučajeva ispravno ocijenio vjerovatnoću neuspjeha (</w:t>
      </w:r>
      <w:r w:rsidRPr="00510FF3">
        <w:rPr>
          <w:sz w:val="20"/>
          <w:szCs w:val="20"/>
          <w:lang w:val="sr-Latn-BA"/>
        </w:rPr>
        <w:t>Tabela 10</w:t>
      </w:r>
      <w:r w:rsidRPr="00510FF3">
        <w:rPr>
          <w:lang w:val="sr-Latn-BA"/>
        </w:rPr>
        <w:t xml:space="preserve">), a u dva slučaja je pogriješio – KRLB i PIBB. </w:t>
      </w:r>
      <w:r w:rsidRPr="00B82C22">
        <w:rPr>
          <w:lang w:val="sr-Latn-BA"/>
        </w:rPr>
        <w:t>Kod KRLB PAK je pozitivan i rastući, a vjerovatnoća neuspjeha je iako opadajuća iznad 0,5 i iznosi 0,628. Vjerovatnoća neuspjeha PIBB je visokih 0,87, ali sa</w:t>
      </w:r>
      <w:r>
        <w:rPr>
          <w:lang/>
        </w:rPr>
        <w:t xml:space="preserve"> </w:t>
      </w:r>
      <w:r w:rsidRPr="00B82C22">
        <w:rPr>
          <w:lang w:val="sr-Latn-BA"/>
        </w:rPr>
        <w:t xml:space="preserve">obzirom da nemamo informaciju o nekom bitnom poslovnom događuju koji bi se uklopio u našu definiciju neuspjeha, ovaj rezultat tumačimo kao pogrešnu prognozu. Na osnovu raspoloživih informacija, usvojene definicije neuspjeha, i podataka za PAK u 06/2015. godine model je uspješno prognozirao 77,7% ishoda (7/9), a 22,3% neuspješno. </w:t>
      </w:r>
    </w:p>
    <w:p w:rsidR="00510FF3" w:rsidRPr="00B82C22" w:rsidRDefault="00510FF3" w:rsidP="00510FF3">
      <w:pPr>
        <w:pStyle w:val="NoSpacing"/>
        <w:rPr>
          <w:rFonts w:cs="Times New Roman"/>
          <w:sz w:val="22"/>
          <w:szCs w:val="22"/>
          <w:lang w:val="sr-Latn-BA"/>
        </w:rPr>
      </w:pPr>
    </w:p>
    <w:p w:rsidR="00F9552F" w:rsidRPr="00B82C22" w:rsidRDefault="00F9552F" w:rsidP="00510FF3">
      <w:pPr>
        <w:pStyle w:val="NoSpacing"/>
        <w:rPr>
          <w:rFonts w:cs="Times New Roman"/>
          <w:sz w:val="22"/>
          <w:szCs w:val="22"/>
          <w:lang w:val="sr-Latn-BA"/>
        </w:rPr>
      </w:pPr>
      <w:r w:rsidRPr="0096748B">
        <w:rPr>
          <w:rFonts w:cs="Times New Roman"/>
          <w:b/>
          <w:sz w:val="22"/>
          <w:szCs w:val="22"/>
          <w:lang w:val="sr-Latn-BA"/>
        </w:rPr>
        <w:t>Tabela 10</w:t>
      </w:r>
      <w:r w:rsidRPr="00B82C22">
        <w:rPr>
          <w:rFonts w:cs="Times New Roman"/>
          <w:sz w:val="22"/>
          <w:szCs w:val="22"/>
          <w:lang w:val="sr-Latn-BA"/>
        </w:rPr>
        <w:t xml:space="preserve">. Neuspjeh/uspjeh banaka u 06/2015.godini i prognoza neuspjeha za 2015. godinu </w:t>
      </w:r>
    </w:p>
    <w:tbl>
      <w:tblPr>
        <w:tblW w:w="5128" w:type="pct"/>
        <w:tblLook w:val="04A0"/>
      </w:tblPr>
      <w:tblGrid>
        <w:gridCol w:w="2233"/>
        <w:gridCol w:w="733"/>
        <w:gridCol w:w="761"/>
        <w:gridCol w:w="794"/>
        <w:gridCol w:w="761"/>
        <w:gridCol w:w="761"/>
        <w:gridCol w:w="839"/>
        <w:gridCol w:w="783"/>
        <w:gridCol w:w="772"/>
        <w:gridCol w:w="683"/>
      </w:tblGrid>
      <w:tr w:rsidR="00510FF3" w:rsidRPr="00510FF3" w:rsidTr="00A346C6">
        <w:trPr>
          <w:trHeight w:val="264"/>
        </w:trPr>
        <w:tc>
          <w:tcPr>
            <w:tcW w:w="1326" w:type="pct"/>
            <w:tcBorders>
              <w:top w:val="single" w:sz="4" w:space="0" w:color="auto"/>
              <w:left w:val="nil"/>
              <w:bottom w:val="single" w:sz="4" w:space="0" w:color="auto"/>
              <w:right w:val="single" w:sz="4" w:space="0" w:color="auto"/>
            </w:tcBorders>
            <w:noWrap/>
            <w:vAlign w:val="center"/>
          </w:tcPr>
          <w:p w:rsidR="00F9552F" w:rsidRPr="00B82C22" w:rsidRDefault="00F9552F" w:rsidP="00510FF3">
            <w:pPr>
              <w:pStyle w:val="NoSpacing"/>
              <w:rPr>
                <w:rFonts w:cs="Times New Roman"/>
                <w:sz w:val="22"/>
                <w:szCs w:val="22"/>
                <w:lang w:val="sr-Latn-BA"/>
              </w:rPr>
            </w:pPr>
          </w:p>
        </w:tc>
        <w:tc>
          <w:tcPr>
            <w:tcW w:w="398" w:type="pct"/>
            <w:tcBorders>
              <w:top w:val="single" w:sz="4" w:space="0" w:color="auto"/>
              <w:left w:val="single" w:sz="4" w:space="0" w:color="auto"/>
              <w:bottom w:val="single" w:sz="4" w:space="0" w:color="auto"/>
              <w:right w:val="nil"/>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rPr>
            </w:pPr>
            <w:r w:rsidRPr="00510FF3">
              <w:rPr>
                <w:rFonts w:cs="Times New Roman"/>
                <w:b/>
                <w:sz w:val="20"/>
                <w:szCs w:val="20"/>
              </w:rPr>
              <w:t>IEFB</w:t>
            </w:r>
          </w:p>
        </w:tc>
        <w:tc>
          <w:tcPr>
            <w:tcW w:w="414" w:type="pct"/>
            <w:tcBorders>
              <w:top w:val="single" w:sz="4" w:space="0" w:color="auto"/>
              <w:left w:val="nil"/>
              <w:bottom w:val="single" w:sz="4" w:space="0" w:color="auto"/>
              <w:right w:val="nil"/>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rPr>
            </w:pPr>
            <w:r w:rsidRPr="00510FF3">
              <w:rPr>
                <w:rFonts w:cs="Times New Roman"/>
                <w:b/>
                <w:sz w:val="20"/>
                <w:szCs w:val="20"/>
              </w:rPr>
              <w:t>VBBB</w:t>
            </w:r>
          </w:p>
        </w:tc>
        <w:tc>
          <w:tcPr>
            <w:tcW w:w="426" w:type="pct"/>
            <w:tcBorders>
              <w:top w:val="single" w:sz="4" w:space="0" w:color="auto"/>
              <w:left w:val="nil"/>
              <w:bottom w:val="single" w:sz="4" w:space="0" w:color="auto"/>
              <w:right w:val="nil"/>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rPr>
            </w:pPr>
            <w:r w:rsidRPr="00510FF3">
              <w:rPr>
                <w:rFonts w:cs="Times New Roman"/>
                <w:b/>
                <w:sz w:val="20"/>
                <w:szCs w:val="20"/>
              </w:rPr>
              <w:t>NOVB</w:t>
            </w:r>
          </w:p>
        </w:tc>
        <w:tc>
          <w:tcPr>
            <w:tcW w:w="407" w:type="pct"/>
            <w:tcBorders>
              <w:top w:val="single" w:sz="4" w:space="0" w:color="auto"/>
              <w:left w:val="nil"/>
              <w:bottom w:val="single" w:sz="4" w:space="0" w:color="auto"/>
              <w:right w:val="nil"/>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rPr>
            </w:pPr>
            <w:r w:rsidRPr="00510FF3">
              <w:rPr>
                <w:rFonts w:cs="Times New Roman"/>
                <w:b/>
                <w:sz w:val="20"/>
                <w:szCs w:val="20"/>
              </w:rPr>
              <w:t>NBLB</w:t>
            </w:r>
          </w:p>
        </w:tc>
        <w:tc>
          <w:tcPr>
            <w:tcW w:w="398" w:type="pct"/>
            <w:tcBorders>
              <w:top w:val="single" w:sz="4" w:space="0" w:color="auto"/>
              <w:left w:val="nil"/>
              <w:bottom w:val="single" w:sz="4" w:space="0" w:color="auto"/>
              <w:right w:val="nil"/>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rPr>
            </w:pPr>
            <w:r w:rsidRPr="00510FF3">
              <w:rPr>
                <w:rFonts w:cs="Times New Roman"/>
                <w:b/>
                <w:sz w:val="20"/>
                <w:szCs w:val="20"/>
              </w:rPr>
              <w:t>ZPKB</w:t>
            </w:r>
          </w:p>
        </w:tc>
        <w:tc>
          <w:tcPr>
            <w:tcW w:w="438" w:type="pct"/>
            <w:tcBorders>
              <w:top w:val="single" w:sz="4" w:space="0" w:color="auto"/>
              <w:left w:val="nil"/>
              <w:bottom w:val="single" w:sz="4" w:space="0" w:color="auto"/>
              <w:right w:val="nil"/>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rPr>
            </w:pPr>
            <w:r w:rsidRPr="00510FF3">
              <w:rPr>
                <w:rFonts w:cs="Times New Roman"/>
                <w:b/>
                <w:sz w:val="20"/>
                <w:szCs w:val="20"/>
              </w:rPr>
              <w:t>KMCB</w:t>
            </w:r>
          </w:p>
        </w:tc>
        <w:tc>
          <w:tcPr>
            <w:tcW w:w="407" w:type="pct"/>
            <w:tcBorders>
              <w:top w:val="single" w:sz="4" w:space="0" w:color="auto"/>
              <w:left w:val="nil"/>
              <w:bottom w:val="single" w:sz="4" w:space="0" w:color="auto"/>
              <w:right w:val="nil"/>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rPr>
            </w:pPr>
            <w:r w:rsidRPr="00510FF3">
              <w:rPr>
                <w:rFonts w:cs="Times New Roman"/>
                <w:b/>
                <w:sz w:val="20"/>
                <w:szCs w:val="20"/>
              </w:rPr>
              <w:t>KRLB</w:t>
            </w:r>
          </w:p>
        </w:tc>
        <w:tc>
          <w:tcPr>
            <w:tcW w:w="407" w:type="pct"/>
            <w:tcBorders>
              <w:top w:val="single" w:sz="4" w:space="0" w:color="auto"/>
              <w:left w:val="nil"/>
              <w:bottom w:val="single" w:sz="4" w:space="0" w:color="auto"/>
              <w:right w:val="nil"/>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rPr>
            </w:pPr>
            <w:r w:rsidRPr="00510FF3">
              <w:rPr>
                <w:rFonts w:cs="Times New Roman"/>
                <w:b/>
                <w:sz w:val="20"/>
                <w:szCs w:val="20"/>
              </w:rPr>
              <w:t>BLKB</w:t>
            </w:r>
          </w:p>
        </w:tc>
        <w:tc>
          <w:tcPr>
            <w:tcW w:w="379" w:type="pct"/>
            <w:tcBorders>
              <w:top w:val="single" w:sz="4" w:space="0" w:color="auto"/>
              <w:left w:val="nil"/>
              <w:bottom w:val="single" w:sz="4" w:space="0" w:color="auto"/>
              <w:right w:val="nil"/>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rPr>
            </w:pPr>
            <w:r w:rsidRPr="00510FF3">
              <w:rPr>
                <w:rFonts w:cs="Times New Roman"/>
                <w:b/>
                <w:sz w:val="20"/>
                <w:szCs w:val="20"/>
              </w:rPr>
              <w:t>PIBB</w:t>
            </w:r>
          </w:p>
        </w:tc>
      </w:tr>
      <w:tr w:rsidR="00510FF3" w:rsidRPr="00510FF3" w:rsidTr="00A346C6">
        <w:trPr>
          <w:trHeight w:val="264"/>
        </w:trPr>
        <w:tc>
          <w:tcPr>
            <w:tcW w:w="1326" w:type="pct"/>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rPr>
            </w:pPr>
            <w:r w:rsidRPr="00510FF3">
              <w:rPr>
                <w:rFonts w:cs="Times New Roman"/>
                <w:b/>
                <w:sz w:val="20"/>
                <w:szCs w:val="20"/>
              </w:rPr>
              <w:t>Povrat na aktivu, u %</w:t>
            </w:r>
          </w:p>
          <w:p w:rsidR="00F9552F" w:rsidRPr="00510FF3" w:rsidRDefault="00F9552F" w:rsidP="00510FF3">
            <w:pPr>
              <w:pStyle w:val="NoSpacing"/>
              <w:rPr>
                <w:rFonts w:cs="Times New Roman"/>
                <w:b/>
                <w:sz w:val="20"/>
                <w:szCs w:val="20"/>
              </w:rPr>
            </w:pPr>
            <w:r w:rsidRPr="00510FF3">
              <w:rPr>
                <w:rFonts w:cs="Times New Roman"/>
                <w:b/>
                <w:sz w:val="20"/>
                <w:szCs w:val="20"/>
              </w:rPr>
              <w:t xml:space="preserve"> 06/2015.</w:t>
            </w:r>
          </w:p>
        </w:tc>
        <w:tc>
          <w:tcPr>
            <w:tcW w:w="398" w:type="pct"/>
            <w:tcBorders>
              <w:top w:val="single" w:sz="4" w:space="0" w:color="auto"/>
              <w:left w:val="single" w:sz="4" w:space="0" w:color="auto"/>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0,52</w:t>
            </w:r>
          </w:p>
        </w:tc>
        <w:tc>
          <w:tcPr>
            <w:tcW w:w="414"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1,08</w:t>
            </w:r>
          </w:p>
        </w:tc>
        <w:tc>
          <w:tcPr>
            <w:tcW w:w="426"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0,41</w:t>
            </w:r>
          </w:p>
        </w:tc>
        <w:tc>
          <w:tcPr>
            <w:tcW w:w="407"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0,99</w:t>
            </w:r>
          </w:p>
        </w:tc>
        <w:tc>
          <w:tcPr>
            <w:tcW w:w="398"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0,26</w:t>
            </w:r>
          </w:p>
        </w:tc>
        <w:tc>
          <w:tcPr>
            <w:tcW w:w="438"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0,12</w:t>
            </w:r>
          </w:p>
        </w:tc>
        <w:tc>
          <w:tcPr>
            <w:tcW w:w="407"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0,26</w:t>
            </w:r>
          </w:p>
        </w:tc>
        <w:tc>
          <w:tcPr>
            <w:tcW w:w="407"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w:t>
            </w:r>
          </w:p>
        </w:tc>
        <w:tc>
          <w:tcPr>
            <w:tcW w:w="379"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0,04</w:t>
            </w:r>
          </w:p>
        </w:tc>
      </w:tr>
      <w:tr w:rsidR="00510FF3" w:rsidRPr="00510FF3" w:rsidTr="00A346C6">
        <w:trPr>
          <w:trHeight w:val="264"/>
        </w:trPr>
        <w:tc>
          <w:tcPr>
            <w:tcW w:w="1326" w:type="pct"/>
            <w:tcBorders>
              <w:top w:val="nil"/>
              <w:left w:val="nil"/>
              <w:bottom w:val="single" w:sz="4" w:space="0" w:color="auto"/>
              <w:right w:val="single" w:sz="4" w:space="0" w:color="auto"/>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rPr>
            </w:pPr>
            <w:r w:rsidRPr="00510FF3">
              <w:rPr>
                <w:rFonts w:cs="Times New Roman"/>
                <w:b/>
                <w:sz w:val="20"/>
                <w:szCs w:val="20"/>
              </w:rPr>
              <w:t xml:space="preserve">Neuspjeh (=1) </w:t>
            </w:r>
          </w:p>
          <w:p w:rsidR="00F9552F" w:rsidRPr="00510FF3" w:rsidRDefault="00F9552F" w:rsidP="00510FF3">
            <w:pPr>
              <w:pStyle w:val="NoSpacing"/>
              <w:rPr>
                <w:rFonts w:cs="Times New Roman"/>
                <w:b/>
                <w:sz w:val="20"/>
                <w:szCs w:val="20"/>
              </w:rPr>
            </w:pPr>
            <w:r w:rsidRPr="00510FF3">
              <w:rPr>
                <w:rFonts w:cs="Times New Roman"/>
                <w:b/>
                <w:sz w:val="20"/>
                <w:szCs w:val="20"/>
              </w:rPr>
              <w:t xml:space="preserve">u 06/2015. </w:t>
            </w:r>
          </w:p>
        </w:tc>
        <w:tc>
          <w:tcPr>
            <w:tcW w:w="398" w:type="pct"/>
            <w:tcBorders>
              <w:top w:val="single" w:sz="4" w:space="0" w:color="auto"/>
              <w:left w:val="single" w:sz="4" w:space="0" w:color="auto"/>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0</w:t>
            </w:r>
          </w:p>
        </w:tc>
        <w:tc>
          <w:tcPr>
            <w:tcW w:w="414"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0</w:t>
            </w:r>
          </w:p>
        </w:tc>
        <w:tc>
          <w:tcPr>
            <w:tcW w:w="426"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0</w:t>
            </w:r>
          </w:p>
        </w:tc>
        <w:tc>
          <w:tcPr>
            <w:tcW w:w="407"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0</w:t>
            </w:r>
          </w:p>
        </w:tc>
        <w:tc>
          <w:tcPr>
            <w:tcW w:w="398"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0</w:t>
            </w:r>
          </w:p>
        </w:tc>
        <w:tc>
          <w:tcPr>
            <w:tcW w:w="438"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0</w:t>
            </w:r>
          </w:p>
        </w:tc>
        <w:tc>
          <w:tcPr>
            <w:tcW w:w="407"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0</w:t>
            </w:r>
          </w:p>
        </w:tc>
        <w:tc>
          <w:tcPr>
            <w:tcW w:w="407"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1</w:t>
            </w:r>
          </w:p>
        </w:tc>
        <w:tc>
          <w:tcPr>
            <w:tcW w:w="379"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0</w:t>
            </w:r>
          </w:p>
        </w:tc>
      </w:tr>
      <w:tr w:rsidR="00510FF3" w:rsidRPr="00510FF3" w:rsidTr="00A346C6">
        <w:trPr>
          <w:trHeight w:val="264"/>
        </w:trPr>
        <w:tc>
          <w:tcPr>
            <w:tcW w:w="1326" w:type="pct"/>
            <w:tcBorders>
              <w:top w:val="nil"/>
              <w:left w:val="nil"/>
              <w:bottom w:val="single" w:sz="4" w:space="0" w:color="auto"/>
              <w:right w:val="single" w:sz="4" w:space="0" w:color="auto"/>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lang w:val="bs-Latn-BA"/>
              </w:rPr>
            </w:pPr>
            <w:r w:rsidRPr="00510FF3">
              <w:rPr>
                <w:rFonts w:cs="Times New Roman"/>
                <w:b/>
                <w:sz w:val="20"/>
                <w:szCs w:val="20"/>
                <w:lang w:val="bs-Latn-BA"/>
              </w:rPr>
              <w:t>Prognozirane</w:t>
            </w:r>
          </w:p>
          <w:p w:rsidR="00F9552F" w:rsidRPr="00510FF3" w:rsidRDefault="00F9552F" w:rsidP="00510FF3">
            <w:pPr>
              <w:pStyle w:val="NoSpacing"/>
              <w:rPr>
                <w:rFonts w:cs="Times New Roman"/>
                <w:b/>
                <w:sz w:val="20"/>
                <w:szCs w:val="20"/>
                <w:lang w:val="bs-Latn-BA"/>
              </w:rPr>
            </w:pPr>
            <w:r w:rsidRPr="00510FF3">
              <w:rPr>
                <w:rFonts w:cs="Times New Roman"/>
                <w:b/>
                <w:sz w:val="20"/>
                <w:szCs w:val="20"/>
                <w:lang w:val="bs-Latn-BA"/>
              </w:rPr>
              <w:t xml:space="preserve">vjerovatnoće neuspjeha </w:t>
            </w:r>
          </w:p>
          <w:p w:rsidR="00F9552F" w:rsidRPr="00510FF3" w:rsidRDefault="00F9552F" w:rsidP="00510FF3">
            <w:pPr>
              <w:pStyle w:val="NoSpacing"/>
              <w:rPr>
                <w:rFonts w:cs="Times New Roman"/>
                <w:b/>
                <w:sz w:val="20"/>
                <w:szCs w:val="20"/>
                <w:lang w:val="bs-Latn-BA"/>
              </w:rPr>
            </w:pPr>
            <w:r w:rsidRPr="00510FF3">
              <w:rPr>
                <w:rFonts w:cs="Times New Roman"/>
                <w:b/>
                <w:sz w:val="20"/>
                <w:szCs w:val="20"/>
                <w:lang w:val="bs-Latn-BA"/>
              </w:rPr>
              <w:t>za 2015. godinu</w:t>
            </w:r>
          </w:p>
        </w:tc>
        <w:tc>
          <w:tcPr>
            <w:tcW w:w="398" w:type="pct"/>
            <w:tcBorders>
              <w:top w:val="single" w:sz="4" w:space="0" w:color="auto"/>
              <w:left w:val="single" w:sz="4" w:space="0" w:color="auto"/>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-0.193</w:t>
            </w:r>
          </w:p>
        </w:tc>
        <w:tc>
          <w:tcPr>
            <w:tcW w:w="414"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-0.187</w:t>
            </w:r>
          </w:p>
        </w:tc>
        <w:tc>
          <w:tcPr>
            <w:tcW w:w="426"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-0.104</w:t>
            </w:r>
          </w:p>
        </w:tc>
        <w:tc>
          <w:tcPr>
            <w:tcW w:w="407"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-0.093</w:t>
            </w:r>
          </w:p>
        </w:tc>
        <w:tc>
          <w:tcPr>
            <w:tcW w:w="398"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-0.043</w:t>
            </w:r>
          </w:p>
        </w:tc>
        <w:tc>
          <w:tcPr>
            <w:tcW w:w="438"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0.197</w:t>
            </w:r>
          </w:p>
        </w:tc>
        <w:tc>
          <w:tcPr>
            <w:tcW w:w="407"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0.628</w:t>
            </w:r>
          </w:p>
        </w:tc>
        <w:tc>
          <w:tcPr>
            <w:tcW w:w="407"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0.739</w:t>
            </w:r>
          </w:p>
        </w:tc>
        <w:tc>
          <w:tcPr>
            <w:tcW w:w="379" w:type="pct"/>
            <w:tcBorders>
              <w:top w:val="single" w:sz="4" w:space="0" w:color="auto"/>
              <w:left w:val="nil"/>
              <w:bottom w:val="single" w:sz="4" w:space="0" w:color="auto"/>
              <w:right w:val="nil"/>
            </w:tcBorders>
            <w:noWrap/>
            <w:vAlign w:val="center"/>
            <w:hideMark/>
          </w:tcPr>
          <w:p w:rsidR="00F9552F" w:rsidRPr="00510FF3" w:rsidRDefault="00F9552F" w:rsidP="00510FF3">
            <w:pPr>
              <w:pStyle w:val="NoSpacing"/>
              <w:rPr>
                <w:rFonts w:cs="Times New Roman"/>
                <w:sz w:val="20"/>
                <w:szCs w:val="20"/>
              </w:rPr>
            </w:pPr>
            <w:r w:rsidRPr="00510FF3">
              <w:rPr>
                <w:rFonts w:cs="Times New Roman"/>
                <w:sz w:val="20"/>
                <w:szCs w:val="20"/>
              </w:rPr>
              <w:t>0.866</w:t>
            </w:r>
          </w:p>
        </w:tc>
      </w:tr>
      <w:tr w:rsidR="00510FF3" w:rsidRPr="00510FF3" w:rsidTr="00A346C6">
        <w:trPr>
          <w:trHeight w:val="264"/>
        </w:trPr>
        <w:tc>
          <w:tcPr>
            <w:tcW w:w="1326" w:type="pct"/>
            <w:tcBorders>
              <w:top w:val="nil"/>
              <w:left w:val="nil"/>
              <w:bottom w:val="single" w:sz="4" w:space="0" w:color="auto"/>
              <w:right w:val="single" w:sz="4" w:space="0" w:color="auto"/>
            </w:tcBorders>
            <w:shd w:val="clear" w:color="auto" w:fill="DAEEF3" w:themeFill="accent5" w:themeFillTint="33"/>
            <w:noWrap/>
            <w:vAlign w:val="center"/>
            <w:hideMark/>
          </w:tcPr>
          <w:p w:rsidR="00F9552F" w:rsidRPr="00510FF3" w:rsidRDefault="00F9552F" w:rsidP="00510FF3">
            <w:pPr>
              <w:pStyle w:val="NoSpacing"/>
              <w:rPr>
                <w:rFonts w:cs="Times New Roman"/>
                <w:b/>
                <w:sz w:val="20"/>
                <w:szCs w:val="20"/>
                <w:lang w:val="de-DE"/>
              </w:rPr>
            </w:pPr>
            <w:r w:rsidRPr="00510FF3">
              <w:rPr>
                <w:rFonts w:cs="Times New Roman"/>
                <w:b/>
                <w:sz w:val="20"/>
                <w:szCs w:val="20"/>
                <w:lang w:val="de-DE"/>
              </w:rPr>
              <w:t>Ta</w:t>
            </w:r>
            <w:r w:rsidRPr="00155E30">
              <w:rPr>
                <w:rFonts w:cs="Times New Roman"/>
                <w:b/>
                <w:sz w:val="20"/>
                <w:szCs w:val="20"/>
                <w:lang w:val="de-AT"/>
              </w:rPr>
              <w:t>čna (T)</w:t>
            </w:r>
            <w:r w:rsidRPr="00510FF3">
              <w:rPr>
                <w:rFonts w:cs="Times New Roman"/>
                <w:b/>
                <w:sz w:val="20"/>
                <w:szCs w:val="20"/>
                <w:lang w:val="de-DE"/>
              </w:rPr>
              <w:t>/</w:t>
            </w:r>
          </w:p>
          <w:p w:rsidR="00F9552F" w:rsidRPr="00510FF3" w:rsidRDefault="00F9552F" w:rsidP="00510FF3">
            <w:pPr>
              <w:pStyle w:val="NoSpacing"/>
              <w:rPr>
                <w:rFonts w:cs="Times New Roman"/>
                <w:b/>
                <w:sz w:val="20"/>
                <w:szCs w:val="20"/>
                <w:lang w:val="de-DE"/>
              </w:rPr>
            </w:pPr>
            <w:r w:rsidRPr="00510FF3">
              <w:rPr>
                <w:rFonts w:cs="Times New Roman"/>
                <w:b/>
                <w:sz w:val="20"/>
                <w:szCs w:val="20"/>
                <w:lang w:val="de-DE"/>
              </w:rPr>
              <w:t>netačna prognoza (N)</w:t>
            </w:r>
          </w:p>
        </w:tc>
        <w:tc>
          <w:tcPr>
            <w:tcW w:w="398" w:type="pct"/>
            <w:tcBorders>
              <w:top w:val="single" w:sz="4" w:space="0" w:color="auto"/>
              <w:left w:val="single" w:sz="4" w:space="0" w:color="auto"/>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T</w:t>
            </w:r>
          </w:p>
        </w:tc>
        <w:tc>
          <w:tcPr>
            <w:tcW w:w="414"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T</w:t>
            </w:r>
          </w:p>
        </w:tc>
        <w:tc>
          <w:tcPr>
            <w:tcW w:w="426"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T</w:t>
            </w:r>
          </w:p>
        </w:tc>
        <w:tc>
          <w:tcPr>
            <w:tcW w:w="407"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T</w:t>
            </w:r>
          </w:p>
        </w:tc>
        <w:tc>
          <w:tcPr>
            <w:tcW w:w="398"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T</w:t>
            </w:r>
          </w:p>
        </w:tc>
        <w:tc>
          <w:tcPr>
            <w:tcW w:w="438"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T</w:t>
            </w:r>
          </w:p>
        </w:tc>
        <w:tc>
          <w:tcPr>
            <w:tcW w:w="407"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b/>
                <w:sz w:val="20"/>
                <w:szCs w:val="20"/>
              </w:rPr>
            </w:pPr>
            <w:r w:rsidRPr="00510FF3">
              <w:rPr>
                <w:rFonts w:cs="Times New Roman"/>
                <w:b/>
                <w:sz w:val="20"/>
                <w:szCs w:val="20"/>
              </w:rPr>
              <w:t>N</w:t>
            </w:r>
          </w:p>
        </w:tc>
        <w:tc>
          <w:tcPr>
            <w:tcW w:w="407"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sz w:val="20"/>
                <w:szCs w:val="20"/>
              </w:rPr>
            </w:pPr>
            <w:r w:rsidRPr="00510FF3">
              <w:rPr>
                <w:rFonts w:cs="Times New Roman"/>
                <w:sz w:val="20"/>
                <w:szCs w:val="20"/>
              </w:rPr>
              <w:t>T</w:t>
            </w:r>
          </w:p>
        </w:tc>
        <w:tc>
          <w:tcPr>
            <w:tcW w:w="379" w:type="pct"/>
            <w:tcBorders>
              <w:top w:val="single" w:sz="4" w:space="0" w:color="auto"/>
              <w:left w:val="nil"/>
              <w:bottom w:val="single" w:sz="4" w:space="0" w:color="auto"/>
              <w:right w:val="nil"/>
            </w:tcBorders>
            <w:noWrap/>
            <w:vAlign w:val="center"/>
            <w:hideMark/>
          </w:tcPr>
          <w:p w:rsidR="00F9552F" w:rsidRPr="00510FF3" w:rsidRDefault="00F9552F" w:rsidP="00A346C6">
            <w:pPr>
              <w:pStyle w:val="NoSpacing"/>
              <w:jc w:val="center"/>
              <w:rPr>
                <w:rFonts w:cs="Times New Roman"/>
                <w:b/>
                <w:sz w:val="20"/>
                <w:szCs w:val="20"/>
              </w:rPr>
            </w:pPr>
            <w:r w:rsidRPr="00510FF3">
              <w:rPr>
                <w:rFonts w:cs="Times New Roman"/>
                <w:b/>
                <w:sz w:val="20"/>
                <w:szCs w:val="20"/>
              </w:rPr>
              <w:t>N</w:t>
            </w:r>
          </w:p>
        </w:tc>
      </w:tr>
    </w:tbl>
    <w:p w:rsidR="00F9552F" w:rsidRPr="00A346C6" w:rsidRDefault="00F9552F" w:rsidP="00510FF3">
      <w:pPr>
        <w:pStyle w:val="NoSpacing"/>
        <w:rPr>
          <w:rFonts w:cs="Times New Roman"/>
          <w:sz w:val="20"/>
          <w:szCs w:val="20"/>
          <w:lang w:val="bs-Latn-BA"/>
        </w:rPr>
      </w:pPr>
      <w:r w:rsidRPr="00A346C6">
        <w:rPr>
          <w:rFonts w:cs="Times New Roman"/>
          <w:sz w:val="20"/>
          <w:szCs w:val="20"/>
          <w:lang w:val="bs-Latn-BA"/>
        </w:rPr>
        <w:t>Izvor: Izvje</w:t>
      </w:r>
      <w:r w:rsidR="00510FF3" w:rsidRPr="00A346C6">
        <w:rPr>
          <w:rFonts w:cs="Times New Roman"/>
          <w:sz w:val="20"/>
          <w:szCs w:val="20"/>
          <w:lang w:val="bs-Latn-BA"/>
        </w:rPr>
        <w:t>štaji banaka (Obradio autor) i a</w:t>
      </w:r>
      <w:r w:rsidRPr="00A346C6">
        <w:rPr>
          <w:rFonts w:cs="Times New Roman"/>
          <w:sz w:val="20"/>
          <w:szCs w:val="20"/>
          <w:lang w:val="bs-Latn-BA"/>
        </w:rPr>
        <w:t xml:space="preserve">utor. </w:t>
      </w:r>
    </w:p>
    <w:p w:rsidR="00F9552F" w:rsidRPr="00A346C6" w:rsidRDefault="00F9552F" w:rsidP="00F9552F">
      <w:pPr>
        <w:autoSpaceDE w:val="0"/>
        <w:autoSpaceDN w:val="0"/>
        <w:adjustRightInd w:val="0"/>
        <w:rPr>
          <w:lang w:val="bs-Latn-BA"/>
        </w:rPr>
      </w:pPr>
    </w:p>
    <w:p w:rsidR="00F9552F" w:rsidRDefault="00510FF3" w:rsidP="00510FF3">
      <w:pPr>
        <w:jc w:val="center"/>
        <w:rPr>
          <w:b/>
          <w:lang w:val="sr-Latn-BA"/>
        </w:rPr>
      </w:pPr>
      <w:r>
        <w:rPr>
          <w:b/>
          <w:lang w:val="hr-HR"/>
        </w:rPr>
        <w:t>ZAKLJUČAK</w:t>
      </w:r>
    </w:p>
    <w:p w:rsidR="00F9552F" w:rsidRDefault="00F9552F" w:rsidP="00F9552F">
      <w:pPr>
        <w:ind w:firstLine="720"/>
        <w:rPr>
          <w:lang w:val="sr-Latn-BA"/>
        </w:rPr>
      </w:pPr>
      <w:r>
        <w:rPr>
          <w:lang w:val="sr-Latn-BA"/>
        </w:rPr>
        <w:t>U BSBiH broj banaka je od 2000. godine do Q2 2015.</w:t>
      </w:r>
      <w:r w:rsidR="00A346C6">
        <w:rPr>
          <w:lang w:val="sr-Latn-BA"/>
        </w:rPr>
        <w:t xml:space="preserve"> </w:t>
      </w:r>
      <w:r>
        <w:rPr>
          <w:lang w:val="sr-Latn-BA"/>
        </w:rPr>
        <w:t>godine smanjen za 52,7%, a u BSRS se sa 18 banka došlo do 9. U istraživanje smo ušli sa namjerom da modeliramo neuspjeh banaka u poslovanju, bez obzira na ograničanja u pogledu dostupnosti podatak i frekvencije podataka. U BSRS, u djelu njegovog segmenta koji se odnosi na kontrolu i nadzor poslovanja banaka, vjerovatnoća neuspjeha, ili bankrota banaka, nikada nije kvantifikovana. Performanse banaka su mjerene kroz CAMEL analizu i rangiranje banaka sa a</w:t>
      </w:r>
      <w:r w:rsidRPr="00F9552F">
        <w:rPr>
          <w:lang w:val="sr-Latn-BA"/>
        </w:rPr>
        <w:t>spekta</w:t>
      </w:r>
      <w:r>
        <w:rPr>
          <w:lang w:val="sr-Latn-BA"/>
        </w:rPr>
        <w:t xml:space="preserve"> </w:t>
      </w:r>
      <w:r w:rsidRPr="00F9552F">
        <w:rPr>
          <w:lang w:val="sr-Latn-BA"/>
        </w:rPr>
        <w:t>uspje</w:t>
      </w:r>
      <w:r>
        <w:rPr>
          <w:lang w:val="sr-Latn-BA"/>
        </w:rPr>
        <w:t xml:space="preserve">šnosti u odnos na kapital, aktivu, menadžment, akcijski kapital i likvidnost. Pošto ovakav oblik analize ne daje ni približnu vjerovatnoću bankrota banke, mi smo se u istraživanju orjentisali na metod koji svakoj banci dodjeljuje vjerovatnoću neuspjeha, pri čemu smo usvojili široku definiciju neuspjeha banke, koja prevazilazi klasični bankrot i/ili izlazak iz bankarskog sistema. Zbog malog broja opservacija nismo mogli primjeniti logit ili probit model određivanja vjerovatnoće neuspjeha, pa smo se zato, i pored objektivnih mana na koje je ukazano u literaturi, opredjelili za model linearne vjerovatnoće/LPM. </w:t>
      </w:r>
    </w:p>
    <w:p w:rsidR="00F9552F" w:rsidRDefault="00F9552F" w:rsidP="00A346C6">
      <w:pPr>
        <w:ind w:firstLine="720"/>
        <w:rPr>
          <w:lang w:val="sr-Latn-BA"/>
        </w:rPr>
      </w:pPr>
      <w:r>
        <w:rPr>
          <w:lang w:val="sr-Latn-BA"/>
        </w:rPr>
        <w:lastRenderedPageBreak/>
        <w:t>Plan istraživanja je bio takav da se na osnovu podataka iz skraćenih finansijskih izvještaja za 2013. godinu konstruiše model i odredi vjerovatnoća neuspjeha banaka u 2014. godini, tokom koje su prema usvojenoj definiciji, neuspjeh doživjele četiri banke. U sljedećem koraku se na temelju finansijskih indikatora banaka u 2014. godini određuje/prognozira vjerovatnoća neuspjeha u 2015. godini da bi se konstruisani model dodatno testirao. Neuspjeh u 2015. godini smo odredili na temelju finansijskih izvještaja za 06/2015. godine, a u skladu sa široko us</w:t>
      </w:r>
      <w:r w:rsidR="00A346C6">
        <w:rPr>
          <w:lang w:val="sr-Latn-BA"/>
        </w:rPr>
        <w:t xml:space="preserve">vojenom definicijom neuspjeha. </w:t>
      </w:r>
      <w:r w:rsidR="00A346C6">
        <w:rPr>
          <w:lang w:val="sr-Latn-BA"/>
        </w:rPr>
        <w:tab/>
      </w:r>
      <w:r w:rsidR="00A346C6">
        <w:rPr>
          <w:lang w:val="sr-Latn-BA"/>
        </w:rPr>
        <w:tab/>
      </w:r>
      <w:r>
        <w:rPr>
          <w:lang w:val="sr-Latn-BA"/>
        </w:rPr>
        <w:t>Tokom izrade modela za određivanje vjerovatnoće bankrota banaka koristilo smo 15 finansijskih indikatora, a najbolje karakteristike je pokazao model u kojem se kao zavisne varijable pojavljuju: povrat na akcijski kapital (PAK), implicitna kamatna stopa (IAKS), neto kamatna margina (NKM), koeficijent obrta aktive (KOA) i intenzitet kredita (IKRE)</w:t>
      </w:r>
      <w:r>
        <w:rPr>
          <w:lang/>
        </w:rPr>
        <w:t xml:space="preserve">. </w:t>
      </w:r>
      <w:r>
        <w:t>Sve</w:t>
      </w:r>
      <w:r>
        <w:rPr>
          <w:lang/>
        </w:rPr>
        <w:t xml:space="preserve"> </w:t>
      </w:r>
      <w:r>
        <w:t>ove</w:t>
      </w:r>
      <w:r>
        <w:rPr>
          <w:lang/>
        </w:rPr>
        <w:t xml:space="preserve"> </w:t>
      </w:r>
      <w:r>
        <w:t>varijable</w:t>
      </w:r>
      <w:r>
        <w:rPr>
          <w:lang/>
        </w:rPr>
        <w:t xml:space="preserve"> </w:t>
      </w:r>
      <w:r>
        <w:t>su</w:t>
      </w:r>
      <w:r>
        <w:rPr>
          <w:lang/>
        </w:rPr>
        <w:t xml:space="preserve"> </w:t>
      </w:r>
      <w:r>
        <w:t>visoko</w:t>
      </w:r>
      <w:r>
        <w:rPr>
          <w:lang/>
        </w:rPr>
        <w:t xml:space="preserve"> </w:t>
      </w:r>
      <w:r>
        <w:t>signifikantne</w:t>
      </w:r>
      <w:r>
        <w:rPr>
          <w:lang/>
        </w:rPr>
        <w:t xml:space="preserve">, </w:t>
      </w:r>
      <w:r>
        <w:t>na</w:t>
      </w:r>
      <w:r>
        <w:rPr>
          <w:lang/>
        </w:rPr>
        <w:t xml:space="preserve"> </w:t>
      </w:r>
      <w:r>
        <w:t>nivou</w:t>
      </w:r>
      <w:r>
        <w:rPr>
          <w:lang/>
        </w:rPr>
        <w:t xml:space="preserve"> </w:t>
      </w:r>
      <w:r>
        <w:t>zna</w:t>
      </w:r>
      <w:r>
        <w:rPr>
          <w:lang/>
        </w:rPr>
        <w:t>č</w:t>
      </w:r>
      <w:r>
        <w:t>ajnosti</w:t>
      </w:r>
      <w:r>
        <w:rPr>
          <w:lang/>
        </w:rPr>
        <w:t xml:space="preserve"> </w:t>
      </w:r>
      <w:r>
        <w:t>od</w:t>
      </w:r>
      <w:r>
        <w:rPr>
          <w:lang/>
        </w:rPr>
        <w:t xml:space="preserve"> 1% </w:t>
      </w:r>
      <w:r>
        <w:t>ili</w:t>
      </w:r>
      <w:r>
        <w:rPr>
          <w:lang/>
        </w:rPr>
        <w:t xml:space="preserve"> 5%, </w:t>
      </w:r>
      <w:r>
        <w:t>a</w:t>
      </w:r>
      <w:r>
        <w:rPr>
          <w:lang/>
        </w:rPr>
        <w:t xml:space="preserve"> </w:t>
      </w:r>
      <w:r>
        <w:t>obja</w:t>
      </w:r>
      <w:r>
        <w:rPr>
          <w:lang w:val="sr-Latn-BA"/>
        </w:rPr>
        <w:t xml:space="preserve">šnjavajuća moć modela, mjerena sa koeficijentom determinacije </w:t>
      </w:r>
      <w:r>
        <w:rPr>
          <w:lang/>
        </w:rPr>
        <w:t xml:space="preserve">је izuzetno visoka </w:t>
      </w:r>
      <w:r>
        <w:rPr>
          <w:lang w:val="sr-Latn-BA"/>
        </w:rPr>
        <w:t>0,97</w:t>
      </w:r>
      <w:r>
        <w:rPr>
          <w:lang/>
        </w:rPr>
        <w:t>. Znak regre</w:t>
      </w:r>
      <w:r>
        <w:rPr>
          <w:lang w:val="sr-Latn-BA"/>
        </w:rPr>
        <w:t>s</w:t>
      </w:r>
      <w:r>
        <w:rPr>
          <w:lang/>
        </w:rPr>
        <w:t xml:space="preserve">ora je </w:t>
      </w:r>
      <w:r>
        <w:rPr>
          <w:lang w:val="sr-Latn-BA"/>
        </w:rPr>
        <w:t>u</w:t>
      </w:r>
      <w:r>
        <w:rPr>
          <w:lang/>
        </w:rPr>
        <w:t xml:space="preserve"> skladu sa ekonomskom teorijom, ali zahtjeva i dodatna tum</w:t>
      </w:r>
      <w:r>
        <w:rPr>
          <w:lang w:val="sr-Latn-BA"/>
        </w:rPr>
        <w:t>a</w:t>
      </w:r>
      <w:r>
        <w:rPr>
          <w:lang/>
        </w:rPr>
        <w:t>čenja.</w:t>
      </w:r>
      <w:r>
        <w:rPr>
          <w:lang w:val="sr-Latn-BA"/>
        </w:rPr>
        <w:t xml:space="preserve"> Visina PAK je pouzdan predznak neuspjeha, ima negativan znak, njegov rast smanjuje vjerovatnoću neuspjeha i obratno, ali njegova vrijednost je izuzetno malena - rast PAK za 1 p.p. smanjuje vjerovatnoću neuspjeha za 0,018 p.p. Znak IAKS je takođe inverzan, ali mnogo jače utiče na vjerovatnoću neuspjeha; rast IAKS za 1 p.p. smanjuje vjerovatnoću neuspjeha za 0,658 p.p. Uticaj NKM na vjerovatnoću neuspjeha je takođe izuzetno jak. Ako se NKM poveća za 1.p.p. vjerovatnoća neuspjeha raste za 0,35 p.p. što implikuje zaključak, koji je u praksi davno izolovan, da loše banke rade sa višim kamatnim marginama. Pozitivna i jaka veza između regresora KOA i vjerovatnoće neuspjeha banaka je u djelimičnoj suprotnosti sa inverznim uticajem IAKS na vjerovatnoću neuspjeha, ali to se može objasniti činjenicom da loše banke, koje doživljavaju neuspjeh, imaju sam fiktivno iznadprosječne ukupne prihoda, a da je njihov veliki dio nenaplativ. Uticaj IKRE na vjerovatnoću neuspjeha je negativan čemu bi se moglo prigovoriti, ali se on može i opravdati uticajem kreditne aktivnosti na kamatne prihode i indirektno na rentabilnost. Međutim vrijednost ovoga koeficijenta, iako mu je znak upitan, je izuzetno niska; za svaki procentni poen promjene IKRE vjerovatnoća neuspjeha se smanji za svega 0,011 p.p.</w:t>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Pr>
          <w:lang w:val="sr-Latn-BA"/>
        </w:rPr>
        <w:t xml:space="preserve">Za 2014. godinu model perfektno prognozira vjerovatnoću neuspjeha. Svim bankama koje redovno posluju dodjeljena je vjerovatnoća neuspjeha koja konvergira nuli, a četiri banke koje su doživjele neuspjeh (BLKB, BBRB, PIBB i KRLB) imaju vjerovatnoću neuspjeha iznad 0,5, što je granica koja djeli banke na one koje bi trebale doživjti neuspjeh i na one koje ne bi. </w:t>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Pr>
          <w:lang w:val="sr-Latn-BA"/>
        </w:rPr>
        <w:t xml:space="preserve">U konstruisan model smo unijeli indikatore performansi banaka za 2014. godinu, da bi odredili vjerovatnoću neuspjeha banaka u 2015. godine. Za sedam banaka model je dao tačnu prognozu vjerovatnoće neuspjeha, a za dvije pogrešnu. Model je prognozirao neuspjeh PIBB, a do njega prema raspoloživim informacijama nije došlo, isto kao što KRLB nije doživjela neuspjeh, a model joj je dodijelio vjerovatnoću neuspjeha od 0,63. Neuspjeh jedine banke koja ga je zaista doživala, BLKB, je dobro prognoziran, jer je ova banka odbila da tokom 2015. godine investicionoj zajednici, preko Banjalučke berze AD Banjaluka, stavi na uvid svoje revidirane finansijske izvještaje za 12/2014. godine što je dovelo do zaustavljanja trgovine sa akcijama ove banke. Nedostavljanje revidiranih finansijskih izvještaja smo protumačili kao indirektno priznanje lošeg poslovanja, koje se izjednačava sa neuspjehom u bilansno-finansijskom smislu.  </w:t>
      </w:r>
      <w:bookmarkStart w:id="0" w:name="_GoBack"/>
      <w:bookmarkEnd w:id="0"/>
      <w:r>
        <w:rPr>
          <w:lang w:val="sr-Latn-BA"/>
        </w:rPr>
        <w:t xml:space="preserve">U međuvremenu, u banku je </w:t>
      </w:r>
      <w:r>
        <w:rPr>
          <w:lang w:val="sr-Latn-BA"/>
        </w:rPr>
        <w:lastRenderedPageBreak/>
        <w:t>uvedena prin</w:t>
      </w:r>
      <w:r w:rsidR="00A346C6">
        <w:rPr>
          <w:lang w:val="sr-Latn-BA"/>
        </w:rPr>
        <w:t xml:space="preserve">udna uprava (11/2015. godine). </w:t>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Pr>
          <w:lang w:val="sr-Latn-BA"/>
        </w:rPr>
        <w:t xml:space="preserve">Ovo istraživanje predstavlja pionirski korak u izgradnji sistema ranog upozoravanja (eng. </w:t>
      </w:r>
      <w:r w:rsidRPr="00A346C6">
        <w:rPr>
          <w:i/>
          <w:lang w:val="sr-Latn-BA"/>
        </w:rPr>
        <w:t>early warning system</w:t>
      </w:r>
      <w:r>
        <w:rPr>
          <w:lang w:val="sr-Latn-BA"/>
        </w:rPr>
        <w:t>) u BSBiH, a na osnovu linearnog modela vjerovatnoće i binomnih modela.</w:t>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sidR="00A346C6">
        <w:rPr>
          <w:lang w:val="sr-Latn-BA"/>
        </w:rPr>
        <w:tab/>
      </w:r>
      <w:r>
        <w:rPr>
          <w:lang w:val="sr-Latn-BA"/>
        </w:rPr>
        <w:t xml:space="preserve">Dalja istraživanja ove temu bi trebala ići u pravcu primjene logit i probit modela određivanja vjeravatnoće neuspjeha banaka, što podrazumjeva upotrebu većeg uzorka be-ha banaka, upotrebu podataka sa većom frekvencijom (kvartalni) i dopunu ili izmjenu definicije neuspjeha banaka. </w:t>
      </w:r>
    </w:p>
    <w:p w:rsidR="00F9552F" w:rsidRDefault="00F9552F" w:rsidP="00F9552F">
      <w:pPr>
        <w:rPr>
          <w:sz w:val="20"/>
          <w:szCs w:val="20"/>
          <w:lang w:val="sr-Latn-BA"/>
        </w:rPr>
      </w:pPr>
      <w:r>
        <w:rPr>
          <w:sz w:val="20"/>
          <w:szCs w:val="20"/>
          <w:lang w:val="sr-Latn-BA"/>
        </w:rPr>
        <w:t xml:space="preserve"> </w:t>
      </w:r>
    </w:p>
    <w:p w:rsidR="0096748B" w:rsidRDefault="0096748B" w:rsidP="00F9552F">
      <w:pPr>
        <w:rPr>
          <w:sz w:val="20"/>
          <w:szCs w:val="20"/>
          <w:lang w:val="sr-Latn-BA"/>
        </w:rPr>
      </w:pPr>
    </w:p>
    <w:p w:rsidR="00F9552F" w:rsidRDefault="00A346C6" w:rsidP="0096748B">
      <w:pPr>
        <w:jc w:val="center"/>
        <w:rPr>
          <w:b/>
        </w:rPr>
      </w:pPr>
      <w:r>
        <w:rPr>
          <w:b/>
        </w:rPr>
        <w:t>LITERATURA</w:t>
      </w:r>
    </w:p>
    <w:p w:rsidR="00A346C6" w:rsidRDefault="00A346C6" w:rsidP="00A346C6">
      <w:pPr>
        <w:pStyle w:val="NoSpacing"/>
      </w:pPr>
    </w:p>
    <w:p w:rsidR="00F9552F" w:rsidRDefault="00F9552F" w:rsidP="00A346C6">
      <w:pPr>
        <w:pStyle w:val="NoSpacing"/>
        <w:numPr>
          <w:ilvl w:val="0"/>
          <w:numId w:val="10"/>
        </w:numPr>
      </w:pPr>
      <w:r>
        <w:t xml:space="preserve">Heyliger, Wilton E. and Holdren, Don P. 1991.“Predicting Small Bank Failure.” </w:t>
      </w:r>
      <w:r>
        <w:rPr>
          <w:i/>
          <w:iCs/>
        </w:rPr>
        <w:t>Journal of Small Business Finance</w:t>
      </w:r>
      <w:r>
        <w:t>, vol. 1: iss. 2: 125-140.</w:t>
      </w:r>
    </w:p>
    <w:p w:rsidR="00F9552F" w:rsidRDefault="00F9552F" w:rsidP="00A346C6">
      <w:pPr>
        <w:pStyle w:val="NoSpacing"/>
        <w:numPr>
          <w:ilvl w:val="0"/>
          <w:numId w:val="10"/>
        </w:numPr>
      </w:pPr>
      <w:r>
        <w:t>Khalafalla Ahmed Mohamed Arabi. 2013. ”Predicting Banks failure”</w:t>
      </w:r>
      <w:r>
        <w:rPr>
          <w:lang w:val="sr-Latn-BA"/>
        </w:rPr>
        <w:t>: The Case of Banking Sector of Sudan for the Period (2002 – 2009).</w:t>
      </w:r>
      <w:r>
        <w:t xml:space="preserve">” </w:t>
      </w:r>
      <w:r>
        <w:rPr>
          <w:i/>
        </w:rPr>
        <w:t>Journal of Business Studies Quarterly</w:t>
      </w:r>
      <w:r>
        <w:t>, Volume 4, Number 3: 160 – 172.</w:t>
      </w:r>
    </w:p>
    <w:p w:rsidR="00F9552F" w:rsidRDefault="00F9552F" w:rsidP="00A346C6">
      <w:pPr>
        <w:pStyle w:val="NoSpacing"/>
        <w:numPr>
          <w:ilvl w:val="0"/>
          <w:numId w:val="10"/>
        </w:numPr>
        <w:rPr>
          <w:lang w:val="sr-Latn-BA"/>
        </w:rPr>
      </w:pPr>
      <w:r>
        <w:t xml:space="preserve">Cole, Rebel A, and Qiongbing Wu. 2009. “Is hazard or probit more accurate in predicting financial distress? Evidence from U.S. bank failures.” </w:t>
      </w:r>
      <w:r>
        <w:rPr>
          <w:i/>
        </w:rPr>
        <w:t xml:space="preserve">MPRA Paper </w:t>
      </w:r>
      <w:r>
        <w:t>No. 29182.</w:t>
      </w:r>
    </w:p>
    <w:p w:rsidR="00F9552F" w:rsidRDefault="00F9552F" w:rsidP="00A346C6">
      <w:pPr>
        <w:pStyle w:val="NoSpacing"/>
        <w:numPr>
          <w:ilvl w:val="0"/>
          <w:numId w:val="10"/>
        </w:numPr>
        <w:rPr>
          <w:lang w:val="sr-Latn-BA"/>
        </w:rPr>
      </w:pPr>
      <w:r>
        <w:t>Demyanuk, Yulia and Hasan Iftekhar. 2009. “Financial crises and bank failures</w:t>
      </w:r>
      <w:r>
        <w:rPr>
          <w:lang w:val="sr-Latn-BA"/>
        </w:rPr>
        <w:t xml:space="preserve">: a review of prediction methodes.“ </w:t>
      </w:r>
      <w:r>
        <w:rPr>
          <w:i/>
          <w:lang w:val="sr-Latn-BA"/>
        </w:rPr>
        <w:t>Bank of Finland Research Discussion Papers</w:t>
      </w:r>
      <w:r>
        <w:rPr>
          <w:lang w:val="sr-Latn-BA"/>
        </w:rPr>
        <w:t xml:space="preserve">, No. 35. </w:t>
      </w:r>
    </w:p>
    <w:p w:rsidR="00F9552F" w:rsidRDefault="00F9552F" w:rsidP="00A346C6">
      <w:pPr>
        <w:pStyle w:val="NoSpacing"/>
        <w:numPr>
          <w:ilvl w:val="0"/>
          <w:numId w:val="10"/>
        </w:numPr>
        <w:rPr>
          <w:lang w:val="sr-Latn-BA"/>
        </w:rPr>
      </w:pPr>
      <w:r>
        <w:rPr>
          <w:lang w:val="sr-Latn-BA"/>
        </w:rPr>
        <w:t xml:space="preserve">Unavan, Yuksel Anvan and Huseyin Tatlidl. 2013. “A comparative analysis of Turkish bank failures using logit, probit and discriminant models.“ </w:t>
      </w:r>
      <w:r>
        <w:rPr>
          <w:i/>
        </w:rPr>
        <w:t>Asia Life Science</w:t>
      </w:r>
      <w:r>
        <w:t xml:space="preserve"> 22 (1)</w:t>
      </w:r>
      <w:r>
        <w:rPr>
          <w:lang w:val="sr-Latn-BA"/>
        </w:rPr>
        <w:t>: 281-302.</w:t>
      </w:r>
    </w:p>
    <w:p w:rsidR="00F9552F" w:rsidRDefault="00F9552F" w:rsidP="00A346C6">
      <w:pPr>
        <w:pStyle w:val="NoSpacing"/>
        <w:numPr>
          <w:ilvl w:val="0"/>
          <w:numId w:val="10"/>
        </w:numPr>
        <w:rPr>
          <w:lang w:val="sr-Latn-BA"/>
        </w:rPr>
      </w:pPr>
      <w:r>
        <w:rPr>
          <w:lang w:val="sr-Latn-BA"/>
        </w:rPr>
        <w:t xml:space="preserve">Hauser, Richard P. and David, Booth. 2011. “Predicting Bancruptcy with Robust Logistic Regression.“ </w:t>
      </w:r>
      <w:r>
        <w:rPr>
          <w:i/>
          <w:lang w:val="sr-Latn-BA"/>
        </w:rPr>
        <w:t>Journal of Data Science</w:t>
      </w:r>
      <w:r>
        <w:rPr>
          <w:lang w:val="sr-Latn-BA"/>
        </w:rPr>
        <w:t xml:space="preserve"> No. 9: 565 – 584. </w:t>
      </w:r>
    </w:p>
    <w:p w:rsidR="00F9552F" w:rsidRDefault="00F9552F" w:rsidP="00A346C6">
      <w:pPr>
        <w:pStyle w:val="NoSpacing"/>
        <w:numPr>
          <w:ilvl w:val="0"/>
          <w:numId w:val="10"/>
        </w:numPr>
        <w:rPr>
          <w:lang w:val="sr-Latn-BA"/>
        </w:rPr>
      </w:pPr>
      <w:r>
        <w:t>Tatom John (2012) “Predicting Failure in the Commercial Bank Industry” Munchin Personal RePEc Archive</w:t>
      </w:r>
    </w:p>
    <w:p w:rsidR="00F9552F" w:rsidRDefault="00F9552F" w:rsidP="00A346C6">
      <w:pPr>
        <w:pStyle w:val="NoSpacing"/>
        <w:numPr>
          <w:ilvl w:val="0"/>
          <w:numId w:val="10"/>
        </w:numPr>
        <w:rPr>
          <w:lang w:val="sr-Latn-BA"/>
        </w:rPr>
      </w:pPr>
      <w:r>
        <w:rPr>
          <w:lang w:val="sr-Latn-BA"/>
        </w:rPr>
        <w:t xml:space="preserve">Liu Ting Kun. 2010. “An Empirical Study of Firms’ Merger Motivations and Synergy from Taiwanese Banking Industry.” </w:t>
      </w:r>
      <w:r>
        <w:rPr>
          <w:i/>
          <w:lang w:val="sr-Latn-BA"/>
        </w:rPr>
        <w:t xml:space="preserve">International Research Journal of Finance and Economics </w:t>
      </w:r>
      <w:r>
        <w:rPr>
          <w:lang w:val="sr-Latn-BA"/>
        </w:rPr>
        <w:t>No. 38: 13-27.</w:t>
      </w:r>
    </w:p>
    <w:p w:rsidR="00F9552F" w:rsidRDefault="00F9552F" w:rsidP="00A346C6">
      <w:pPr>
        <w:pStyle w:val="NoSpacing"/>
        <w:numPr>
          <w:ilvl w:val="0"/>
          <w:numId w:val="10"/>
        </w:numPr>
        <w:rPr>
          <w:lang w:val="en-US"/>
        </w:rPr>
      </w:pPr>
      <w:r w:rsidRPr="00A346C6">
        <w:rPr>
          <w:lang w:val="de-AT"/>
        </w:rPr>
        <w:t xml:space="preserve">Shen Chung –Hue Meng Fen Hsieh. </w:t>
      </w:r>
      <w:r>
        <w:t xml:space="preserve">2004. “Prediction of Bank Failure Using Combined Micro and Macro Data” </w:t>
      </w:r>
      <w:r>
        <w:rPr>
          <w:i/>
        </w:rPr>
        <w:t>National Chengchi University</w:t>
      </w:r>
      <w:r>
        <w:t xml:space="preserve">. </w:t>
      </w:r>
    </w:p>
    <w:p w:rsidR="00F9552F" w:rsidRDefault="00F9552F" w:rsidP="00A346C6">
      <w:pPr>
        <w:pStyle w:val="NoSpacing"/>
        <w:numPr>
          <w:ilvl w:val="0"/>
          <w:numId w:val="10"/>
        </w:numPr>
      </w:pPr>
      <w:r>
        <w:t>Tatom, John and Houston Reza. 2011. “Predicting Failure in the Commercial Bank Industry.</w:t>
      </w:r>
      <w:r>
        <w:rPr>
          <w:i/>
        </w:rPr>
        <w:t>”Networks Financial Institute”Working Paper No. 2011-WP-27.</w:t>
      </w:r>
    </w:p>
    <w:p w:rsidR="00F9552F" w:rsidRDefault="00F9552F" w:rsidP="00A346C6">
      <w:pPr>
        <w:pStyle w:val="NoSpacing"/>
        <w:numPr>
          <w:ilvl w:val="0"/>
          <w:numId w:val="10"/>
        </w:numPr>
        <w:rPr>
          <w:lang w:val="sr-Latn-BA"/>
        </w:rPr>
      </w:pPr>
      <w:r>
        <w:t xml:space="preserve">“Predicting Failure in the Commercial Bank Industry” Olaniya, TA. 2006. “Bankruptcy Prediction through Financial Strength Analysis: a case study of Trade Bank PLC.” </w:t>
      </w:r>
      <w:r>
        <w:rPr>
          <w:i/>
        </w:rPr>
        <w:t>The Journal of Department of Business Administration University of Ilorin Nigeria</w:t>
      </w:r>
      <w:r>
        <w:t xml:space="preserve"> Vol. 5 No. 1: 105-110. </w:t>
      </w:r>
    </w:p>
    <w:p w:rsidR="00F9552F" w:rsidRDefault="00F9552F" w:rsidP="00A346C6">
      <w:pPr>
        <w:pStyle w:val="NoSpacing"/>
        <w:numPr>
          <w:ilvl w:val="0"/>
          <w:numId w:val="10"/>
        </w:numPr>
        <w:rPr>
          <w:lang w:val="sr-Cyrl-CS"/>
        </w:rPr>
      </w:pPr>
      <w:r>
        <w:rPr>
          <w:lang w:val="sr-Latn-CS"/>
        </w:rPr>
        <w:t>Jović, Dragan.</w:t>
      </w:r>
      <w:r>
        <w:rPr>
          <w:lang w:val="sr-Cyrl-CS"/>
        </w:rPr>
        <w:t xml:space="preserve"> </w:t>
      </w:r>
      <w:r>
        <w:t xml:space="preserve">2013. </w:t>
      </w:r>
      <w:r>
        <w:rPr>
          <w:lang w:val="sr-Latn-CS"/>
        </w:rPr>
        <w:t>“</w:t>
      </w:r>
      <w:r>
        <w:rPr>
          <w:lang w:val="sr-Cyrl-BA"/>
        </w:rPr>
        <w:t xml:space="preserve">Drugi stub Bazela </w:t>
      </w:r>
      <w:r>
        <w:rPr>
          <w:lang w:val="sr-Latn-BA"/>
        </w:rPr>
        <w:t>II</w:t>
      </w:r>
      <w:r>
        <w:rPr>
          <w:lang w:val="sr-Cyrl-CS"/>
        </w:rPr>
        <w:t xml:space="preserve"> </w:t>
      </w:r>
      <w:r>
        <w:rPr>
          <w:lang w:val="sr-Cyrl-BA"/>
        </w:rPr>
        <w:t>i domaća regulacija</w:t>
      </w:r>
      <w:r>
        <w:rPr>
          <w:lang w:val="sr-Latn-BA"/>
        </w:rPr>
        <w:t>.</w:t>
      </w:r>
      <w:r>
        <w:rPr>
          <w:bCs/>
        </w:rPr>
        <w:t>”</w:t>
      </w:r>
      <w:r>
        <w:rPr>
          <w:lang w:val="sr-Cyrl-BA"/>
        </w:rPr>
        <w:t xml:space="preserve"> </w:t>
      </w:r>
      <w:r>
        <w:rPr>
          <w:i/>
          <w:lang w:val="sr-Cyrl-BA"/>
        </w:rPr>
        <w:t>Banke u BiH</w:t>
      </w:r>
      <w:r>
        <w:rPr>
          <w:lang w:val="sr-Latn-BA"/>
        </w:rPr>
        <w:t xml:space="preserve"> No. 150 God. XV: 30-35. </w:t>
      </w:r>
    </w:p>
    <w:p w:rsidR="00F9552F" w:rsidRDefault="00F9552F" w:rsidP="00A346C6">
      <w:pPr>
        <w:pStyle w:val="NoSpacing"/>
        <w:numPr>
          <w:ilvl w:val="0"/>
          <w:numId w:val="10"/>
        </w:numPr>
        <w:rPr>
          <w:lang w:val="sr-Cyrl-CS"/>
        </w:rPr>
      </w:pPr>
      <w:r>
        <w:rPr>
          <w:lang w:val="sr-Latn-BA"/>
        </w:rPr>
        <w:lastRenderedPageBreak/>
        <w:t>Krunić, Gorana</w:t>
      </w:r>
      <w:r>
        <w:rPr>
          <w:lang w:val="sr-Cyrl-CS"/>
        </w:rPr>
        <w:t>.</w:t>
      </w:r>
      <w:r>
        <w:t xml:space="preserve"> 2015.</w:t>
      </w:r>
      <w:r>
        <w:rPr>
          <w:lang w:val="sr-Latn-CS"/>
        </w:rPr>
        <w:t>“</w:t>
      </w:r>
      <w:r>
        <w:rPr>
          <w:bCs/>
          <w:lang/>
        </w:rPr>
        <w:t xml:space="preserve"> </w:t>
      </w:r>
      <w:r>
        <w:rPr>
          <w:lang w:val="sr-Latn-BA"/>
        </w:rPr>
        <w:t>Uzrok propasti Balkan Investment Banke i Bobar banke</w:t>
      </w:r>
      <w:r>
        <w:rPr>
          <w:bCs/>
        </w:rPr>
        <w:t>”</w:t>
      </w:r>
      <w:r>
        <w:rPr>
          <w:lang w:val="sr-Latn-BA"/>
        </w:rPr>
        <w:t>.</w:t>
      </w:r>
      <w:r>
        <w:rPr>
          <w:iCs/>
          <w:lang w:val="sr-Latn-BA"/>
        </w:rPr>
        <w:t xml:space="preserve"> </w:t>
      </w:r>
      <w:r>
        <w:rPr>
          <w:i/>
          <w:iCs/>
          <w:lang w:val="sr-Latn-BA"/>
        </w:rPr>
        <w:t>Banke u BiH</w:t>
      </w:r>
      <w:r>
        <w:rPr>
          <w:i/>
          <w:iCs/>
          <w:lang w:val="sr-Cyrl-BA"/>
        </w:rPr>
        <w:t>.</w:t>
      </w:r>
      <w:r>
        <w:rPr>
          <w:lang w:val="sr-Cyrl-BA"/>
        </w:rPr>
        <w:t xml:space="preserve"> </w:t>
      </w:r>
      <w:r>
        <w:rPr>
          <w:lang w:val="sr-Latn-BA"/>
        </w:rPr>
        <w:t>No</w:t>
      </w:r>
      <w:r>
        <w:rPr>
          <w:lang w:val="sr-Cyrl-BA"/>
        </w:rPr>
        <w:t>.</w:t>
      </w:r>
      <w:r>
        <w:rPr>
          <w:lang w:val="sr-Cyrl-CS"/>
        </w:rPr>
        <w:t xml:space="preserve"> 1</w:t>
      </w:r>
      <w:r>
        <w:rPr>
          <w:lang w:val="sr-Latn-BA"/>
        </w:rPr>
        <w:t>63</w:t>
      </w:r>
      <w:r>
        <w:rPr>
          <w:lang w:val="sr-Cyrl-CS"/>
        </w:rPr>
        <w:t xml:space="preserve"> </w:t>
      </w:r>
      <w:r>
        <w:rPr>
          <w:lang w:val="sr-Latn-BA"/>
        </w:rPr>
        <w:t>God</w:t>
      </w:r>
      <w:r>
        <w:rPr>
          <w:lang w:val="sr-Cyrl-CS"/>
        </w:rPr>
        <w:t xml:space="preserve">. </w:t>
      </w:r>
      <w:r>
        <w:rPr>
          <w:lang w:val="sr-Latn-CS"/>
        </w:rPr>
        <w:t>X</w:t>
      </w:r>
      <w:r>
        <w:t>VII</w:t>
      </w:r>
      <w:r>
        <w:rPr>
          <w:lang w:val="sr-Latn-CS"/>
        </w:rPr>
        <w:t xml:space="preserve">: </w:t>
      </w:r>
      <w:r>
        <w:rPr>
          <w:lang w:val="sr-Latn-BA"/>
        </w:rPr>
        <w:t>13</w:t>
      </w:r>
      <w:r>
        <w:rPr>
          <w:lang w:val="sr-Latn-CS"/>
        </w:rPr>
        <w:t>-</w:t>
      </w:r>
      <w:r>
        <w:rPr>
          <w:lang w:val="sr-Latn-BA"/>
        </w:rPr>
        <w:t>17</w:t>
      </w:r>
      <w:r>
        <w:rPr>
          <w:lang w:val="sr-Latn-CS"/>
        </w:rPr>
        <w:t>.</w:t>
      </w:r>
      <w:r>
        <w:rPr>
          <w:lang w:val="sr-Cyrl-CS"/>
        </w:rPr>
        <w:t xml:space="preserve"> </w:t>
      </w:r>
    </w:p>
    <w:p w:rsidR="00F9552F" w:rsidRDefault="00F9552F" w:rsidP="00A346C6">
      <w:pPr>
        <w:pStyle w:val="NoSpacing"/>
        <w:numPr>
          <w:ilvl w:val="0"/>
          <w:numId w:val="10"/>
        </w:numPr>
        <w:rPr>
          <w:lang w:val="en-US"/>
        </w:rPr>
      </w:pPr>
      <w:r>
        <w:rPr>
          <w:lang w:val="sr-Latn-BA"/>
        </w:rPr>
        <w:t>Vilen, Markus. (2010). Predicting Failures of Large US Commercial Banks. Master</w:t>
      </w:r>
      <w:r>
        <w:t xml:space="preserve">” thesis. </w:t>
      </w:r>
      <w:r>
        <w:rPr>
          <w:i/>
        </w:rPr>
        <w:t>Aalto University, School of Economics, Department of Economics.</w:t>
      </w:r>
      <w:r>
        <w:t xml:space="preserve"> </w:t>
      </w:r>
    </w:p>
    <w:p w:rsidR="00F9552F" w:rsidRDefault="00F9552F" w:rsidP="00A346C6">
      <w:pPr>
        <w:pStyle w:val="NoSpacing"/>
        <w:numPr>
          <w:ilvl w:val="0"/>
          <w:numId w:val="10"/>
        </w:numPr>
      </w:pPr>
      <w:r>
        <w:t>Mayes, David G. and Stremmel, Hanno. 2014. “The Effectiveness of Capital Adequacy Measures in Predicting Bank Distress”.</w:t>
      </w:r>
      <w:r>
        <w:rPr>
          <w:i/>
        </w:rPr>
        <w:t xml:space="preserve"> </w:t>
      </w:r>
      <w:hyperlink r:id="rId12" w:history="1">
        <w:r>
          <w:rPr>
            <w:rStyle w:val="Hyperlink"/>
            <w:i/>
            <w:sz w:val="22"/>
            <w:szCs w:val="22"/>
          </w:rPr>
          <w:t>The European Money and Finance Forum</w:t>
        </w:r>
      </w:hyperlink>
      <w:r>
        <w:rPr>
          <w:i/>
        </w:rPr>
        <w:t>.</w:t>
      </w:r>
    </w:p>
    <w:p w:rsidR="00F9552F" w:rsidRDefault="00F9552F" w:rsidP="00F439F9">
      <w:pPr>
        <w:pStyle w:val="NoSpacing"/>
        <w:numPr>
          <w:ilvl w:val="0"/>
          <w:numId w:val="10"/>
        </w:numPr>
      </w:pPr>
      <w:r>
        <w:t xml:space="preserve">Agencija za bankarstvo Republike Srpske. (2014). </w:t>
      </w:r>
      <w:r w:rsidRPr="00F439F9">
        <w:rPr>
          <w:i/>
          <w:iCs/>
        </w:rPr>
        <w:t>Skraćeni izvještaji vanjskih revizora o finansijskim pokazateljima banaka u Republici Srpskoj za 2014. godinu.</w:t>
      </w:r>
      <w:r>
        <w:t xml:space="preserve"> </w:t>
      </w:r>
      <w:hyperlink r:id="rId13" w:history="1">
        <w:r w:rsidRPr="00F439F9">
          <w:rPr>
            <w:rStyle w:val="Hyperlink"/>
            <w:rFonts w:eastAsiaTheme="majorEastAsia"/>
            <w:sz w:val="22"/>
            <w:szCs w:val="22"/>
          </w:rPr>
          <w:t>www.abrs.ba</w:t>
        </w:r>
      </w:hyperlink>
      <w:r>
        <w:t xml:space="preserve">. (pristupljeno 25.09.2015. g.). Agencija za bankarstvo Republike Srpske. (2013). </w:t>
      </w:r>
      <w:r w:rsidRPr="00F439F9">
        <w:rPr>
          <w:i/>
          <w:iCs/>
        </w:rPr>
        <w:t>Skraćeni izvještaji vanjskih revizora o finansijskim pokazateljima banaka u Republici Srpskoj za 2013. godinu.</w:t>
      </w:r>
      <w:r>
        <w:t xml:space="preserve"> </w:t>
      </w:r>
      <w:hyperlink r:id="rId14" w:history="1">
        <w:r w:rsidRPr="00F439F9">
          <w:rPr>
            <w:rStyle w:val="Hyperlink"/>
            <w:rFonts w:eastAsiaTheme="majorEastAsia"/>
            <w:sz w:val="22"/>
            <w:szCs w:val="22"/>
          </w:rPr>
          <w:t>www.abrs.ba</w:t>
        </w:r>
      </w:hyperlink>
      <w:r w:rsidR="00A346C6">
        <w:t>. (pristupljeno 25.09.2015</w:t>
      </w:r>
      <w:r>
        <w:t xml:space="preserve">). </w:t>
      </w:r>
    </w:p>
    <w:sectPr w:rsidR="00F9552F" w:rsidSect="008B2625">
      <w:headerReference w:type="even" r:id="rId15"/>
      <w:headerReference w:type="default" r:id="rId16"/>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908" w:rsidRDefault="00B17908" w:rsidP="00D3231E">
      <w:pPr>
        <w:spacing w:before="0"/>
      </w:pPr>
      <w:r>
        <w:separator/>
      </w:r>
    </w:p>
  </w:endnote>
  <w:endnote w:type="continuationSeparator" w:id="0">
    <w:p w:rsidR="00B17908" w:rsidRDefault="00B17908"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908" w:rsidRDefault="00B17908" w:rsidP="00D3231E">
      <w:pPr>
        <w:spacing w:before="0"/>
      </w:pPr>
      <w:r>
        <w:separator/>
      </w:r>
    </w:p>
  </w:footnote>
  <w:footnote w:type="continuationSeparator" w:id="0">
    <w:p w:rsidR="00B17908" w:rsidRDefault="00B17908" w:rsidP="00D3231E">
      <w:pPr>
        <w:spacing w:before="0"/>
      </w:pPr>
      <w:r>
        <w:continuationSeparator/>
      </w:r>
    </w:p>
  </w:footnote>
  <w:footnote w:id="1">
    <w:p w:rsidR="00155E30" w:rsidRDefault="00155E30" w:rsidP="00B65CFE">
      <w:pPr>
        <w:jc w:val="left"/>
        <w:rPr>
          <w:i/>
          <w:sz w:val="22"/>
          <w:szCs w:val="22"/>
        </w:rPr>
      </w:pPr>
      <w:r w:rsidRPr="003D0620">
        <w:rPr>
          <w:i/>
          <w:sz w:val="22"/>
          <w:szCs w:val="22"/>
        </w:rPr>
        <w:t>Primljeno: 2</w:t>
      </w:r>
      <w:r>
        <w:rPr>
          <w:i/>
          <w:sz w:val="22"/>
          <w:szCs w:val="22"/>
        </w:rPr>
        <w:t>4</w:t>
      </w:r>
      <w:r w:rsidRPr="003D0620">
        <w:rPr>
          <w:i/>
          <w:sz w:val="22"/>
          <w:szCs w:val="22"/>
        </w:rPr>
        <w:t>.</w:t>
      </w:r>
      <w:r>
        <w:rPr>
          <w:i/>
          <w:sz w:val="22"/>
          <w:szCs w:val="22"/>
        </w:rPr>
        <w:t>02.2016; Prihvaćeno:10</w:t>
      </w:r>
      <w:r w:rsidRPr="003D0620">
        <w:rPr>
          <w:i/>
          <w:sz w:val="22"/>
          <w:szCs w:val="22"/>
        </w:rPr>
        <w:t>.0</w:t>
      </w:r>
      <w:r>
        <w:rPr>
          <w:i/>
          <w:sz w:val="22"/>
          <w:szCs w:val="22"/>
        </w:rPr>
        <w:t>4</w:t>
      </w:r>
      <w:r w:rsidRPr="003D0620">
        <w:rPr>
          <w:i/>
          <w:sz w:val="22"/>
          <w:szCs w:val="22"/>
        </w:rPr>
        <w:t xml:space="preserve">.2016                                                                                </w:t>
      </w:r>
      <w:r>
        <w:rPr>
          <w:i/>
          <w:sz w:val="22"/>
          <w:szCs w:val="22"/>
        </w:rPr>
        <w:t>Submitted</w:t>
      </w:r>
      <w:r w:rsidRPr="003D0620">
        <w:rPr>
          <w:i/>
          <w:sz w:val="22"/>
          <w:szCs w:val="22"/>
        </w:rPr>
        <w:t>: 2</w:t>
      </w:r>
      <w:r>
        <w:rPr>
          <w:i/>
          <w:sz w:val="22"/>
          <w:szCs w:val="22"/>
        </w:rPr>
        <w:t>4</w:t>
      </w:r>
      <w:r w:rsidRPr="003D0620">
        <w:rPr>
          <w:i/>
          <w:sz w:val="22"/>
          <w:szCs w:val="22"/>
        </w:rPr>
        <w:t>-</w:t>
      </w:r>
      <w:r>
        <w:rPr>
          <w:i/>
          <w:sz w:val="22"/>
          <w:szCs w:val="22"/>
        </w:rPr>
        <w:t>02-2016; Accepted: 10</w:t>
      </w:r>
      <w:r w:rsidRPr="003D0620">
        <w:rPr>
          <w:i/>
          <w:sz w:val="22"/>
          <w:szCs w:val="22"/>
        </w:rPr>
        <w:t>-0</w:t>
      </w:r>
      <w:r>
        <w:rPr>
          <w:i/>
          <w:sz w:val="22"/>
          <w:szCs w:val="22"/>
        </w:rPr>
        <w:t>4</w:t>
      </w:r>
      <w:r w:rsidRPr="003D0620">
        <w:rPr>
          <w:i/>
          <w:sz w:val="22"/>
          <w:szCs w:val="22"/>
        </w:rPr>
        <w:t>-2016</w:t>
      </w:r>
    </w:p>
    <w:p w:rsidR="00155E30" w:rsidRPr="003D0620" w:rsidRDefault="00155E30" w:rsidP="003D0620">
      <w:pPr>
        <w:pStyle w:val="NoSpacing"/>
        <w:rPr>
          <w:rStyle w:val="FootnoteReference"/>
          <w:i/>
          <w:sz w:val="22"/>
          <w:szCs w:val="22"/>
          <w:vertAlign w:val="baseline"/>
        </w:rPr>
      </w:pPr>
    </w:p>
    <w:p w:rsidR="00155E30" w:rsidRDefault="00155E30" w:rsidP="00F9552F">
      <w:pPr>
        <w:pStyle w:val="FootnoteText"/>
        <w:rPr>
          <w:sz w:val="22"/>
        </w:rPr>
      </w:pPr>
      <w:r w:rsidRPr="003D0620">
        <w:rPr>
          <w:rStyle w:val="FootnoteReference"/>
          <w:b/>
          <w:sz w:val="22"/>
          <w:szCs w:val="22"/>
        </w:rPr>
        <w:t>*</w:t>
      </w:r>
      <w:r w:rsidRPr="003D0620">
        <w:rPr>
          <w:b/>
          <w:sz w:val="22"/>
          <w:szCs w:val="22"/>
        </w:rPr>
        <w:t xml:space="preserve"> </w:t>
      </w:r>
      <w:r w:rsidRPr="003D0620">
        <w:rPr>
          <w:b/>
          <w:sz w:val="22"/>
          <w:szCs w:val="22"/>
          <w:lang w:val="bs-Latn-BA"/>
        </w:rPr>
        <w:t xml:space="preserve">Dr. sc. </w:t>
      </w:r>
      <w:r>
        <w:rPr>
          <w:b/>
          <w:sz w:val="22"/>
          <w:szCs w:val="22"/>
          <w:lang w:val="bs-Latn-BA"/>
        </w:rPr>
        <w:t>Jović Dragan</w:t>
      </w:r>
      <w:r w:rsidR="00A71D82">
        <w:rPr>
          <w:sz w:val="22"/>
          <w:szCs w:val="22"/>
          <w:lang w:val="bs-Latn-BA"/>
        </w:rPr>
        <w:t>,</w:t>
      </w:r>
      <w:r>
        <w:rPr>
          <w:b/>
          <w:sz w:val="22"/>
          <w:szCs w:val="22"/>
          <w:lang w:val="bs-Latn-BA"/>
        </w:rPr>
        <w:t xml:space="preserve"> </w:t>
      </w:r>
      <w:r w:rsidRPr="00A71D82">
        <w:rPr>
          <w:sz w:val="22"/>
        </w:rPr>
        <w:t>Centralna banka Bosne i Hercegovine, Mar</w:t>
      </w:r>
      <w:r w:rsidRPr="00A71D82">
        <w:rPr>
          <w:sz w:val="22"/>
          <w:lang w:val="sr-Latn-BA"/>
        </w:rPr>
        <w:t xml:space="preserve">šala Tita, </w:t>
      </w:r>
      <w:r w:rsidRPr="00A71D82">
        <w:rPr>
          <w:sz w:val="22"/>
          <w:lang w:val="sr-Latn-CS"/>
        </w:rPr>
        <w:t>Sarajevo;</w:t>
      </w:r>
      <w:r w:rsidRPr="00F9552F">
        <w:rPr>
          <w:b/>
          <w:sz w:val="22"/>
          <w:lang w:val="sr-Latn-CS"/>
        </w:rPr>
        <w:t xml:space="preserve"> </w:t>
      </w:r>
      <w:r w:rsidRPr="00F9552F">
        <w:rPr>
          <w:b/>
          <w:sz w:val="22"/>
          <w:lang/>
        </w:rPr>
        <w:t xml:space="preserve"> </w:t>
      </w:r>
    </w:p>
    <w:p w:rsidR="00155E30" w:rsidRDefault="00155E30" w:rsidP="00F9552F">
      <w:pPr>
        <w:pStyle w:val="FootnoteText"/>
        <w:rPr>
          <w:sz w:val="22"/>
        </w:rPr>
      </w:pPr>
      <w:r>
        <w:rPr>
          <w:sz w:val="22"/>
        </w:rPr>
        <w:t xml:space="preserve">   </w:t>
      </w:r>
      <w:hyperlink r:id="rId1" w:history="1">
        <w:r>
          <w:rPr>
            <w:rStyle w:val="Hyperlink"/>
            <w:rFonts w:eastAsiaTheme="majorEastAsia"/>
            <w:sz w:val="22"/>
          </w:rPr>
          <w:t>draganjovic@blic.net</w:t>
        </w:r>
      </w:hyperlink>
      <w:r>
        <w:rPr>
          <w:sz w:val="22"/>
        </w:rPr>
        <w:t>.</w:t>
      </w:r>
    </w:p>
    <w:p w:rsidR="00155E30" w:rsidRPr="008F126B" w:rsidRDefault="00155E30" w:rsidP="008F126B">
      <w:pPr>
        <w:pStyle w:val="FootnoteText"/>
        <w:rPr>
          <w:sz w:val="22"/>
        </w:rPr>
      </w:pPr>
      <w:r>
        <w:rPr>
          <w:sz w:val="22"/>
          <w:szCs w:val="22"/>
          <w:lang w:val="sr-Latn-CS"/>
        </w:rPr>
        <w:t xml:space="preserve">   Stavovi u radu su autorovi i </w:t>
      </w:r>
      <w:r>
        <w:rPr>
          <w:sz w:val="22"/>
          <w:szCs w:val="22"/>
        </w:rPr>
        <w:t>ne odnose se na instituciju u kojoj radi.</w:t>
      </w:r>
    </w:p>
  </w:footnote>
  <w:footnote w:id="2">
    <w:p w:rsidR="00155E30" w:rsidRPr="00FB451C" w:rsidRDefault="00155E30" w:rsidP="00F9552F">
      <w:pPr>
        <w:pStyle w:val="FootnoteText"/>
        <w:rPr>
          <w:lang w:val="sr-Latn-BA"/>
        </w:rPr>
      </w:pPr>
      <w:r w:rsidRPr="00FB451C">
        <w:rPr>
          <w:rStyle w:val="FootnoteReference"/>
        </w:rPr>
        <w:footnoteRef/>
      </w:r>
      <w:r w:rsidRPr="00FB451C">
        <w:t xml:space="preserve"> U jednu banku sa sjedi</w:t>
      </w:r>
      <w:r w:rsidRPr="00FB451C">
        <w:rPr>
          <w:lang w:val="sr-Latn-BA"/>
        </w:rPr>
        <w:t xml:space="preserve">štem u RS  je u 11/2015. godine uvedena prinudna uprava. </w:t>
      </w:r>
    </w:p>
  </w:footnote>
  <w:footnote w:id="3">
    <w:p w:rsidR="00155E30" w:rsidRPr="006B3E95" w:rsidRDefault="00155E30" w:rsidP="006B3E95">
      <w:pPr>
        <w:pStyle w:val="NoSpacing"/>
        <w:rPr>
          <w:sz w:val="20"/>
          <w:szCs w:val="20"/>
        </w:rPr>
      </w:pPr>
      <w:r w:rsidRPr="006B3E95">
        <w:rPr>
          <w:rStyle w:val="FootnoteReference"/>
          <w:sz w:val="20"/>
          <w:szCs w:val="20"/>
        </w:rPr>
        <w:footnoteRef/>
      </w:r>
      <w:r w:rsidRPr="006B3E95">
        <w:rPr>
          <w:sz w:val="20"/>
          <w:szCs w:val="20"/>
        </w:rPr>
        <w:t xml:space="preserve"> Radilo se o Balkan Investment Banci ad. Banjaluka</w:t>
      </w:r>
      <w:r>
        <w:rPr>
          <w:sz w:val="20"/>
          <w:szCs w:val="20"/>
        </w:rPr>
        <w:t>,</w:t>
      </w:r>
      <w:r w:rsidRPr="006B3E95">
        <w:rPr>
          <w:sz w:val="20"/>
          <w:szCs w:val="20"/>
        </w:rPr>
        <w:t xml:space="preserve"> tj. današnjoj Banci Srpske ad. Banjaluka. </w:t>
      </w:r>
    </w:p>
  </w:footnote>
  <w:footnote w:id="4">
    <w:p w:rsidR="00155E30" w:rsidRPr="00D91956" w:rsidRDefault="00155E30" w:rsidP="006B3E95">
      <w:pPr>
        <w:pStyle w:val="NoSpacing"/>
      </w:pPr>
      <w:r w:rsidRPr="006B3E95">
        <w:rPr>
          <w:rStyle w:val="FootnoteReference"/>
          <w:sz w:val="20"/>
          <w:szCs w:val="20"/>
        </w:rPr>
        <w:footnoteRef/>
      </w:r>
      <w:r w:rsidRPr="006B3E95">
        <w:rPr>
          <w:sz w:val="20"/>
          <w:szCs w:val="20"/>
        </w:rPr>
        <w:t xml:space="preserve"> Bobar Banka ad. Bijeljina.</w:t>
      </w:r>
      <w:r w:rsidRPr="00D91956">
        <w:t xml:space="preserve"> </w:t>
      </w:r>
    </w:p>
  </w:footnote>
  <w:footnote w:id="5">
    <w:p w:rsidR="00155E30" w:rsidRPr="003E3B8A" w:rsidRDefault="00155E30" w:rsidP="003E3B8A">
      <w:pPr>
        <w:pStyle w:val="NoSpacing"/>
        <w:rPr>
          <w:sz w:val="20"/>
          <w:szCs w:val="20"/>
        </w:rPr>
      </w:pPr>
      <w:r w:rsidRPr="003E3B8A">
        <w:rPr>
          <w:rStyle w:val="FootnoteReference"/>
          <w:sz w:val="20"/>
          <w:szCs w:val="20"/>
        </w:rPr>
        <w:footnoteRef/>
      </w:r>
      <w:r w:rsidRPr="003E3B8A">
        <w:rPr>
          <w:sz w:val="20"/>
          <w:szCs w:val="20"/>
        </w:rPr>
        <w:t xml:space="preserve"> </w:t>
      </w:r>
      <w:r w:rsidRPr="003E3B8A">
        <w:rPr>
          <w:sz w:val="20"/>
          <w:szCs w:val="20"/>
          <w:lang w:val="sr-Latn-CS"/>
        </w:rPr>
        <w:t>Skraćeni izvještaji vanjskih revizora o finansijskim pokazateljima banaka u R</w:t>
      </w:r>
      <w:r>
        <w:rPr>
          <w:sz w:val="20"/>
          <w:szCs w:val="20"/>
          <w:lang w:val="sr-Latn-CS"/>
        </w:rPr>
        <w:t>S</w:t>
      </w:r>
      <w:r w:rsidRPr="003E3B8A">
        <w:rPr>
          <w:sz w:val="20"/>
          <w:szCs w:val="20"/>
          <w:lang w:val="sr-Latn-CS"/>
        </w:rPr>
        <w:t xml:space="preserve"> za 2014. godinu  i Skraćeni izvještaji vanjskih revizora o finans</w:t>
      </w:r>
      <w:r>
        <w:rPr>
          <w:sz w:val="20"/>
          <w:szCs w:val="20"/>
          <w:lang w:val="sr-Latn-CS"/>
        </w:rPr>
        <w:t>ijskim pokazateljima banaka u RS</w:t>
      </w:r>
      <w:r w:rsidRPr="003E3B8A">
        <w:rPr>
          <w:sz w:val="20"/>
          <w:szCs w:val="20"/>
          <w:lang w:val="sr-Latn-CS"/>
        </w:rPr>
        <w:t xml:space="preserve"> za 2013. godinu.</w:t>
      </w:r>
    </w:p>
  </w:footnote>
  <w:footnote w:id="6">
    <w:p w:rsidR="00155E30" w:rsidRPr="00D91956" w:rsidRDefault="00155E30" w:rsidP="00A346C6">
      <w:pPr>
        <w:pStyle w:val="NoSpacing"/>
      </w:pPr>
      <w:r w:rsidRPr="00A346C6">
        <w:rPr>
          <w:rStyle w:val="FootnoteReference"/>
          <w:sz w:val="20"/>
          <w:szCs w:val="20"/>
        </w:rPr>
        <w:footnoteRef/>
      </w:r>
      <w:r w:rsidRPr="00A346C6">
        <w:rPr>
          <w:sz w:val="20"/>
          <w:szCs w:val="20"/>
        </w:rPr>
        <w:t xml:space="preserve"> Rješenje Banjalučke berze AD Banjaluka br. 03-454/15 od 07.09.2015. godine</w:t>
      </w:r>
      <w:r w:rsidRPr="00D91956">
        <w:t xml:space="preserve">. </w:t>
      </w:r>
    </w:p>
  </w:footnote>
  <w:footnote w:id="7">
    <w:p w:rsidR="00155E30" w:rsidRPr="00A346C6" w:rsidRDefault="00155E30" w:rsidP="00A346C6">
      <w:pPr>
        <w:pStyle w:val="NoSpacing"/>
        <w:rPr>
          <w:sz w:val="20"/>
          <w:szCs w:val="20"/>
        </w:rPr>
      </w:pPr>
      <w:r w:rsidRPr="00A346C6">
        <w:rPr>
          <w:rStyle w:val="FootnoteReference"/>
          <w:rFonts w:cs="Times New Roman"/>
          <w:b/>
          <w:sz w:val="20"/>
          <w:szCs w:val="20"/>
        </w:rPr>
        <w:footnoteRef/>
      </w:r>
      <w:r w:rsidRPr="00A346C6">
        <w:rPr>
          <w:sz w:val="20"/>
          <w:szCs w:val="20"/>
        </w:rPr>
        <w:t xml:space="preserve"> U vrijeme pisanja ovoga rada, 11/2015. godine, u BLKB je uvedena prinudna uprava.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E30" w:rsidRDefault="00CB7C88" w:rsidP="008B2625">
    <w:pPr>
      <w:pStyle w:val="Header"/>
      <w:framePr w:wrap="around" w:vAnchor="text" w:hAnchor="margin" w:xAlign="right" w:y="1"/>
      <w:rPr>
        <w:rStyle w:val="PageNumber"/>
      </w:rPr>
    </w:pPr>
    <w:r>
      <w:rPr>
        <w:rStyle w:val="PageNumber"/>
      </w:rPr>
      <w:fldChar w:fldCharType="begin"/>
    </w:r>
    <w:r w:rsidR="00155E30">
      <w:rPr>
        <w:rStyle w:val="PageNumber"/>
      </w:rPr>
      <w:instrText xml:space="preserve">PAGE  </w:instrText>
    </w:r>
    <w:r>
      <w:rPr>
        <w:rStyle w:val="PageNumber"/>
      </w:rPr>
      <w:fldChar w:fldCharType="end"/>
    </w:r>
  </w:p>
  <w:p w:rsidR="00155E30" w:rsidRDefault="00CB7C88" w:rsidP="008B2625">
    <w:pPr>
      <w:pStyle w:val="Header"/>
      <w:ind w:right="360"/>
    </w:pPr>
    <w:sdt>
      <w:sdtPr>
        <w:id w:val="171999623"/>
        <w:placeholder>
          <w:docPart w:val="BAD3C40464CB2141A05EEE4DC531C2ED"/>
        </w:placeholder>
        <w:temporary/>
        <w:showingPlcHdr/>
      </w:sdtPr>
      <w:sdtContent>
        <w:r w:rsidR="00155E30">
          <w:rPr>
            <w:rFonts w:eastAsia="Times New Roman" w:cs="Times New Roman"/>
            <w:bdr w:val="nil"/>
            <w:lang w:val="sr-Cyrl-CS" w:bidi="sr-Cyrl-CS"/>
          </w:rPr>
          <w:t>[Tip teksta]</w:t>
        </w:r>
      </w:sdtContent>
    </w:sdt>
    <w:r w:rsidR="00155E30">
      <w:ptab w:relativeTo="margin" w:alignment="center" w:leader="none"/>
    </w:r>
    <w:sdt>
      <w:sdtPr>
        <w:id w:val="171999624"/>
        <w:placeholder>
          <w:docPart w:val="DDE37C1641BA474E886F1BA6E34493CE"/>
        </w:placeholder>
        <w:temporary/>
        <w:showingPlcHdr/>
      </w:sdtPr>
      <w:sdtContent>
        <w:r w:rsidR="00155E30">
          <w:rPr>
            <w:rFonts w:eastAsia="Times New Roman" w:cs="Times New Roman"/>
            <w:bdr w:val="nil"/>
            <w:lang w:val="sr-Cyrl-CS" w:bidi="sr-Cyrl-CS"/>
          </w:rPr>
          <w:t>[Tip teksta]</w:t>
        </w:r>
      </w:sdtContent>
    </w:sdt>
    <w:r w:rsidR="00155E30">
      <w:ptab w:relativeTo="margin" w:alignment="right" w:leader="none"/>
    </w:r>
    <w:sdt>
      <w:sdtPr>
        <w:id w:val="171999625"/>
        <w:placeholder>
          <w:docPart w:val="8D23884B1239A54AB632856C9FC6DCB0"/>
        </w:placeholder>
        <w:temporary/>
        <w:showingPlcHdr/>
      </w:sdtPr>
      <w:sdtContent>
        <w:r w:rsidR="00155E30">
          <w:rPr>
            <w:rFonts w:eastAsia="Times New Roman" w:cs="Times New Roman"/>
            <w:bdr w:val="nil"/>
            <w:lang w:val="sr-Cyrl-CS" w:bidi="sr-Cyrl-CS"/>
          </w:rPr>
          <w:t>[Tip teksta]</w:t>
        </w:r>
      </w:sdtContent>
    </w:sdt>
  </w:p>
  <w:p w:rsidR="00155E30" w:rsidRDefault="00155E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E30" w:rsidRDefault="00CB7C88" w:rsidP="008B2625">
    <w:pPr>
      <w:pStyle w:val="Header"/>
      <w:framePr w:wrap="around" w:vAnchor="text" w:hAnchor="margin" w:xAlign="right" w:y="1"/>
      <w:rPr>
        <w:rStyle w:val="PageNumber"/>
      </w:rPr>
    </w:pPr>
    <w:r>
      <w:rPr>
        <w:rStyle w:val="PageNumber"/>
      </w:rPr>
      <w:fldChar w:fldCharType="begin"/>
    </w:r>
    <w:r w:rsidR="00155E30">
      <w:rPr>
        <w:rStyle w:val="PageNumber"/>
      </w:rPr>
      <w:instrText xml:space="preserve">PAGE  </w:instrText>
    </w:r>
    <w:r>
      <w:rPr>
        <w:rStyle w:val="PageNumber"/>
      </w:rPr>
      <w:fldChar w:fldCharType="separate"/>
    </w:r>
    <w:r w:rsidR="001071DD">
      <w:rPr>
        <w:rStyle w:val="PageNumber"/>
        <w:noProof/>
      </w:rPr>
      <w:t>13</w:t>
    </w:r>
    <w:r>
      <w:rPr>
        <w:rStyle w:val="PageNumber"/>
      </w:rPr>
      <w:fldChar w:fldCharType="end"/>
    </w:r>
  </w:p>
  <w:p w:rsidR="00155E30" w:rsidRDefault="00370FE1" w:rsidP="00CC0B6B">
    <w:pPr>
      <w:pStyle w:val="Header"/>
      <w:ind w:right="360"/>
      <w:rPr>
        <w:rFonts w:eastAsia="Times New Roman" w:cs="Times New Roman"/>
        <w:sz w:val="18"/>
        <w:szCs w:val="18"/>
        <w:bdr w:val="nil"/>
        <w:lang w:val="hr-HR" w:bidi="sr-Cyrl-CS"/>
      </w:rPr>
    </w:pPr>
    <w:r>
      <w:rPr>
        <w:rFonts w:eastAsia="Times New Roman" w:cs="Times New Roman"/>
        <w:sz w:val="18"/>
        <w:szCs w:val="18"/>
        <w:bdr w:val="nil"/>
        <w:lang w:val="hr-HR" w:bidi="sr-Cyrl-CS"/>
      </w:rPr>
      <w:t>Dragan Jović: PREDVIĐANJE NEUSP</w:t>
    </w:r>
    <w:r w:rsidR="00155E30">
      <w:rPr>
        <w:rFonts w:eastAsia="Times New Roman" w:cs="Times New Roman"/>
        <w:sz w:val="18"/>
        <w:szCs w:val="18"/>
        <w:bdr w:val="nil"/>
        <w:lang w:val="hr-HR" w:bidi="sr-Cyrl-CS"/>
      </w:rPr>
      <w:t>JEHA BANAKA BANKARSKOG SEKTORA REPUBLIKE SRPSKE</w:t>
    </w:r>
  </w:p>
  <w:p w:rsidR="00155E30" w:rsidRDefault="00155E30" w:rsidP="00CC0B6B">
    <w:pPr>
      <w:pStyle w:val="Header"/>
      <w:ind w:right="360"/>
      <w:rPr>
        <w:rFonts w:eastAsia="Times New Roman" w:cs="Times New Roman"/>
        <w:sz w:val="16"/>
        <w:szCs w:val="16"/>
        <w:bdr w:val="nil"/>
        <w:lang w:val="hr-HR" w:bidi="sr-Cyrl-CS"/>
      </w:rPr>
    </w:pPr>
    <w:r>
      <w:rPr>
        <w:rFonts w:eastAsia="Times New Roman" w:cs="Times New Roman"/>
        <w:sz w:val="16"/>
        <w:szCs w:val="16"/>
        <w:bdr w:val="nil"/>
        <w:lang w:val="hr-HR" w:bidi="sr-Cyrl-CS"/>
      </w:rPr>
      <w:t>„</w:t>
    </w:r>
    <w:r w:rsidRPr="00CC0B6B">
      <w:rPr>
        <w:rFonts w:eastAsia="Times New Roman" w:cs="Times New Roman"/>
        <w:sz w:val="16"/>
        <w:szCs w:val="16"/>
        <w:bdr w:val="nil"/>
        <w:lang w:val="hr-HR" w:bidi="sr-Cyrl-CS"/>
      </w:rPr>
      <w:t>TRANSITION/TRANZICIJA</w:t>
    </w:r>
    <w:r>
      <w:rPr>
        <w:rFonts w:eastAsia="Times New Roman" w:cs="Times New Roman"/>
        <w:sz w:val="16"/>
        <w:szCs w:val="16"/>
        <w:bdr w:val="nil"/>
        <w:lang w:val="hr-HR" w:bidi="sr-Cyrl-CS"/>
      </w:rPr>
      <w:t>“</w:t>
    </w:r>
    <w:r w:rsidRPr="00CC0B6B">
      <w:rPr>
        <w:rFonts w:eastAsia="Times New Roman" w:cs="Times New Roman"/>
        <w:sz w:val="16"/>
        <w:szCs w:val="16"/>
        <w:bdr w:val="nil"/>
        <w:lang w:val="hr-HR" w:bidi="sr-Cyrl-CS"/>
      </w:rPr>
      <w:t>,  201</w:t>
    </w:r>
    <w:r>
      <w:rPr>
        <w:rFonts w:eastAsia="Times New Roman" w:cs="Times New Roman"/>
        <w:sz w:val="16"/>
        <w:szCs w:val="16"/>
        <w:bdr w:val="nil"/>
        <w:lang w:val="hr-HR" w:bidi="sr-Cyrl-CS"/>
      </w:rPr>
      <w:t>6</w:t>
    </w:r>
    <w:r w:rsidRPr="00CC0B6B">
      <w:rPr>
        <w:rFonts w:eastAsia="Times New Roman" w:cs="Times New Roman"/>
        <w:sz w:val="16"/>
        <w:szCs w:val="16"/>
        <w:bdr w:val="nil"/>
        <w:lang w:val="hr-HR" w:bidi="sr-Cyrl-CS"/>
      </w:rPr>
      <w:t>, Vol. XVI</w:t>
    </w:r>
    <w:r>
      <w:rPr>
        <w:rFonts w:eastAsia="Times New Roman" w:cs="Times New Roman"/>
        <w:sz w:val="16"/>
        <w:szCs w:val="16"/>
        <w:bdr w:val="nil"/>
        <w:lang w:val="hr-HR" w:bidi="sr-Cyrl-CS"/>
      </w:rPr>
      <w:t>I</w:t>
    </w:r>
    <w:r w:rsidRPr="00CC0B6B">
      <w:rPr>
        <w:rFonts w:eastAsia="Times New Roman" w:cs="Times New Roman"/>
        <w:sz w:val="16"/>
        <w:szCs w:val="16"/>
        <w:bdr w:val="nil"/>
        <w:lang w:val="hr-HR" w:bidi="sr-Cyrl-CS"/>
      </w:rPr>
      <w:t>I, No. 3</w:t>
    </w:r>
    <w:r>
      <w:rPr>
        <w:rFonts w:eastAsia="Times New Roman" w:cs="Times New Roman"/>
        <w:sz w:val="16"/>
        <w:szCs w:val="16"/>
        <w:bdr w:val="nil"/>
        <w:lang w:val="hr-HR" w:bidi="sr-Cyrl-CS"/>
      </w:rPr>
      <w:t>7</w:t>
    </w:r>
  </w:p>
  <w:p w:rsidR="00155E30" w:rsidRDefault="00155E30" w:rsidP="00CC0B6B">
    <w:pPr>
      <w:pStyle w:val="Header"/>
      <w:ind w:right="360"/>
    </w:pPr>
    <w:r>
      <w:rPr>
        <w:rFonts w:eastAsia="Times New Roman" w:cs="Times New Roman"/>
        <w:sz w:val="16"/>
        <w:szCs w:val="16"/>
        <w:bdr w:val="nil"/>
        <w:lang w:val="hr-HR" w:bidi="sr-Cyrl-CS"/>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lvl>
    <w:lvl w:ilvl="1" w:tplc="40CA0446" w:tentative="1">
      <w:start w:val="1"/>
      <w:numFmt w:val="lowerLetter"/>
      <w:lvlText w:val="%2."/>
      <w:lvlJc w:val="left"/>
      <w:pPr>
        <w:ind w:left="1440" w:hanging="360"/>
      </w:pPr>
    </w:lvl>
    <w:lvl w:ilvl="2" w:tplc="5C7C6CB6" w:tentative="1">
      <w:start w:val="1"/>
      <w:numFmt w:val="lowerRoman"/>
      <w:lvlText w:val="%3."/>
      <w:lvlJc w:val="right"/>
      <w:pPr>
        <w:ind w:left="2160" w:hanging="180"/>
      </w:pPr>
    </w:lvl>
    <w:lvl w:ilvl="3" w:tplc="0D8042D6" w:tentative="1">
      <w:start w:val="1"/>
      <w:numFmt w:val="decimal"/>
      <w:lvlText w:val="%4."/>
      <w:lvlJc w:val="left"/>
      <w:pPr>
        <w:ind w:left="2880" w:hanging="360"/>
      </w:pPr>
    </w:lvl>
    <w:lvl w:ilvl="4" w:tplc="766A5D24" w:tentative="1">
      <w:start w:val="1"/>
      <w:numFmt w:val="lowerLetter"/>
      <w:lvlText w:val="%5."/>
      <w:lvlJc w:val="left"/>
      <w:pPr>
        <w:ind w:left="3600" w:hanging="360"/>
      </w:pPr>
    </w:lvl>
    <w:lvl w:ilvl="5" w:tplc="9A8EC9FC" w:tentative="1">
      <w:start w:val="1"/>
      <w:numFmt w:val="lowerRoman"/>
      <w:lvlText w:val="%6."/>
      <w:lvlJc w:val="right"/>
      <w:pPr>
        <w:ind w:left="4320" w:hanging="180"/>
      </w:pPr>
    </w:lvl>
    <w:lvl w:ilvl="6" w:tplc="4D9858BE" w:tentative="1">
      <w:start w:val="1"/>
      <w:numFmt w:val="decimal"/>
      <w:lvlText w:val="%7."/>
      <w:lvlJc w:val="left"/>
      <w:pPr>
        <w:ind w:left="5040" w:hanging="360"/>
      </w:pPr>
    </w:lvl>
    <w:lvl w:ilvl="7" w:tplc="0E02BC12" w:tentative="1">
      <w:start w:val="1"/>
      <w:numFmt w:val="lowerLetter"/>
      <w:lvlText w:val="%8."/>
      <w:lvlJc w:val="left"/>
      <w:pPr>
        <w:ind w:left="5760" w:hanging="360"/>
      </w:pPr>
    </w:lvl>
    <w:lvl w:ilvl="8" w:tplc="862A6DCE" w:tentative="1">
      <w:start w:val="1"/>
      <w:numFmt w:val="lowerRoman"/>
      <w:lvlText w:val="%9."/>
      <w:lvlJc w:val="right"/>
      <w:pPr>
        <w:ind w:left="6480" w:hanging="180"/>
      </w:pPr>
    </w:lvl>
  </w:abstractNum>
  <w:abstractNum w:abstractNumId="1">
    <w:nsid w:val="050E1807"/>
    <w:multiLevelType w:val="hybridMultilevel"/>
    <w:tmpl w:val="31C471E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10565DCB"/>
    <w:multiLevelType w:val="multilevel"/>
    <w:tmpl w:val="F2FC63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C37DE5"/>
    <w:multiLevelType w:val="hybridMultilevel"/>
    <w:tmpl w:val="BA887196"/>
    <w:lvl w:ilvl="0" w:tplc="1A78E3B4">
      <w:start w:val="1"/>
      <w:numFmt w:val="decimal"/>
      <w:lvlText w:val="%1."/>
      <w:lvlJc w:val="left"/>
      <w:pPr>
        <w:ind w:left="720" w:hanging="360"/>
      </w:pPr>
    </w:lvl>
    <w:lvl w:ilvl="1" w:tplc="36D84882" w:tentative="1">
      <w:start w:val="1"/>
      <w:numFmt w:val="lowerLetter"/>
      <w:lvlText w:val="%2."/>
      <w:lvlJc w:val="left"/>
      <w:pPr>
        <w:ind w:left="1440" w:hanging="360"/>
      </w:pPr>
    </w:lvl>
    <w:lvl w:ilvl="2" w:tplc="01F20560" w:tentative="1">
      <w:start w:val="1"/>
      <w:numFmt w:val="lowerRoman"/>
      <w:lvlText w:val="%3."/>
      <w:lvlJc w:val="right"/>
      <w:pPr>
        <w:ind w:left="2160" w:hanging="180"/>
      </w:pPr>
    </w:lvl>
    <w:lvl w:ilvl="3" w:tplc="7CCAF19C" w:tentative="1">
      <w:start w:val="1"/>
      <w:numFmt w:val="decimal"/>
      <w:lvlText w:val="%4."/>
      <w:lvlJc w:val="left"/>
      <w:pPr>
        <w:ind w:left="2880" w:hanging="360"/>
      </w:pPr>
    </w:lvl>
    <w:lvl w:ilvl="4" w:tplc="6C8CCF02" w:tentative="1">
      <w:start w:val="1"/>
      <w:numFmt w:val="lowerLetter"/>
      <w:lvlText w:val="%5."/>
      <w:lvlJc w:val="left"/>
      <w:pPr>
        <w:ind w:left="3600" w:hanging="360"/>
      </w:pPr>
    </w:lvl>
    <w:lvl w:ilvl="5" w:tplc="169470D6" w:tentative="1">
      <w:start w:val="1"/>
      <w:numFmt w:val="lowerRoman"/>
      <w:lvlText w:val="%6."/>
      <w:lvlJc w:val="right"/>
      <w:pPr>
        <w:ind w:left="4320" w:hanging="180"/>
      </w:pPr>
    </w:lvl>
    <w:lvl w:ilvl="6" w:tplc="51FECC86" w:tentative="1">
      <w:start w:val="1"/>
      <w:numFmt w:val="decimal"/>
      <w:lvlText w:val="%7."/>
      <w:lvlJc w:val="left"/>
      <w:pPr>
        <w:ind w:left="5040" w:hanging="360"/>
      </w:pPr>
    </w:lvl>
    <w:lvl w:ilvl="7" w:tplc="BFEE9A20" w:tentative="1">
      <w:start w:val="1"/>
      <w:numFmt w:val="lowerLetter"/>
      <w:lvlText w:val="%8."/>
      <w:lvlJc w:val="left"/>
      <w:pPr>
        <w:ind w:left="5760" w:hanging="360"/>
      </w:pPr>
    </w:lvl>
    <w:lvl w:ilvl="8" w:tplc="6392734E" w:tentative="1">
      <w:start w:val="1"/>
      <w:numFmt w:val="lowerRoman"/>
      <w:lvlText w:val="%9."/>
      <w:lvlJc w:val="right"/>
      <w:pPr>
        <w:ind w:left="6480" w:hanging="180"/>
      </w:pPr>
    </w:lvl>
  </w:abstractNum>
  <w:abstractNum w:abstractNumId="7">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6"/>
  </w:num>
  <w:num w:numId="3">
    <w:abstractNumId w:val="6"/>
  </w:num>
  <w:num w:numId="4">
    <w:abstractNumId w:val="2"/>
  </w:num>
  <w:num w:numId="5">
    <w:abstractNumId w:val="8"/>
  </w:num>
  <w:num w:numId="6">
    <w:abstractNumId w:val="3"/>
  </w:num>
  <w:num w:numId="7">
    <w:abstractNumId w:val="4"/>
  </w:num>
  <w:num w:numId="8">
    <w:abstractNumId w:val="5"/>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D3231E"/>
    <w:rsid w:val="00005040"/>
    <w:rsid w:val="00006D19"/>
    <w:rsid w:val="00017415"/>
    <w:rsid w:val="000177FD"/>
    <w:rsid w:val="00024918"/>
    <w:rsid w:val="0003098F"/>
    <w:rsid w:val="00034090"/>
    <w:rsid w:val="00065702"/>
    <w:rsid w:val="000740DF"/>
    <w:rsid w:val="00087AAF"/>
    <w:rsid w:val="0009154C"/>
    <w:rsid w:val="00095750"/>
    <w:rsid w:val="000D5D7C"/>
    <w:rsid w:val="000F0A75"/>
    <w:rsid w:val="000F28FD"/>
    <w:rsid w:val="000F7BB1"/>
    <w:rsid w:val="00101117"/>
    <w:rsid w:val="00102BC8"/>
    <w:rsid w:val="001071DD"/>
    <w:rsid w:val="001154EE"/>
    <w:rsid w:val="00122C71"/>
    <w:rsid w:val="00135F40"/>
    <w:rsid w:val="00143E4D"/>
    <w:rsid w:val="00152A0A"/>
    <w:rsid w:val="00155E30"/>
    <w:rsid w:val="00163B34"/>
    <w:rsid w:val="0016647B"/>
    <w:rsid w:val="00170A47"/>
    <w:rsid w:val="00172985"/>
    <w:rsid w:val="0019677B"/>
    <w:rsid w:val="001A04D5"/>
    <w:rsid w:val="001A2966"/>
    <w:rsid w:val="001B383D"/>
    <w:rsid w:val="001C562A"/>
    <w:rsid w:val="001E00CF"/>
    <w:rsid w:val="0023309B"/>
    <w:rsid w:val="00241240"/>
    <w:rsid w:val="00243A5B"/>
    <w:rsid w:val="00246D56"/>
    <w:rsid w:val="00250ED2"/>
    <w:rsid w:val="0026510A"/>
    <w:rsid w:val="00267AD3"/>
    <w:rsid w:val="00272307"/>
    <w:rsid w:val="00277681"/>
    <w:rsid w:val="002844E1"/>
    <w:rsid w:val="0028562E"/>
    <w:rsid w:val="00294CBC"/>
    <w:rsid w:val="002962D2"/>
    <w:rsid w:val="00301183"/>
    <w:rsid w:val="00301969"/>
    <w:rsid w:val="00314BEF"/>
    <w:rsid w:val="00320BCB"/>
    <w:rsid w:val="00321752"/>
    <w:rsid w:val="00322ED3"/>
    <w:rsid w:val="00326CFA"/>
    <w:rsid w:val="00370FE1"/>
    <w:rsid w:val="00371515"/>
    <w:rsid w:val="00381B59"/>
    <w:rsid w:val="003A3685"/>
    <w:rsid w:val="003B6218"/>
    <w:rsid w:val="003D0620"/>
    <w:rsid w:val="003E0BC9"/>
    <w:rsid w:val="003E1192"/>
    <w:rsid w:val="003E3B8A"/>
    <w:rsid w:val="00400F6A"/>
    <w:rsid w:val="00430955"/>
    <w:rsid w:val="00451C87"/>
    <w:rsid w:val="004553C1"/>
    <w:rsid w:val="004560BB"/>
    <w:rsid w:val="004744FD"/>
    <w:rsid w:val="00475139"/>
    <w:rsid w:val="0048382D"/>
    <w:rsid w:val="004956C5"/>
    <w:rsid w:val="004D1E5D"/>
    <w:rsid w:val="004D334D"/>
    <w:rsid w:val="00510FF3"/>
    <w:rsid w:val="00520B39"/>
    <w:rsid w:val="00537797"/>
    <w:rsid w:val="00547EF1"/>
    <w:rsid w:val="0055799A"/>
    <w:rsid w:val="005836E1"/>
    <w:rsid w:val="005C0A8A"/>
    <w:rsid w:val="005D01DA"/>
    <w:rsid w:val="005D236A"/>
    <w:rsid w:val="005E35C0"/>
    <w:rsid w:val="006139FB"/>
    <w:rsid w:val="00625640"/>
    <w:rsid w:val="0063040A"/>
    <w:rsid w:val="006369D2"/>
    <w:rsid w:val="00644BA4"/>
    <w:rsid w:val="00647B13"/>
    <w:rsid w:val="00655178"/>
    <w:rsid w:val="0067290A"/>
    <w:rsid w:val="006735AC"/>
    <w:rsid w:val="00687D90"/>
    <w:rsid w:val="006A0F21"/>
    <w:rsid w:val="006B3E95"/>
    <w:rsid w:val="006D797B"/>
    <w:rsid w:val="006E7C83"/>
    <w:rsid w:val="00705F2F"/>
    <w:rsid w:val="0074164D"/>
    <w:rsid w:val="007509C7"/>
    <w:rsid w:val="00775A75"/>
    <w:rsid w:val="00787665"/>
    <w:rsid w:val="0079481A"/>
    <w:rsid w:val="007A04DD"/>
    <w:rsid w:val="007A3EFC"/>
    <w:rsid w:val="007A7198"/>
    <w:rsid w:val="007E6C67"/>
    <w:rsid w:val="007F4074"/>
    <w:rsid w:val="00804BA9"/>
    <w:rsid w:val="00843D1E"/>
    <w:rsid w:val="008734B5"/>
    <w:rsid w:val="0088076D"/>
    <w:rsid w:val="008A3B9A"/>
    <w:rsid w:val="008A518F"/>
    <w:rsid w:val="008B2625"/>
    <w:rsid w:val="008B3196"/>
    <w:rsid w:val="008B4EC6"/>
    <w:rsid w:val="008B7B75"/>
    <w:rsid w:val="008C7EF3"/>
    <w:rsid w:val="008F126B"/>
    <w:rsid w:val="00905873"/>
    <w:rsid w:val="00923202"/>
    <w:rsid w:val="0094511E"/>
    <w:rsid w:val="0096748B"/>
    <w:rsid w:val="009C0ED5"/>
    <w:rsid w:val="009E7DD5"/>
    <w:rsid w:val="00A346C6"/>
    <w:rsid w:val="00A47DB2"/>
    <w:rsid w:val="00A5168D"/>
    <w:rsid w:val="00A5560D"/>
    <w:rsid w:val="00A55DED"/>
    <w:rsid w:val="00A60DAC"/>
    <w:rsid w:val="00A71D82"/>
    <w:rsid w:val="00A732CB"/>
    <w:rsid w:val="00AA322D"/>
    <w:rsid w:val="00AB3C48"/>
    <w:rsid w:val="00AC4C47"/>
    <w:rsid w:val="00AF50F6"/>
    <w:rsid w:val="00B17908"/>
    <w:rsid w:val="00B2529C"/>
    <w:rsid w:val="00B31EE0"/>
    <w:rsid w:val="00B32AB3"/>
    <w:rsid w:val="00B45292"/>
    <w:rsid w:val="00B65CFE"/>
    <w:rsid w:val="00B730DD"/>
    <w:rsid w:val="00B82C22"/>
    <w:rsid w:val="00BA5DC1"/>
    <w:rsid w:val="00BB1875"/>
    <w:rsid w:val="00BC4477"/>
    <w:rsid w:val="00C21AF9"/>
    <w:rsid w:val="00C316FD"/>
    <w:rsid w:val="00C53457"/>
    <w:rsid w:val="00C90135"/>
    <w:rsid w:val="00CB7C88"/>
    <w:rsid w:val="00CC0169"/>
    <w:rsid w:val="00CC0313"/>
    <w:rsid w:val="00CC0B6B"/>
    <w:rsid w:val="00CD57C2"/>
    <w:rsid w:val="00CD5909"/>
    <w:rsid w:val="00CD5DCB"/>
    <w:rsid w:val="00CD6F9C"/>
    <w:rsid w:val="00CE4788"/>
    <w:rsid w:val="00D3231E"/>
    <w:rsid w:val="00D36B2E"/>
    <w:rsid w:val="00D5245D"/>
    <w:rsid w:val="00D5778A"/>
    <w:rsid w:val="00D778A3"/>
    <w:rsid w:val="00D91956"/>
    <w:rsid w:val="00DA0E8D"/>
    <w:rsid w:val="00DA101E"/>
    <w:rsid w:val="00DA5B93"/>
    <w:rsid w:val="00DA635F"/>
    <w:rsid w:val="00DC0189"/>
    <w:rsid w:val="00DC51DD"/>
    <w:rsid w:val="00DD47B0"/>
    <w:rsid w:val="00DD6216"/>
    <w:rsid w:val="00DF27D4"/>
    <w:rsid w:val="00E05ED5"/>
    <w:rsid w:val="00E2479B"/>
    <w:rsid w:val="00E445C2"/>
    <w:rsid w:val="00E709EC"/>
    <w:rsid w:val="00E866CA"/>
    <w:rsid w:val="00E90F14"/>
    <w:rsid w:val="00E952C2"/>
    <w:rsid w:val="00EC05B0"/>
    <w:rsid w:val="00EC1921"/>
    <w:rsid w:val="00EC3DD1"/>
    <w:rsid w:val="00EC5E2F"/>
    <w:rsid w:val="00EF71D7"/>
    <w:rsid w:val="00F164AE"/>
    <w:rsid w:val="00F16B26"/>
    <w:rsid w:val="00F428FB"/>
    <w:rsid w:val="00F439F9"/>
    <w:rsid w:val="00F5082C"/>
    <w:rsid w:val="00F62BEE"/>
    <w:rsid w:val="00F84344"/>
    <w:rsid w:val="00F9552F"/>
    <w:rsid w:val="00FA4CB2"/>
    <w:rsid w:val="00FB427A"/>
    <w:rsid w:val="00FB451C"/>
    <w:rsid w:val="00FC2D5C"/>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semiHidden/>
    <w:unhideWhenUsed/>
    <w:qFormat/>
    <w:rsid w:val="00122BE1"/>
    <w:pPr>
      <w:keepNext/>
      <w:keepLines/>
      <w:numPr>
        <w:numId w:val="1"/>
      </w:numPr>
      <w:spacing w:before="200"/>
      <w:ind w:left="360"/>
      <w:outlineLvl w:val="1"/>
    </w:pPr>
    <w:rPr>
      <w:rFonts w:eastAsiaTheme="majorEastAsia" w:cstheme="majorBidi"/>
      <w:b/>
      <w:bCs/>
      <w:szCs w:val="26"/>
    </w:rPr>
  </w:style>
  <w:style w:type="paragraph" w:styleId="Heading8">
    <w:name w:val="heading 8"/>
    <w:basedOn w:val="Normal"/>
    <w:next w:val="Normal"/>
    <w:link w:val="Heading8Char"/>
    <w:semiHidden/>
    <w:unhideWhenUsed/>
    <w:qFormat/>
    <w:rsid w:val="00F9552F"/>
    <w:pPr>
      <w:spacing w:after="60"/>
      <w:jc w:val="left"/>
      <w:outlineLvl w:val="7"/>
    </w:pPr>
    <w:rPr>
      <w:rFonts w:eastAsia="Times New Roman" w:cs="Times New Roman"/>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613"/>
    <w:rPr>
      <w:rFonts w:eastAsiaTheme="majorEastAsia" w:cstheme="majorBidi"/>
      <w:b/>
      <w:bCs/>
    </w:rPr>
  </w:style>
  <w:style w:type="character" w:customStyle="1" w:styleId="Heading2Char">
    <w:name w:val="Heading 2 Char"/>
    <w:basedOn w:val="DefaultParagraphFont"/>
    <w:link w:val="Heading2"/>
    <w:uiPriority w:val="9"/>
    <w:semiHidden/>
    <w:rsid w:val="00122BE1"/>
    <w:rPr>
      <w:rFonts w:ascii="Times New Roman" w:eastAsiaTheme="majorEastAsia" w:hAnsi="Times New Roman" w:cstheme="majorBidi"/>
      <w:b/>
      <w:bCs/>
      <w:szCs w:val="26"/>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34"/>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semiHidden/>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paragraph" w:styleId="FootnoteText">
    <w:name w:val="footnote text"/>
    <w:basedOn w:val="Normal"/>
    <w:link w:val="FootnoteTextChar"/>
    <w:semiHidden/>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AF50F6"/>
    <w:rPr>
      <w:rFonts w:ascii="Times New Roman" w:eastAsia="Times New Roman" w:hAnsi="Times New Roman" w:cs="Times New Roman"/>
      <w:sz w:val="20"/>
      <w:szCs w:val="20"/>
    </w:rPr>
  </w:style>
  <w:style w:type="character" w:styleId="Hyperlink">
    <w:name w:val="Hyperlink"/>
    <w:basedOn w:val="DefaultParagraphFont"/>
    <w:unhideWhenUsed/>
    <w:rsid w:val="00AF50F6"/>
    <w:rPr>
      <w:color w:val="0000FF"/>
      <w:u w:val="single"/>
    </w:rPr>
  </w:style>
  <w:style w:type="table" w:styleId="TableGrid">
    <w:name w:val="Table Grid"/>
    <w:basedOn w:val="TableNormal"/>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F50F6"/>
  </w:style>
  <w:style w:type="character" w:customStyle="1" w:styleId="Heading8Char">
    <w:name w:val="Heading 8 Char"/>
    <w:basedOn w:val="DefaultParagraphFont"/>
    <w:link w:val="Heading8"/>
    <w:semiHidden/>
    <w:rsid w:val="00F9552F"/>
    <w:rPr>
      <w:rFonts w:ascii="Times New Roman" w:eastAsia="Times New Roman" w:hAnsi="Times New Roman" w:cs="Times New Roman"/>
      <w:i/>
      <w:iCs/>
    </w:rPr>
  </w:style>
  <w:style w:type="character" w:customStyle="1" w:styleId="BodyText2Char">
    <w:name w:val="Body Text 2 Char"/>
    <w:basedOn w:val="DefaultParagraphFont"/>
    <w:link w:val="BodyText2"/>
    <w:semiHidden/>
    <w:rsid w:val="00F9552F"/>
    <w:rPr>
      <w:rFonts w:ascii="Times New Roman" w:eastAsia="Times New Roman" w:hAnsi="Times New Roman" w:cs="Times New Roman"/>
    </w:rPr>
  </w:style>
  <w:style w:type="paragraph" w:styleId="BodyText2">
    <w:name w:val="Body Text 2"/>
    <w:basedOn w:val="Normal"/>
    <w:link w:val="BodyText2Char"/>
    <w:semiHidden/>
    <w:unhideWhenUsed/>
    <w:rsid w:val="00F9552F"/>
    <w:pPr>
      <w:spacing w:before="0" w:after="120" w:line="480" w:lineRule="auto"/>
      <w:jc w:val="left"/>
    </w:pPr>
    <w:rPr>
      <w:rFonts w:eastAsia="Times New Roman" w:cs="Times New Roman"/>
      <w:lang w:val="en-US"/>
    </w:rPr>
  </w:style>
  <w:style w:type="character" w:customStyle="1" w:styleId="BodyText3Char">
    <w:name w:val="Body Text 3 Char"/>
    <w:basedOn w:val="DefaultParagraphFont"/>
    <w:link w:val="BodyText3"/>
    <w:semiHidden/>
    <w:rsid w:val="00F9552F"/>
    <w:rPr>
      <w:rFonts w:ascii="Times New Roman" w:eastAsia="Times New Roman" w:hAnsi="Times New Roman" w:cs="Times New Roman"/>
      <w:sz w:val="20"/>
      <w:szCs w:val="20"/>
      <w:lang w:val="bs-Latn-BA" w:eastAsia="bs-Latn-BA"/>
    </w:rPr>
  </w:style>
  <w:style w:type="paragraph" w:styleId="BodyText3">
    <w:name w:val="Body Text 3"/>
    <w:basedOn w:val="Normal"/>
    <w:link w:val="BodyText3Char"/>
    <w:semiHidden/>
    <w:unhideWhenUsed/>
    <w:rsid w:val="00F9552F"/>
    <w:pPr>
      <w:spacing w:before="0"/>
    </w:pPr>
    <w:rPr>
      <w:rFonts w:eastAsia="Times New Roman" w:cs="Times New Roman"/>
      <w:sz w:val="20"/>
      <w:szCs w:val="20"/>
      <w:lang w:val="bs-Latn-BA" w:eastAsia="bs-Latn-BA"/>
    </w:rPr>
  </w:style>
  <w:style w:type="character" w:customStyle="1" w:styleId="BalloonTextChar">
    <w:name w:val="Balloon Text Char"/>
    <w:basedOn w:val="DefaultParagraphFont"/>
    <w:link w:val="BalloonText"/>
    <w:semiHidden/>
    <w:rsid w:val="00F9552F"/>
    <w:rPr>
      <w:rFonts w:ascii="Tahoma" w:eastAsia="Times New Roman" w:hAnsi="Tahoma" w:cs="Times New Roman"/>
      <w:sz w:val="16"/>
      <w:szCs w:val="16"/>
      <w:lang/>
    </w:rPr>
  </w:style>
  <w:style w:type="paragraph" w:styleId="BalloonText">
    <w:name w:val="Balloon Text"/>
    <w:basedOn w:val="Normal"/>
    <w:link w:val="BalloonTextChar"/>
    <w:semiHidden/>
    <w:unhideWhenUsed/>
    <w:rsid w:val="00F9552F"/>
    <w:pPr>
      <w:spacing w:before="0"/>
      <w:jc w:val="left"/>
    </w:pPr>
    <w:rPr>
      <w:rFonts w:ascii="Tahoma" w:eastAsia="Times New Roman" w:hAnsi="Tahoma" w:cs="Times New Roman"/>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semiHidden/>
    <w:unhideWhenUsed/>
    <w:qFormat/>
    <w:rsid w:val="00122BE1"/>
    <w:pPr>
      <w:keepNext/>
      <w:keepLines/>
      <w:numPr>
        <w:numId w:val="1"/>
      </w:numPr>
      <w:spacing w:before="200"/>
      <w:ind w:left="360"/>
      <w:outlineLvl w:val="1"/>
    </w:pPr>
    <w:rPr>
      <w:rFonts w:eastAsiaTheme="majorEastAsia" w:cstheme="majorBidi"/>
      <w:b/>
      <w:bCs/>
      <w:szCs w:val="26"/>
    </w:rPr>
  </w:style>
  <w:style w:type="paragraph" w:styleId="Heading8">
    <w:name w:val="heading 8"/>
    <w:basedOn w:val="Normal"/>
    <w:next w:val="Normal"/>
    <w:link w:val="Heading8Char"/>
    <w:semiHidden/>
    <w:unhideWhenUsed/>
    <w:qFormat/>
    <w:rsid w:val="00F9552F"/>
    <w:pPr>
      <w:spacing w:after="60"/>
      <w:jc w:val="left"/>
      <w:outlineLvl w:val="7"/>
    </w:pPr>
    <w:rPr>
      <w:rFonts w:eastAsia="Times New Roman" w:cs="Times New Roman"/>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613"/>
    <w:rPr>
      <w:rFonts w:eastAsiaTheme="majorEastAsia" w:cstheme="majorBidi"/>
      <w:b/>
      <w:bCs/>
    </w:rPr>
  </w:style>
  <w:style w:type="character" w:customStyle="1" w:styleId="Heading2Char">
    <w:name w:val="Heading 2 Char"/>
    <w:basedOn w:val="DefaultParagraphFont"/>
    <w:link w:val="Heading2"/>
    <w:uiPriority w:val="9"/>
    <w:semiHidden/>
    <w:rsid w:val="00122BE1"/>
    <w:rPr>
      <w:rFonts w:ascii="Times New Roman" w:eastAsiaTheme="majorEastAsia" w:hAnsi="Times New Roman" w:cstheme="majorBidi"/>
      <w:b/>
      <w:bCs/>
      <w:szCs w:val="26"/>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34"/>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semiHidden/>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paragraph" w:styleId="FootnoteText">
    <w:name w:val="footnote text"/>
    <w:basedOn w:val="Normal"/>
    <w:link w:val="FootnoteTextChar"/>
    <w:semiHidden/>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AF50F6"/>
    <w:rPr>
      <w:rFonts w:ascii="Times New Roman" w:eastAsia="Times New Roman" w:hAnsi="Times New Roman" w:cs="Times New Roman"/>
      <w:sz w:val="20"/>
      <w:szCs w:val="20"/>
    </w:rPr>
  </w:style>
  <w:style w:type="character" w:styleId="Hyperlink">
    <w:name w:val="Hyperlink"/>
    <w:basedOn w:val="DefaultParagraphFont"/>
    <w:unhideWhenUsed/>
    <w:rsid w:val="00AF50F6"/>
    <w:rPr>
      <w:color w:val="0000FF"/>
      <w:u w:val="single"/>
    </w:rPr>
  </w:style>
  <w:style w:type="table" w:styleId="TableGrid">
    <w:name w:val="Table Grid"/>
    <w:basedOn w:val="TableNormal"/>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F50F6"/>
  </w:style>
  <w:style w:type="character" w:customStyle="1" w:styleId="Heading8Char">
    <w:name w:val="Heading 8 Char"/>
    <w:basedOn w:val="DefaultParagraphFont"/>
    <w:link w:val="Heading8"/>
    <w:semiHidden/>
    <w:rsid w:val="00F9552F"/>
    <w:rPr>
      <w:rFonts w:ascii="Times New Roman" w:eastAsia="Times New Roman" w:hAnsi="Times New Roman" w:cs="Times New Roman"/>
      <w:i/>
      <w:iCs/>
    </w:rPr>
  </w:style>
  <w:style w:type="character" w:customStyle="1" w:styleId="BodyText2Char">
    <w:name w:val="Body Text 2 Char"/>
    <w:basedOn w:val="DefaultParagraphFont"/>
    <w:link w:val="BodyText2"/>
    <w:semiHidden/>
    <w:rsid w:val="00F9552F"/>
    <w:rPr>
      <w:rFonts w:ascii="Times New Roman" w:eastAsia="Times New Roman" w:hAnsi="Times New Roman" w:cs="Times New Roman"/>
    </w:rPr>
  </w:style>
  <w:style w:type="paragraph" w:styleId="BodyText2">
    <w:name w:val="Body Text 2"/>
    <w:basedOn w:val="Normal"/>
    <w:link w:val="BodyText2Char"/>
    <w:semiHidden/>
    <w:unhideWhenUsed/>
    <w:rsid w:val="00F9552F"/>
    <w:pPr>
      <w:spacing w:before="0" w:after="120" w:line="480" w:lineRule="auto"/>
      <w:jc w:val="left"/>
    </w:pPr>
    <w:rPr>
      <w:rFonts w:eastAsia="Times New Roman" w:cs="Times New Roman"/>
      <w:lang w:val="en-US"/>
    </w:rPr>
  </w:style>
  <w:style w:type="character" w:customStyle="1" w:styleId="BodyText3Char">
    <w:name w:val="Body Text 3 Char"/>
    <w:basedOn w:val="DefaultParagraphFont"/>
    <w:link w:val="BodyText3"/>
    <w:semiHidden/>
    <w:rsid w:val="00F9552F"/>
    <w:rPr>
      <w:rFonts w:ascii="Times New Roman" w:eastAsia="Times New Roman" w:hAnsi="Times New Roman" w:cs="Times New Roman"/>
      <w:sz w:val="20"/>
      <w:szCs w:val="20"/>
      <w:lang w:val="bs-Latn-BA" w:eastAsia="bs-Latn-BA"/>
    </w:rPr>
  </w:style>
  <w:style w:type="paragraph" w:styleId="BodyText3">
    <w:name w:val="Body Text 3"/>
    <w:basedOn w:val="Normal"/>
    <w:link w:val="BodyText3Char"/>
    <w:semiHidden/>
    <w:unhideWhenUsed/>
    <w:rsid w:val="00F9552F"/>
    <w:pPr>
      <w:spacing w:before="0"/>
    </w:pPr>
    <w:rPr>
      <w:rFonts w:eastAsia="Times New Roman" w:cs="Times New Roman"/>
      <w:sz w:val="20"/>
      <w:szCs w:val="20"/>
      <w:lang w:val="bs-Latn-BA" w:eastAsia="bs-Latn-BA"/>
    </w:rPr>
  </w:style>
  <w:style w:type="character" w:customStyle="1" w:styleId="BalloonTextChar">
    <w:name w:val="Balloon Text Char"/>
    <w:basedOn w:val="DefaultParagraphFont"/>
    <w:link w:val="BalloonText"/>
    <w:semiHidden/>
    <w:rsid w:val="00F9552F"/>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F9552F"/>
    <w:pPr>
      <w:spacing w:before="0"/>
      <w:jc w:val="left"/>
    </w:pPr>
    <w:rPr>
      <w:rFonts w:ascii="Tahoma" w:eastAsia="Times New Roman" w:hAnsi="Tahoma" w:cs="Times New Roman"/>
      <w:sz w:val="16"/>
      <w:szCs w:val="16"/>
      <w:lang w:val="x-none" w:eastAsia="x-none"/>
    </w:rPr>
  </w:style>
</w:styles>
</file>

<file path=word/webSettings.xml><?xml version="1.0" encoding="utf-8"?>
<w:webSettings xmlns:r="http://schemas.openxmlformats.org/officeDocument/2006/relationships" xmlns:w="http://schemas.openxmlformats.org/wordprocessingml/2006/main">
  <w:divs>
    <w:div w:id="42296464">
      <w:bodyDiv w:val="1"/>
      <w:marLeft w:val="0"/>
      <w:marRight w:val="0"/>
      <w:marTop w:val="0"/>
      <w:marBottom w:val="0"/>
      <w:divBdr>
        <w:top w:val="none" w:sz="0" w:space="0" w:color="auto"/>
        <w:left w:val="none" w:sz="0" w:space="0" w:color="auto"/>
        <w:bottom w:val="none" w:sz="0" w:space="0" w:color="auto"/>
        <w:right w:val="none" w:sz="0" w:space="0" w:color="auto"/>
      </w:divBdr>
    </w:div>
    <w:div w:id="1254896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rs.ba/" TargetMode="External"/><Relationship Id="rId13" Type="http://schemas.openxmlformats.org/officeDocument/2006/relationships/hyperlink" Target="http://www.abrs.ba/"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nbiz.de/Search/Results?lookfor=%22SUERF+-+The+European+Money+and+Finance+Forum%22&amp;type=Institu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brs.ba/" TargetMode="External"/><Relationship Id="rId14" Type="http://schemas.openxmlformats.org/officeDocument/2006/relationships/hyperlink" Target="http://www.abrs.b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raganjovic@blic.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D3C40464CB2141A05EEE4DC531C2ED"/>
        <w:category>
          <w:name w:val="General"/>
          <w:gallery w:val="placeholder"/>
        </w:category>
        <w:types>
          <w:type w:val="bbPlcHdr"/>
        </w:types>
        <w:behaviors>
          <w:behavior w:val="content"/>
        </w:behaviors>
        <w:guid w:val="{FF51171A-C6CD-B14A-90D5-60C748105F0B}"/>
      </w:docPartPr>
      <w:docPartBody>
        <w:p w:rsidR="00F67B01" w:rsidRDefault="00F67B01" w:rsidP="00F67B01">
          <w:pPr>
            <w:pStyle w:val="BAD3C40464CB2141A05EEE4DC531C2ED"/>
          </w:pPr>
          <w:r>
            <w:t>[Type text]</w:t>
          </w:r>
        </w:p>
      </w:docPartBody>
    </w:docPart>
    <w:docPart>
      <w:docPartPr>
        <w:name w:val="DDE37C1641BA474E886F1BA6E34493CE"/>
        <w:category>
          <w:name w:val="General"/>
          <w:gallery w:val="placeholder"/>
        </w:category>
        <w:types>
          <w:type w:val="bbPlcHdr"/>
        </w:types>
        <w:behaviors>
          <w:behavior w:val="content"/>
        </w:behaviors>
        <w:guid w:val="{59C878D8-2F90-6243-BF05-F8096E94AE0B}"/>
      </w:docPartPr>
      <w:docPartBody>
        <w:p w:rsidR="00F67B01" w:rsidRDefault="00F67B01" w:rsidP="00F67B01">
          <w:pPr>
            <w:pStyle w:val="DDE37C1641BA474E886F1BA6E34493CE"/>
          </w:pPr>
          <w:r>
            <w:t>[Type text]</w:t>
          </w:r>
        </w:p>
      </w:docPartBody>
    </w:docPart>
    <w:docPart>
      <w:docPartPr>
        <w:name w:val="8D23884B1239A54AB632856C9FC6DCB0"/>
        <w:category>
          <w:name w:val="General"/>
          <w:gallery w:val="placeholder"/>
        </w:category>
        <w:types>
          <w:type w:val="bbPlcHdr"/>
        </w:types>
        <w:behaviors>
          <w:behavior w:val="content"/>
        </w:behaviors>
        <w:guid w:val="{3581C60C-8AB7-C74C-875C-8A5ACE095BC2}"/>
      </w:docPartPr>
      <w:docPartBody>
        <w:p w:rsidR="00F67B01" w:rsidRDefault="00F67B01" w:rsidP="00F67B01">
          <w:pPr>
            <w:pStyle w:val="8D23884B1239A54AB632856C9FC6DCB0"/>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F67B01"/>
    <w:rsid w:val="00080D50"/>
    <w:rsid w:val="000B6F30"/>
    <w:rsid w:val="000E5B66"/>
    <w:rsid w:val="001771C7"/>
    <w:rsid w:val="001A1E12"/>
    <w:rsid w:val="001B6785"/>
    <w:rsid w:val="00223A99"/>
    <w:rsid w:val="0027016F"/>
    <w:rsid w:val="003C324A"/>
    <w:rsid w:val="003E314E"/>
    <w:rsid w:val="0042035B"/>
    <w:rsid w:val="00705E1C"/>
    <w:rsid w:val="00781167"/>
    <w:rsid w:val="009F00D5"/>
    <w:rsid w:val="00A01BE5"/>
    <w:rsid w:val="00B26914"/>
    <w:rsid w:val="00C1450D"/>
    <w:rsid w:val="00C37A09"/>
    <w:rsid w:val="00D43A16"/>
    <w:rsid w:val="00E603CA"/>
    <w:rsid w:val="00F67B01"/>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3C40464CB2141A05EEE4DC531C2ED">
    <w:name w:val="BAD3C40464CB2141A05EEE4DC531C2ED"/>
    <w:rsid w:val="00AC0685"/>
  </w:style>
  <w:style w:type="paragraph" w:customStyle="1" w:styleId="DDE37C1641BA474E886F1BA6E34493CE">
    <w:name w:val="DDE37C1641BA474E886F1BA6E34493CE"/>
    <w:rsid w:val="00AC0685"/>
  </w:style>
  <w:style w:type="paragraph" w:customStyle="1" w:styleId="8D23884B1239A54AB632856C9FC6DCB0">
    <w:name w:val="8D23884B1239A54AB632856C9FC6DCB0"/>
    <w:rsid w:val="00AC0685"/>
  </w:style>
  <w:style w:type="paragraph" w:customStyle="1" w:styleId="3E7ADFD64E936740BB272849AFF8496B">
    <w:name w:val="3E7ADFD64E936740BB272849AFF8496B"/>
    <w:rsid w:val="00AC0685"/>
  </w:style>
  <w:style w:type="paragraph" w:customStyle="1" w:styleId="4C08CB594E36F34192C3CF716C714C39">
    <w:name w:val="4C08CB594E36F34192C3CF716C714C39"/>
    <w:rsid w:val="00AC0685"/>
  </w:style>
  <w:style w:type="paragraph" w:customStyle="1" w:styleId="164EB99DF87D6042A2B058B1C611D849">
    <w:name w:val="164EB99DF87D6042A2B058B1C611D849"/>
    <w:rsid w:val="00AC0685"/>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4405-9CBD-4013-A3F9-B687DA68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4837</Words>
  <Characters>27576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Lough</dc:creator>
  <cp:lastModifiedBy>admin</cp:lastModifiedBy>
  <cp:revision>2</cp:revision>
  <dcterms:created xsi:type="dcterms:W3CDTF">2016-12-12T20:20:00Z</dcterms:created>
  <dcterms:modified xsi:type="dcterms:W3CDTF">2016-12-12T20:20:00Z</dcterms:modified>
</cp:coreProperties>
</file>