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AF9" w:rsidRDefault="00C21AF9" w:rsidP="00C21AF9">
      <w:pPr>
        <w:pStyle w:val="Heading1"/>
        <w:jc w:val="center"/>
        <w:rPr>
          <w:rFonts w:ascii="Times New Roman" w:hAnsi="Times New Roman" w:cs="Times New Roman"/>
          <w:b w:val="0"/>
          <w:i/>
          <w:sz w:val="22"/>
          <w:szCs w:val="22"/>
        </w:rPr>
      </w:pPr>
      <w:r w:rsidRPr="00C21AF9">
        <w:rPr>
          <w:sz w:val="18"/>
          <w:szCs w:val="18"/>
        </w:rPr>
        <w:t xml:space="preserve">TRANZICIJA/TRANSITION                                                                                                                                        </w:t>
      </w:r>
      <w:r w:rsidRPr="00C21AF9">
        <w:rPr>
          <w:sz w:val="18"/>
          <w:szCs w:val="18"/>
          <w:u w:val="single"/>
        </w:rPr>
        <w:t xml:space="preserve">                    </w:t>
      </w:r>
      <w:r w:rsidRPr="00C21AF9">
        <w:rPr>
          <w:sz w:val="18"/>
          <w:szCs w:val="18"/>
          <w:bdr w:val="single" w:sz="4" w:space="0" w:color="auto"/>
        </w:rPr>
        <w:t>Časopis za ekonomiju i politiku tranzicije  /  Journal of economic and politics of Transition                          Godina XVII</w:t>
      </w:r>
      <w:r w:rsidR="00F9552F">
        <w:rPr>
          <w:sz w:val="18"/>
          <w:szCs w:val="18"/>
          <w:bdr w:val="single" w:sz="4" w:space="0" w:color="auto"/>
        </w:rPr>
        <w:t>I</w:t>
      </w:r>
      <w:r w:rsidRPr="00C21AF9">
        <w:rPr>
          <w:sz w:val="18"/>
          <w:szCs w:val="18"/>
          <w:bdr w:val="single" w:sz="4" w:space="0" w:color="auto"/>
        </w:rPr>
        <w:t xml:space="preserve">                                      Vitez-Tuzla-Zagreb-Beograd-Bukurešt, 201</w:t>
      </w:r>
      <w:r w:rsidR="00F9552F">
        <w:rPr>
          <w:sz w:val="18"/>
          <w:szCs w:val="18"/>
          <w:bdr w:val="single" w:sz="4" w:space="0" w:color="auto"/>
        </w:rPr>
        <w:t>6</w:t>
      </w:r>
      <w:r w:rsidRPr="00C21AF9">
        <w:rPr>
          <w:sz w:val="18"/>
          <w:szCs w:val="18"/>
          <w:bdr w:val="single" w:sz="4" w:space="0" w:color="auto"/>
        </w:rPr>
        <w:t>.                                      Br. 3</w:t>
      </w:r>
      <w:r w:rsidR="00F9552F">
        <w:rPr>
          <w:sz w:val="18"/>
          <w:szCs w:val="18"/>
          <w:bdr w:val="single" w:sz="4" w:space="0" w:color="auto"/>
        </w:rPr>
        <w:t>7</w:t>
      </w:r>
      <w:r w:rsidR="00267AD3" w:rsidRPr="00732F73">
        <w:rPr>
          <w:sz w:val="20"/>
        </w:rPr>
        <w:t xml:space="preserve"> </w:t>
      </w:r>
      <w:r w:rsidR="000F7BB1">
        <w:rPr>
          <w:i/>
        </w:rPr>
        <w:t xml:space="preserve">             </w:t>
      </w:r>
      <w:r w:rsidR="000F7BB1">
        <w:rPr>
          <w:i/>
        </w:rPr>
        <w:tab/>
      </w:r>
      <w:r w:rsidR="000F7BB1">
        <w:rPr>
          <w:i/>
        </w:rPr>
        <w:tab/>
      </w:r>
      <w:r w:rsidR="000F7BB1" w:rsidRPr="000F7BB1">
        <w:rPr>
          <w:rFonts w:ascii="Times New Roman" w:hAnsi="Times New Roman" w:cs="Times New Roman"/>
          <w:b w:val="0"/>
          <w:i/>
          <w:sz w:val="22"/>
          <w:szCs w:val="22"/>
        </w:rPr>
        <w:t xml:space="preserve">                                                   </w:t>
      </w:r>
      <w:r w:rsidR="000F7BB1">
        <w:rPr>
          <w:rFonts w:ascii="Times New Roman" w:hAnsi="Times New Roman" w:cs="Times New Roman"/>
          <w:b w:val="0"/>
          <w:i/>
          <w:sz w:val="22"/>
          <w:szCs w:val="22"/>
        </w:rPr>
        <w:t xml:space="preserve">              </w:t>
      </w:r>
    </w:p>
    <w:p w:rsidR="000F7BB1" w:rsidRDefault="00C21AF9" w:rsidP="000F5564">
      <w:pPr>
        <w:pStyle w:val="NoSpacing"/>
        <w:jc w:val="right"/>
        <w:rPr>
          <w:i/>
        </w:rPr>
      </w:pPr>
      <w:r w:rsidRPr="007A7198">
        <w:t xml:space="preserve">                                            </w:t>
      </w:r>
      <w:r w:rsidR="000F5564">
        <w:t xml:space="preserve">                       </w:t>
      </w:r>
      <w:r w:rsidR="000F7BB1" w:rsidRPr="008B3196">
        <w:rPr>
          <w:i/>
        </w:rPr>
        <w:t xml:space="preserve">            </w:t>
      </w:r>
      <w:r w:rsidR="008B3196" w:rsidRPr="008B3196">
        <w:rPr>
          <w:i/>
        </w:rPr>
        <w:t xml:space="preserve">  Preliminary scientific communication</w:t>
      </w:r>
    </w:p>
    <w:p w:rsidR="000F5564" w:rsidRDefault="000F5564" w:rsidP="000F5564">
      <w:pPr>
        <w:pStyle w:val="NoSpacing"/>
        <w:jc w:val="right"/>
        <w:rPr>
          <w:i/>
        </w:rPr>
      </w:pPr>
      <w:r w:rsidRPr="008B3196">
        <w:rPr>
          <w:i/>
        </w:rPr>
        <w:t xml:space="preserve">Predhodno znanstveno priopćenje      </w:t>
      </w:r>
    </w:p>
    <w:p w:rsidR="00BB1875" w:rsidRPr="003E7768" w:rsidRDefault="000F5564" w:rsidP="000F5564">
      <w:pPr>
        <w:pStyle w:val="NoSpacing"/>
        <w:jc w:val="right"/>
        <w:rPr>
          <w:i/>
          <w:lang w:val="en-US"/>
        </w:rPr>
      </w:pPr>
      <w:r w:rsidRPr="003E7768">
        <w:rPr>
          <w:i/>
          <w:lang w:val="en-US"/>
        </w:rPr>
        <w:t xml:space="preserve">           </w:t>
      </w:r>
    </w:p>
    <w:p w:rsidR="003D0620" w:rsidRPr="003E7768" w:rsidRDefault="00BB1875" w:rsidP="008F126B">
      <w:pPr>
        <w:pStyle w:val="NoSpacing"/>
        <w:jc w:val="right"/>
        <w:rPr>
          <w:b/>
          <w:i/>
          <w:lang w:val="en-US"/>
        </w:rPr>
      </w:pPr>
      <w:r w:rsidRPr="003E7768">
        <w:rPr>
          <w:b/>
          <w:i/>
          <w:lang w:val="en-US"/>
        </w:rPr>
        <w:t>JEL Klasifikacija</w:t>
      </w:r>
      <w:r w:rsidR="008F126B" w:rsidRPr="003E7768">
        <w:rPr>
          <w:i/>
          <w:lang w:val="en-US"/>
        </w:rPr>
        <w:t xml:space="preserve">: </w:t>
      </w:r>
      <w:r w:rsidR="004B769F" w:rsidRPr="003E7768">
        <w:rPr>
          <w:i/>
          <w:lang w:val="en-US"/>
        </w:rPr>
        <w:t xml:space="preserve">F14, </w:t>
      </w:r>
      <w:r w:rsidR="003E7768" w:rsidRPr="003E7768">
        <w:rPr>
          <w:i/>
          <w:lang w:val="en-US"/>
        </w:rPr>
        <w:t xml:space="preserve">F16, F20, </w:t>
      </w:r>
      <w:r w:rsidR="004B769F" w:rsidRPr="003E7768">
        <w:rPr>
          <w:i/>
          <w:lang w:val="en-US"/>
        </w:rPr>
        <w:t>M21</w:t>
      </w:r>
      <w:r w:rsidR="008F126B">
        <w:rPr>
          <w:i/>
          <w:lang w:val="sr-Latn-CS"/>
        </w:rPr>
        <w:t>.</w:t>
      </w:r>
    </w:p>
    <w:p w:rsidR="008F126B" w:rsidRPr="003E7768" w:rsidRDefault="008F126B" w:rsidP="003D0620">
      <w:pPr>
        <w:pStyle w:val="NoSpacing"/>
        <w:rPr>
          <w:b/>
          <w:lang w:val="en-US"/>
        </w:rPr>
      </w:pPr>
    </w:p>
    <w:p w:rsidR="00155E30" w:rsidRPr="003E7768" w:rsidRDefault="00155E30" w:rsidP="003D0620">
      <w:pPr>
        <w:pStyle w:val="NoSpacing"/>
        <w:rPr>
          <w:b/>
          <w:lang w:val="en-US"/>
        </w:rPr>
      </w:pPr>
    </w:p>
    <w:p w:rsidR="00267AD3" w:rsidRPr="003E7768" w:rsidRDefault="0059733A" w:rsidP="003D0620">
      <w:pPr>
        <w:pStyle w:val="NoSpacing"/>
        <w:rPr>
          <w:b/>
          <w:lang w:val="en-US"/>
        </w:rPr>
      </w:pPr>
      <w:r w:rsidRPr="003E7768">
        <w:rPr>
          <w:b/>
          <w:lang w:val="en-US"/>
        </w:rPr>
        <w:t xml:space="preserve">Fahrudin Fehrić </w:t>
      </w:r>
      <w:r w:rsidRPr="003E7768">
        <w:rPr>
          <w:rFonts w:ascii="Tahoma" w:hAnsi="Tahoma" w:cs="Tahoma"/>
          <w:b/>
          <w:lang w:val="en-US"/>
        </w:rPr>
        <w:t>●</w:t>
      </w:r>
      <w:r w:rsidRPr="003E7768">
        <w:rPr>
          <w:b/>
          <w:lang w:val="en-US"/>
        </w:rPr>
        <w:t xml:space="preserve"> Sanja Zekić </w:t>
      </w:r>
      <w:r w:rsidRPr="003E7768">
        <w:rPr>
          <w:rFonts w:ascii="Tahoma" w:hAnsi="Tahoma" w:cs="Tahoma"/>
          <w:b/>
          <w:lang w:val="en-US"/>
        </w:rPr>
        <w:t>●</w:t>
      </w:r>
      <w:r w:rsidR="003E7768" w:rsidRPr="003E7768">
        <w:rPr>
          <w:b/>
          <w:lang w:val="en-US"/>
        </w:rPr>
        <w:t xml:space="preserve"> Kemo Č</w:t>
      </w:r>
      <w:r w:rsidRPr="003E7768">
        <w:rPr>
          <w:b/>
          <w:lang w:val="en-US"/>
        </w:rPr>
        <w:t>amdžija</w:t>
      </w:r>
      <w:r w:rsidR="00267AD3" w:rsidRPr="003E7768">
        <w:rPr>
          <w:rStyle w:val="FootnoteReference"/>
          <w:b/>
          <w:lang w:val="en-US"/>
        </w:rPr>
        <w:footnoteReference w:customMarkFollows="1" w:id="1"/>
        <w:t>*</w:t>
      </w:r>
    </w:p>
    <w:p w:rsidR="00B43396" w:rsidRDefault="00B43396" w:rsidP="00B43396">
      <w:pPr>
        <w:jc w:val="center"/>
        <w:rPr>
          <w:rFonts w:cs="Times New Roman"/>
          <w:b/>
          <w:sz w:val="32"/>
          <w:szCs w:val="32"/>
        </w:rPr>
      </w:pPr>
      <w:r w:rsidRPr="00B43396">
        <w:rPr>
          <w:rFonts w:cs="Times New Roman"/>
          <w:b/>
          <w:sz w:val="32"/>
          <w:szCs w:val="32"/>
        </w:rPr>
        <w:t>THE INFLUENCE OF ENTREPRENEURIAL STRATEGIES ON CREATING EXPORT CAPACITY OF BH PRODUCTION ENTERPRISES</w:t>
      </w:r>
    </w:p>
    <w:p w:rsidR="00B43396" w:rsidRDefault="00B43396" w:rsidP="00B43396">
      <w:pPr>
        <w:pStyle w:val="NoSpacing"/>
      </w:pPr>
    </w:p>
    <w:p w:rsidR="00B43396" w:rsidRPr="0059733A" w:rsidRDefault="00B43396" w:rsidP="00B43396">
      <w:pPr>
        <w:pStyle w:val="Default"/>
        <w:tabs>
          <w:tab w:val="left" w:pos="7230"/>
        </w:tabs>
        <w:ind w:right="58"/>
        <w:jc w:val="center"/>
        <w:rPr>
          <w:b/>
          <w:bCs/>
          <w:sz w:val="32"/>
          <w:szCs w:val="32"/>
        </w:rPr>
      </w:pPr>
      <w:r w:rsidRPr="0059733A">
        <w:rPr>
          <w:b/>
          <w:bCs/>
          <w:sz w:val="32"/>
          <w:szCs w:val="32"/>
        </w:rPr>
        <w:t>UTJECAJ PODUZETNIČKIH STRATEGIJA NA KREIRANJE IZVOZNE SPOSOBNOST BiH PROIZVODNIH PODUZEĆA</w:t>
      </w:r>
    </w:p>
    <w:p w:rsidR="000D6F11" w:rsidRDefault="000D6F11" w:rsidP="00B43396">
      <w:pPr>
        <w:rPr>
          <w:rFonts w:cs="Times New Roman"/>
          <w:b/>
          <w:i/>
          <w:lang w:val="hr-HR"/>
        </w:rPr>
      </w:pPr>
    </w:p>
    <w:p w:rsidR="00B43396" w:rsidRPr="00B43396" w:rsidRDefault="00B43396" w:rsidP="00B43396">
      <w:pPr>
        <w:rPr>
          <w:rFonts w:cs="Times New Roman"/>
          <w:i/>
        </w:rPr>
      </w:pPr>
      <w:r w:rsidRPr="00B43396">
        <w:rPr>
          <w:rFonts w:cs="Times New Roman"/>
          <w:b/>
          <w:i/>
          <w:lang w:val="hr-HR"/>
        </w:rPr>
        <w:t>Abstract</w:t>
      </w:r>
    </w:p>
    <w:p w:rsidR="0059733A" w:rsidRPr="00B43396" w:rsidRDefault="00B43396" w:rsidP="00B43396">
      <w:pPr>
        <w:ind w:left="720"/>
        <w:rPr>
          <w:rFonts w:cs="Times New Roman"/>
          <w:i/>
        </w:rPr>
      </w:pPr>
      <w:r>
        <w:rPr>
          <w:rFonts w:cs="Times New Roman"/>
          <w:i/>
        </w:rPr>
        <w:t xml:space="preserve">Conceptual solution for the largest number of BH export enterprises is not possible to design, develop and implement without clearly established entrepreneur orientation towards creating such production enterprises which are, in competitive terms, the equivalent to what the competitor has already introduced in the market. Besides the readiness of the entrepreneurial infrastructure at the national level, all business activities at level of production enterprise need to be led to excellence – business excellence which shall increase their export capacity and competitiveness regarding the enterprises from the same </w:t>
      </w:r>
      <w:r>
        <w:rPr>
          <w:rFonts w:cs="Times New Roman"/>
          <w:i/>
        </w:rPr>
        <w:lastRenderedPageBreak/>
        <w:t>branch. Therefore, it is necessary to explore, analyse and define the role, importance and influence of entrepreneurial activities as well as the willingness of management towards the export orientation of production enterprises, and to research and analyse all relevant determinants and factors which are determing participants in creating export capacity and strategy of appearing production enterprises at international market. The ultimate goal of influence research of entrepreneurial activities at export capacity of BH production enterprises is creating entrepreneurial strategies which, by its influence, contribute to creating the effective concept of building export orientation of local production enterprises at foreign markets. The research results show that Cost leading strategy is the most implemented one in export enterprises in Bosnia and Herzegovina, the following is the Focus strategy, while the Differentiation strategy is among a number of strategies least implemented. The results obtained in the research suggest that only those production enterprises that shall be implementing adequate export strategies supported by an efficient infrastructure at the state level have a serious chance of operating</w:t>
      </w:r>
      <w:r w:rsidR="004B769F">
        <w:rPr>
          <w:rFonts w:cs="Times New Roman"/>
          <w:i/>
        </w:rPr>
        <w:t xml:space="preserve"> in selected target markets.</w:t>
      </w:r>
      <w:r w:rsidR="004B769F">
        <w:rPr>
          <w:rFonts w:cs="Times New Roman"/>
          <w:i/>
        </w:rPr>
        <w:tab/>
      </w:r>
      <w:r w:rsidR="004B769F">
        <w:rPr>
          <w:rFonts w:cs="Times New Roman"/>
          <w:i/>
        </w:rPr>
        <w:tab/>
      </w:r>
      <w:r w:rsidR="004B769F">
        <w:rPr>
          <w:rFonts w:cs="Times New Roman"/>
          <w:i/>
        </w:rPr>
        <w:tab/>
      </w:r>
      <w:r w:rsidR="00A30076">
        <w:rPr>
          <w:rFonts w:cs="Times New Roman"/>
          <w:i/>
        </w:rPr>
        <w:t xml:space="preserve"> </w:t>
      </w:r>
      <w:r w:rsidRPr="00B43396">
        <w:rPr>
          <w:rFonts w:cs="Times New Roman"/>
          <w:b/>
          <w:i/>
        </w:rPr>
        <w:t>Keywords</w:t>
      </w:r>
      <w:r>
        <w:rPr>
          <w:rFonts w:cs="Times New Roman"/>
          <w:i/>
        </w:rPr>
        <w:t>: the capability of management, management strategies, international competitiveness, export orientation, production companies</w:t>
      </w:r>
      <w:r w:rsidR="00A30076">
        <w:rPr>
          <w:rFonts w:cs="Times New Roman"/>
          <w:i/>
        </w:rPr>
        <w:t>.</w:t>
      </w:r>
    </w:p>
    <w:p w:rsidR="00B43396" w:rsidRDefault="00B43396" w:rsidP="000D69BB">
      <w:pPr>
        <w:pStyle w:val="NoSpacing"/>
        <w:jc w:val="center"/>
        <w:rPr>
          <w:b/>
        </w:rPr>
      </w:pPr>
    </w:p>
    <w:p w:rsidR="00B43396" w:rsidRPr="005D4881" w:rsidRDefault="00B43396" w:rsidP="00B43396">
      <w:pPr>
        <w:pStyle w:val="Default"/>
        <w:tabs>
          <w:tab w:val="left" w:pos="7230"/>
        </w:tabs>
        <w:ind w:right="58"/>
        <w:jc w:val="both"/>
        <w:rPr>
          <w:b/>
        </w:rPr>
      </w:pPr>
      <w:r w:rsidRPr="0059733A">
        <w:rPr>
          <w:b/>
          <w:i/>
        </w:rPr>
        <w:t>Sažetak</w:t>
      </w:r>
    </w:p>
    <w:p w:rsidR="00B43396" w:rsidRPr="005D4881" w:rsidRDefault="00B43396" w:rsidP="00B43396">
      <w:pPr>
        <w:pStyle w:val="Default"/>
        <w:tabs>
          <w:tab w:val="left" w:pos="7230"/>
        </w:tabs>
        <w:ind w:right="58"/>
        <w:jc w:val="both"/>
        <w:rPr>
          <w:b/>
        </w:rPr>
      </w:pPr>
    </w:p>
    <w:p w:rsidR="00B43396" w:rsidRPr="00973BE4" w:rsidRDefault="00B43396" w:rsidP="00B43396">
      <w:pPr>
        <w:pStyle w:val="Default"/>
        <w:tabs>
          <w:tab w:val="left" w:pos="7230"/>
        </w:tabs>
        <w:ind w:left="720" w:right="58"/>
        <w:jc w:val="both"/>
        <w:rPr>
          <w:i/>
        </w:rPr>
      </w:pPr>
      <w:r w:rsidRPr="001653CD">
        <w:rPr>
          <w:i/>
        </w:rPr>
        <w:t>Konceptualno rješenje</w:t>
      </w:r>
      <w:r>
        <w:rPr>
          <w:i/>
        </w:rPr>
        <w:t xml:space="preserve"> za najveći broj bh izvoznih poduzeća nije moguće osmisliti, razviti a potom i implementirati bez jasno uspostavljene poduzetničke orjentacije ka kreiranju takvih proizvodnih kapaciteta koji su u konkurentskom smislu barem ekvivalent onome što je konkurenc</w:t>
      </w:r>
      <w:r w:rsidR="00A30076">
        <w:rPr>
          <w:i/>
        </w:rPr>
        <w:t>ija već predstavila na tržištu</w:t>
      </w:r>
      <w:r>
        <w:rPr>
          <w:i/>
        </w:rPr>
        <w:t xml:space="preserve">. </w:t>
      </w:r>
      <w:r w:rsidRPr="00C216D4">
        <w:rPr>
          <w:i/>
        </w:rPr>
        <w:t>Pored pripremljenosti poduzetničke infrastrukture na državnom nivou, neophodno je sve poslovne aktivnosti na nivou proizvodnog poduzeća do</w:t>
      </w:r>
      <w:r>
        <w:rPr>
          <w:i/>
        </w:rPr>
        <w:t>vesti do poslovne izvrsnosti -</w:t>
      </w:r>
      <w:r w:rsidRPr="00C216D4">
        <w:rPr>
          <w:i/>
        </w:rPr>
        <w:t xml:space="preserve"> </w:t>
      </w:r>
      <w:r w:rsidR="00114F3E">
        <w:rPr>
          <w:i/>
        </w:rPr>
        <w:t xml:space="preserve">business excellence, </w:t>
      </w:r>
      <w:r w:rsidRPr="00C216D4">
        <w:rPr>
          <w:i/>
        </w:rPr>
        <w:t>što će u vlastitoj poslovnoj orjentaciji pojačati njihovu izvoznu sposobnost i konkurentnost u odnosu na kompanije iz iste branše.</w:t>
      </w:r>
      <w:r w:rsidR="00DE7EE4">
        <w:rPr>
          <w:i/>
        </w:rPr>
        <w:t xml:space="preserve"> </w:t>
      </w:r>
      <w:r w:rsidRPr="00532EE0">
        <w:rPr>
          <w:i/>
        </w:rPr>
        <w:t>U tom smislu neophodno je istražiti, analizirati i definirati ulogu, značaj i utjecaj</w:t>
      </w:r>
      <w:r>
        <w:rPr>
          <w:i/>
        </w:rPr>
        <w:t xml:space="preserve"> poduzetničkih aktivnosti kao i opredjeljenost menadžmenta ka izvoznoj orjentaciji proizvodnih poduzeća, te</w:t>
      </w:r>
      <w:r w:rsidRPr="00E15839">
        <w:rPr>
          <w:i/>
        </w:rPr>
        <w:t xml:space="preserve"> </w:t>
      </w:r>
      <w:r w:rsidRPr="00532EE0">
        <w:rPr>
          <w:i/>
        </w:rPr>
        <w:t>istražiti i analizirati sve relevantne determinante i</w:t>
      </w:r>
      <w:r w:rsidRPr="00532EE0">
        <w:rPr>
          <w:b/>
          <w:bCs/>
          <w:i/>
        </w:rPr>
        <w:t xml:space="preserve"> </w:t>
      </w:r>
      <w:r w:rsidRPr="00532EE0">
        <w:rPr>
          <w:i/>
        </w:rPr>
        <w:t>faktore koji opredjeljujuće učestvuju u kreiranju izvozne sposobnosti i strategije nastupa proizvodnih p</w:t>
      </w:r>
      <w:r>
        <w:rPr>
          <w:i/>
        </w:rPr>
        <w:t>oduzeća na međunarodnom tržištu.</w:t>
      </w:r>
      <w:r w:rsidRPr="00532EE0">
        <w:rPr>
          <w:i/>
        </w:rPr>
        <w:t xml:space="preserve"> </w:t>
      </w:r>
      <w:r>
        <w:rPr>
          <w:i/>
        </w:rPr>
        <w:t>Krajnji cilj istraživanja utjecaja poduzetničkih aktivnosti na izvoznu sposobnost bh proizvodnih poduzeća je kreiranje poduzetničkih strategija koje po svom utjecaju mogu najviše pridonijeti</w:t>
      </w:r>
      <w:r w:rsidRPr="00532EE0">
        <w:rPr>
          <w:i/>
        </w:rPr>
        <w:t xml:space="preserve"> </w:t>
      </w:r>
      <w:r>
        <w:rPr>
          <w:i/>
        </w:rPr>
        <w:t xml:space="preserve"> u stvaranju</w:t>
      </w:r>
      <w:r w:rsidRPr="00532EE0">
        <w:rPr>
          <w:i/>
        </w:rPr>
        <w:t xml:space="preserve"> učinkovitog koncepta izgradnje izvozne orijentacije domaćih proizvodnih poduzeća na inostranim tržištima.</w:t>
      </w:r>
      <w:r>
        <w:rPr>
          <w:i/>
        </w:rPr>
        <w:t xml:space="preserve"> </w:t>
      </w:r>
      <w:r w:rsidRPr="0059733A">
        <w:rPr>
          <w:i/>
        </w:rPr>
        <w:t>Rezultati istraživanja su pokazali da je strategija vođstva u troškovima najviše primijenjena kod izvoznih poduzeća u BiH, zatim strategija fokusiranja, dok je strategija diferencijacije od svih analiziranih strategija najmanje primjenjivana. Rezultati dobijeni u istraživačkom postupku upućuju na zaključak da samo ona proizvodna poduzeća koja budu primjenjivala adekvatne izvozne strategije potpomognute učinkovitom infrastrukturom na nivou države, imaju ozbiljnije šanse za poslovanje na odabranim ciljnim tržištima.</w:t>
      </w:r>
      <w:r>
        <w:rPr>
          <w:i/>
        </w:rPr>
        <w:tab/>
        <w:t xml:space="preserve">                 </w:t>
      </w:r>
      <w:r w:rsidRPr="00973BE4">
        <w:rPr>
          <w:b/>
          <w:i/>
        </w:rPr>
        <w:lastRenderedPageBreak/>
        <w:t xml:space="preserve">Ključne riječi: </w:t>
      </w:r>
      <w:r w:rsidRPr="00973BE4">
        <w:rPr>
          <w:i/>
        </w:rPr>
        <w:t>sposobnost menadžmenta, strategije menadžmenta, međunarodna konkurentnost, izvozna orjentacija ,</w:t>
      </w:r>
      <w:r w:rsidRPr="00973BE4">
        <w:rPr>
          <w:b/>
          <w:i/>
        </w:rPr>
        <w:t xml:space="preserve"> </w:t>
      </w:r>
      <w:r w:rsidRPr="00973BE4">
        <w:rPr>
          <w:i/>
        </w:rPr>
        <w:t>proizvodna poduzeća.</w:t>
      </w:r>
    </w:p>
    <w:p w:rsidR="00B43396" w:rsidRPr="00B43396" w:rsidRDefault="00B43396" w:rsidP="000D69BB">
      <w:pPr>
        <w:pStyle w:val="NoSpacing"/>
        <w:jc w:val="center"/>
        <w:rPr>
          <w:b/>
          <w:lang w:val="hr-HR"/>
        </w:rPr>
      </w:pPr>
    </w:p>
    <w:p w:rsidR="00F80803" w:rsidRDefault="00F80803" w:rsidP="00F80803">
      <w:pPr>
        <w:jc w:val="center"/>
        <w:rPr>
          <w:rFonts w:cs="Times New Roman"/>
          <w:b/>
        </w:rPr>
      </w:pPr>
      <w:r w:rsidRPr="00464825">
        <w:rPr>
          <w:rFonts w:cs="Times New Roman"/>
          <w:b/>
        </w:rPr>
        <w:t>INTRODUCTION</w:t>
      </w:r>
    </w:p>
    <w:p w:rsidR="00F80803" w:rsidRDefault="00F80803" w:rsidP="005F4A92">
      <w:pPr>
        <w:ind w:firstLine="720"/>
        <w:rPr>
          <w:rFonts w:cs="Times New Roman"/>
        </w:rPr>
      </w:pPr>
      <w:r>
        <w:rPr>
          <w:rFonts w:cs="Times New Roman"/>
        </w:rPr>
        <w:t xml:space="preserve">Creating entrepreneurial strategies as well as development of entrepreneurship itself takes place in unprepared BH surroundings burdened by unpredictable changes that come as treats or opportunities but without the adequate understanding among those who make the most significant business as well as political decisions. There is a small number of those BH managers who have enough courage to place their business abroad and outside the local market and to direct their business strategies towards export to foreign market. In the effort of local entrepreneurs there is </w:t>
      </w:r>
      <w:r w:rsidRPr="006B5BF5">
        <w:rPr>
          <w:rFonts w:cs="Times New Roman"/>
        </w:rPr>
        <w:t>the problem of inadequate business infrast</w:t>
      </w:r>
      <w:r>
        <w:rPr>
          <w:rFonts w:cs="Times New Roman"/>
        </w:rPr>
        <w:t>ructure at the state level of B</w:t>
      </w:r>
      <w:r w:rsidRPr="006B5BF5">
        <w:rPr>
          <w:rFonts w:cs="Times New Roman"/>
        </w:rPr>
        <w:t xml:space="preserve">H, where production </w:t>
      </w:r>
      <w:r w:rsidRPr="009A491D">
        <w:rPr>
          <w:rFonts w:cs="Times New Roman"/>
        </w:rPr>
        <w:t>enterprises</w:t>
      </w:r>
      <w:r w:rsidRPr="006B5BF5">
        <w:rPr>
          <w:rFonts w:cs="Times New Roman"/>
        </w:rPr>
        <w:t>, each in their own way, apply different methods in creating</w:t>
      </w:r>
      <w:r>
        <w:rPr>
          <w:rFonts w:cs="Times New Roman"/>
        </w:rPr>
        <w:t xml:space="preserve"> and managing their own export c</w:t>
      </w:r>
      <w:r w:rsidRPr="006B5BF5">
        <w:rPr>
          <w:rFonts w:cs="Times New Roman"/>
        </w:rPr>
        <w:t>ommercial orientation, which to a significant extent</w:t>
      </w:r>
      <w:r>
        <w:rPr>
          <w:rFonts w:cs="Times New Roman"/>
        </w:rPr>
        <w:t xml:space="preserve"> weakens their export capacity</w:t>
      </w:r>
      <w:r w:rsidRPr="006B5BF5">
        <w:rPr>
          <w:rFonts w:cs="Times New Roman"/>
        </w:rPr>
        <w:t xml:space="preserve"> and competitiveness compared to companies in developed countries.</w:t>
      </w:r>
      <w:r w:rsidR="005F4A92">
        <w:rPr>
          <w:rFonts w:cs="Times New Roman"/>
        </w:rPr>
        <w:tab/>
      </w:r>
      <w:r w:rsidR="005F4A92">
        <w:rPr>
          <w:rFonts w:cs="Times New Roman"/>
        </w:rPr>
        <w:tab/>
      </w:r>
      <w:r w:rsidR="005F4A92">
        <w:rPr>
          <w:rFonts w:cs="Times New Roman"/>
        </w:rPr>
        <w:tab/>
      </w:r>
      <w:r w:rsidR="005F4A92">
        <w:rPr>
          <w:rFonts w:cs="Times New Roman"/>
        </w:rPr>
        <w:tab/>
      </w:r>
      <w:r>
        <w:rPr>
          <w:rFonts w:cs="Times New Roman"/>
        </w:rPr>
        <w:t xml:space="preserve">Strong international </w:t>
      </w:r>
      <w:r w:rsidRPr="009A491D">
        <w:rPr>
          <w:rFonts w:cs="Times New Roman"/>
        </w:rPr>
        <w:t>enterprises</w:t>
      </w:r>
      <w:r>
        <w:rPr>
          <w:rFonts w:cs="Times New Roman"/>
        </w:rPr>
        <w:t xml:space="preserve"> build their</w:t>
      </w:r>
      <w:r w:rsidRPr="006B5BF5">
        <w:rPr>
          <w:rFonts w:cs="Times New Roman"/>
        </w:rPr>
        <w:t xml:space="preserve"> entrepreneurial ac</w:t>
      </w:r>
      <w:r>
        <w:rPr>
          <w:rFonts w:cs="Times New Roman"/>
        </w:rPr>
        <w:t>tivity and competitiveness</w:t>
      </w:r>
      <w:r w:rsidRPr="006B5BF5">
        <w:rPr>
          <w:rFonts w:cs="Times New Roman"/>
        </w:rPr>
        <w:t xml:space="preserve"> on differentiation, innovation, cost reduction and the introduction of modern technolo</w:t>
      </w:r>
      <w:r>
        <w:rPr>
          <w:rFonts w:cs="Times New Roman"/>
        </w:rPr>
        <w:t xml:space="preserve">gical procedures which lead the production </w:t>
      </w:r>
      <w:r w:rsidRPr="006B5BF5">
        <w:rPr>
          <w:rFonts w:cs="Times New Roman"/>
        </w:rPr>
        <w:t>to</w:t>
      </w:r>
      <w:r>
        <w:rPr>
          <w:rFonts w:cs="Times New Roman"/>
        </w:rPr>
        <w:t xml:space="preserve"> its</w:t>
      </w:r>
      <w:r w:rsidRPr="006B5BF5">
        <w:rPr>
          <w:rFonts w:cs="Times New Roman"/>
        </w:rPr>
        <w:t xml:space="preserve"> perfection.</w:t>
      </w:r>
      <w:r>
        <w:rPr>
          <w:rFonts w:cs="Times New Roman"/>
        </w:rPr>
        <w:t xml:space="preserve"> </w:t>
      </w:r>
      <w:r w:rsidRPr="00811E33">
        <w:rPr>
          <w:rFonts w:cs="Times New Roman"/>
        </w:rPr>
        <w:t xml:space="preserve">Of course, these are just some of the elements that become an integral part of a strategic approach to building </w:t>
      </w:r>
      <w:r>
        <w:rPr>
          <w:rFonts w:cs="Times New Roman"/>
        </w:rPr>
        <w:t>competitive strength in entrepreneurship</w:t>
      </w:r>
      <w:r w:rsidRPr="00811E33">
        <w:rPr>
          <w:rFonts w:cs="Times New Roman"/>
        </w:rPr>
        <w:t>.</w:t>
      </w:r>
      <w:r>
        <w:rPr>
          <w:rFonts w:cs="Times New Roman"/>
        </w:rPr>
        <w:t xml:space="preserve"> The B</w:t>
      </w:r>
      <w:r w:rsidRPr="00D66B80">
        <w:rPr>
          <w:rFonts w:cs="Times New Roman"/>
        </w:rPr>
        <w:t xml:space="preserve">H </w:t>
      </w:r>
      <w:r w:rsidRPr="009A491D">
        <w:rPr>
          <w:rFonts w:cs="Times New Roman"/>
        </w:rPr>
        <w:t>enterprises</w:t>
      </w:r>
      <w:r w:rsidRPr="00D66B80">
        <w:rPr>
          <w:rFonts w:cs="Times New Roman"/>
        </w:rPr>
        <w:t>, if they want to survive in the global econom</w:t>
      </w:r>
      <w:r>
        <w:rPr>
          <w:rFonts w:cs="Times New Roman"/>
        </w:rPr>
        <w:t>ic environment, need to define an area</w:t>
      </w:r>
      <w:r w:rsidRPr="00D66B80">
        <w:rPr>
          <w:rFonts w:cs="Times New Roman"/>
        </w:rPr>
        <w:t xml:space="preserve"> of their business in which they can achie</w:t>
      </w:r>
      <w:r>
        <w:rPr>
          <w:rFonts w:cs="Times New Roman"/>
        </w:rPr>
        <w:t>ve top-world results and build a base for their overall</w:t>
      </w:r>
      <w:r w:rsidRPr="00D66B80">
        <w:rPr>
          <w:rFonts w:cs="Times New Roman"/>
        </w:rPr>
        <w:t xml:space="preserve"> future business.</w:t>
      </w:r>
      <w:r>
        <w:rPr>
          <w:rFonts w:cs="Times New Roman"/>
        </w:rPr>
        <w:t xml:space="preserve"> The necessity</w:t>
      </w:r>
      <w:r w:rsidRPr="00CA1AD7">
        <w:rPr>
          <w:rFonts w:cs="Times New Roman"/>
        </w:rPr>
        <w:t xml:space="preserve"> for the introduction of specialization that focuses on the most powerful and the most profitable parts of the </w:t>
      </w:r>
      <w:r>
        <w:rPr>
          <w:rFonts w:cs="Times New Roman"/>
        </w:rPr>
        <w:t>enterprise, requires discharge of anything that</w:t>
      </w:r>
      <w:r w:rsidRPr="00CA1AD7">
        <w:rPr>
          <w:rFonts w:cs="Times New Roman"/>
        </w:rPr>
        <w:t xml:space="preserve"> company has</w:t>
      </w:r>
      <w:r>
        <w:rPr>
          <w:rFonts w:cs="Times New Roman"/>
        </w:rPr>
        <w:t xml:space="preserve"> not got</w:t>
      </w:r>
      <w:r w:rsidRPr="00CA1AD7">
        <w:rPr>
          <w:rFonts w:cs="Times New Roman"/>
        </w:rPr>
        <w:t xml:space="preserve"> a leading position in the market, while focusing on that part of the business in which the </w:t>
      </w:r>
      <w:r>
        <w:rPr>
          <w:rFonts w:cs="Times New Roman"/>
        </w:rPr>
        <w:t>enterprise</w:t>
      </w:r>
      <w:r w:rsidRPr="00CA1AD7">
        <w:rPr>
          <w:rFonts w:cs="Times New Roman"/>
        </w:rPr>
        <w:t xml:space="preserve"> achieved outstanding results which are comparable to the strongest in the same activities </w:t>
      </w:r>
      <w:r>
        <w:rPr>
          <w:rFonts w:cs="Times New Roman"/>
        </w:rPr>
        <w:t>of business</w:t>
      </w:r>
      <w:r w:rsidRPr="00CA1AD7">
        <w:rPr>
          <w:rFonts w:cs="Times New Roman"/>
        </w:rPr>
        <w:t>.</w:t>
      </w:r>
      <w:r>
        <w:rPr>
          <w:rFonts w:cs="Times New Roman"/>
        </w:rPr>
        <w:t xml:space="preserve"> </w:t>
      </w:r>
      <w:r w:rsidRPr="00504EB9">
        <w:rPr>
          <w:rFonts w:cs="Times New Roman"/>
        </w:rPr>
        <w:t>How to achieve competitive advantage as one of the preconditions for export orientation in the busin</w:t>
      </w:r>
      <w:r>
        <w:rPr>
          <w:rFonts w:cs="Times New Roman"/>
        </w:rPr>
        <w:t xml:space="preserve">ess of production </w:t>
      </w:r>
      <w:r w:rsidRPr="009A491D">
        <w:rPr>
          <w:rFonts w:cs="Times New Roman"/>
        </w:rPr>
        <w:t>enterprises</w:t>
      </w:r>
      <w:r w:rsidRPr="00504EB9">
        <w:rPr>
          <w:rFonts w:cs="Times New Roman"/>
        </w:rPr>
        <w:t xml:space="preserve"> is the dilemma that</w:t>
      </w:r>
      <w:r>
        <w:rPr>
          <w:rFonts w:cs="Times New Roman"/>
        </w:rPr>
        <w:t xml:space="preserve"> has been questioned by</w:t>
      </w:r>
      <w:r w:rsidRPr="00504EB9">
        <w:rPr>
          <w:rFonts w:cs="Times New Roman"/>
        </w:rPr>
        <w:t xml:space="preserve"> many companies</w:t>
      </w:r>
      <w:r>
        <w:rPr>
          <w:rFonts w:cs="Times New Roman"/>
        </w:rPr>
        <w:t xml:space="preserve"> and their managers.  </w:t>
      </w:r>
      <w:r w:rsidRPr="000E6B65">
        <w:rPr>
          <w:rFonts w:cs="Times New Roman"/>
        </w:rPr>
        <w:t xml:space="preserve">In an attempt to clarify this issue </w:t>
      </w:r>
      <w:r>
        <w:rPr>
          <w:rFonts w:cs="Times New Roman"/>
        </w:rPr>
        <w:t>the idea is to always start with the analysis of your own business and exploration of</w:t>
      </w:r>
      <w:r w:rsidRPr="000E6B65">
        <w:rPr>
          <w:rFonts w:cs="Times New Roman"/>
        </w:rPr>
        <w:t xml:space="preserve"> those areas</w:t>
      </w:r>
      <w:r>
        <w:rPr>
          <w:rFonts w:cs="Times New Roman"/>
        </w:rPr>
        <w:t xml:space="preserve"> of business where you can introduce</w:t>
      </w:r>
      <w:r w:rsidRPr="000E6B65">
        <w:rPr>
          <w:rFonts w:cs="Times New Roman"/>
        </w:rPr>
        <w:t xml:space="preserve"> and apply </w:t>
      </w:r>
      <w:r>
        <w:rPr>
          <w:rFonts w:cs="Times New Roman"/>
        </w:rPr>
        <w:t>new profitable ideas, which can lead to improvement larger than</w:t>
      </w:r>
      <w:r w:rsidRPr="000E6B65">
        <w:rPr>
          <w:rFonts w:cs="Times New Roman"/>
        </w:rPr>
        <w:t xml:space="preserve"> the competition.</w:t>
      </w:r>
      <w:r>
        <w:rPr>
          <w:rFonts w:cs="Times New Roman"/>
        </w:rPr>
        <w:t xml:space="preserve"> The export capacity based on competitive strength is estimated according to enterprise with the leading position in its branch and when above average results in business are achieved comparing to the competition. However, there are several ways for achieving export capacity: price, differentiation, responsible business, advantage in owning and using resources, creating superior values, creating effective business strategies, quality business environment and others. Experiences from other countries show that responsibility in business in the conditions of severe market game becomes one of the main managing tools for creating competitive advantage, therefore, why shouldn’t this be accepted by our local employers as well. The improvement of entrepreneurial activities regarding the strengthening of competitive ability of Bosnian and Herzegovinian production enterprises who want to place their products on international market is necessary to be based on fast and strategic orientation of management who is able to use all business opportunities </w:t>
      </w:r>
      <w:r>
        <w:rPr>
          <w:rFonts w:cs="Times New Roman"/>
        </w:rPr>
        <w:lastRenderedPageBreak/>
        <w:t xml:space="preserve">from wider business surroundings, </w:t>
      </w:r>
      <w:r w:rsidRPr="000D6E81">
        <w:rPr>
          <w:rFonts w:cs="Times New Roman"/>
        </w:rPr>
        <w:t>regardless of inadequate business infrastructure at the state level.</w:t>
      </w:r>
      <w:r>
        <w:rPr>
          <w:rFonts w:cs="Times New Roman"/>
        </w:rPr>
        <w:t xml:space="preserve"> Numerous inventions in the world leading enterprises have changed the business organisation in different ways regarding the reducing operational business costs, increasing income, </w:t>
      </w:r>
      <w:r w:rsidRPr="005D511A">
        <w:rPr>
          <w:rFonts w:cs="Times New Roman"/>
        </w:rPr>
        <w:t>positioned themselves in the minds of customers and provide these companies an advantage over the competition.</w:t>
      </w:r>
      <w:r>
        <w:rPr>
          <w:rFonts w:cs="Times New Roman"/>
        </w:rPr>
        <w:t xml:space="preserve"> One way of providing export capacity is constant introduction of new business ideas, innovation of products, services, business processes combining with other important factors in business process. </w:t>
      </w:r>
      <w:r w:rsidR="005F4A92">
        <w:rPr>
          <w:rFonts w:cs="Times New Roman"/>
        </w:rPr>
        <w:tab/>
      </w:r>
      <w:r w:rsidR="005F4A92">
        <w:rPr>
          <w:rFonts w:cs="Times New Roman"/>
        </w:rPr>
        <w:tab/>
      </w:r>
      <w:r>
        <w:rPr>
          <w:rFonts w:cs="Times New Roman"/>
        </w:rPr>
        <w:t xml:space="preserve">Innovations can be found in small countries in transition such as Bosnia and Herzegovina, and in minor companies, in particular if they are brought to attention on time and accepted by management and if it is possible to manage them successfully. </w:t>
      </w:r>
    </w:p>
    <w:p w:rsidR="00F80803" w:rsidRPr="00136F9C" w:rsidRDefault="00F80803" w:rsidP="005F4A92">
      <w:pPr>
        <w:jc w:val="center"/>
        <w:rPr>
          <w:rFonts w:cs="Times New Roman"/>
          <w:b/>
        </w:rPr>
      </w:pPr>
      <w:r w:rsidRPr="00136F9C">
        <w:rPr>
          <w:rFonts w:cs="Times New Roman"/>
          <w:b/>
        </w:rPr>
        <w:t>RESEARCH ON THE EFFECT OF ENTREPRENEURIAL STRATEGIES ON EXPORT CAPACITY OF BH PRODUCTION ENTERPRISES</w:t>
      </w:r>
    </w:p>
    <w:p w:rsidR="00F80803" w:rsidRDefault="00F80803" w:rsidP="00223870">
      <w:pPr>
        <w:ind w:firstLine="720"/>
        <w:rPr>
          <w:rFonts w:cs="Times New Roman"/>
        </w:rPr>
      </w:pPr>
      <w:r>
        <w:rPr>
          <w:rFonts w:cs="Times New Roman"/>
        </w:rPr>
        <w:t>In the structure of empirical part of this research article “</w:t>
      </w:r>
      <w:r>
        <w:rPr>
          <w:rFonts w:cs="Times New Roman"/>
          <w:i/>
        </w:rPr>
        <w:t>T</w:t>
      </w:r>
      <w:r w:rsidRPr="00C81D8A">
        <w:rPr>
          <w:rFonts w:cs="Times New Roman"/>
          <w:i/>
        </w:rPr>
        <w:t>he influence of entrepreneurial strat</w:t>
      </w:r>
      <w:r>
        <w:rPr>
          <w:rFonts w:cs="Times New Roman"/>
          <w:i/>
        </w:rPr>
        <w:t xml:space="preserve">egies on creating export capacity of BH production enterprises”, </w:t>
      </w:r>
      <w:r w:rsidRPr="00BA2EF9">
        <w:rPr>
          <w:rFonts w:cs="Times New Roman"/>
        </w:rPr>
        <w:t xml:space="preserve">it </w:t>
      </w:r>
      <w:r>
        <w:rPr>
          <w:rFonts w:cs="Times New Roman"/>
        </w:rPr>
        <w:t>i</w:t>
      </w:r>
      <w:r w:rsidRPr="00BA2EF9">
        <w:rPr>
          <w:rFonts w:cs="Times New Roman"/>
        </w:rPr>
        <w:t xml:space="preserve">s necessary </w:t>
      </w:r>
      <w:r>
        <w:rPr>
          <w:rFonts w:cs="Times New Roman"/>
        </w:rPr>
        <w:t xml:space="preserve">to examine, analyse and theoretically present </w:t>
      </w:r>
      <w:r w:rsidRPr="00BA2EF9">
        <w:rPr>
          <w:rFonts w:cs="Times New Roman"/>
        </w:rPr>
        <w:t>the theoretical positions</w:t>
      </w:r>
      <w:r>
        <w:rPr>
          <w:rFonts w:cs="Times New Roman"/>
        </w:rPr>
        <w:t xml:space="preserve"> of </w:t>
      </w:r>
      <w:r w:rsidRPr="00BA2EF9">
        <w:rPr>
          <w:rFonts w:cs="Times New Roman"/>
        </w:rPr>
        <w:t xml:space="preserve"> 37 managers or owners of </w:t>
      </w:r>
      <w:r>
        <w:rPr>
          <w:rFonts w:cs="Times New Roman"/>
        </w:rPr>
        <w:t>production enterprises in BH, who are engaged in export. Research, analysis and processing are directed towards three generic entrepreneurial strategies mostly used by managers and owners of production enterprises and considered most suitable and</w:t>
      </w:r>
      <w:r w:rsidRPr="00BA2EF9">
        <w:rPr>
          <w:rFonts w:cs="Times New Roman"/>
        </w:rPr>
        <w:t xml:space="preserve"> applicable in the export policy of Bosnian companies.</w:t>
      </w:r>
      <w:r w:rsidR="00223870">
        <w:rPr>
          <w:rFonts w:cs="Times New Roman"/>
        </w:rPr>
        <w:tab/>
      </w:r>
      <w:r w:rsidR="00223870">
        <w:rPr>
          <w:rFonts w:cs="Times New Roman"/>
        </w:rPr>
        <w:tab/>
      </w:r>
      <w:r>
        <w:rPr>
          <w:rFonts w:cs="Times New Roman"/>
        </w:rPr>
        <w:t>Empirical research has been conducted using the survey questionnaire containing four questions. The analyses of data collected tries to prove and present generic strategies which are the most frequently used, more efficient than others, and the most competitive and applicable by the producers of BH. In addition, it is possible that all three generic strategies are equally important, or important enough regarding the difference in opinions of survey participants which is statistically a minor difference. Therefore, T-test has been conducted as well. Regarding this, T-test indicates whether exists significant statistics difference in the participants’ opinions regarding the generic strategies, i.e., whether the difference between the participants is significant. Besides T-test, descriptive statistics has been conducted as well, for each question, in order to obtain a clear picture of attitudes of managers or the owners of importance of individual generic strategies in export policy of BH.</w:t>
      </w:r>
      <w:r w:rsidRPr="008E31A6">
        <w:t xml:space="preserve"> </w:t>
      </w:r>
      <w:r>
        <w:t>I</w:t>
      </w:r>
      <w:r w:rsidRPr="008E31A6">
        <w:rPr>
          <w:rFonts w:cs="Times New Roman"/>
        </w:rPr>
        <w:t>n addition to the</w:t>
      </w:r>
      <w:r>
        <w:rPr>
          <w:rFonts w:cs="Times New Roman"/>
        </w:rPr>
        <w:t xml:space="preserve"> arithmetic</w:t>
      </w:r>
      <w:r w:rsidRPr="008E31A6">
        <w:rPr>
          <w:rFonts w:cs="Times New Roman"/>
        </w:rPr>
        <w:t xml:space="preserve"> mean, standard deviation</w:t>
      </w:r>
      <w:r>
        <w:rPr>
          <w:rFonts w:cs="Times New Roman"/>
        </w:rPr>
        <w:t xml:space="preserve">s and coefficient of variation, </w:t>
      </w:r>
      <w:r w:rsidRPr="008E31A6">
        <w:rPr>
          <w:rFonts w:cs="Times New Roman"/>
        </w:rPr>
        <w:t>measures of central tendency</w:t>
      </w:r>
      <w:r>
        <w:rPr>
          <w:rFonts w:cs="Times New Roman"/>
        </w:rPr>
        <w:t xml:space="preserve"> have been obtained</w:t>
      </w:r>
      <w:r w:rsidRPr="008E31A6">
        <w:rPr>
          <w:rFonts w:cs="Times New Roman"/>
        </w:rPr>
        <w:t>,</w:t>
      </w:r>
      <w:r>
        <w:rPr>
          <w:rFonts w:cs="Times New Roman"/>
        </w:rPr>
        <w:t xml:space="preserve"> as well, </w:t>
      </w:r>
      <w:r w:rsidRPr="008E31A6">
        <w:rPr>
          <w:rFonts w:cs="Times New Roman"/>
        </w:rPr>
        <w:t xml:space="preserve"> i.e. mode a</w:t>
      </w:r>
      <w:r>
        <w:rPr>
          <w:rFonts w:cs="Times New Roman"/>
        </w:rPr>
        <w:t>nd median. Since this is a minor</w:t>
      </w:r>
      <w:r w:rsidRPr="008E31A6">
        <w:rPr>
          <w:rFonts w:cs="Times New Roman"/>
        </w:rPr>
        <w:t xml:space="preserve"> sample, less than 50</w:t>
      </w:r>
      <w:r>
        <w:rPr>
          <w:rFonts w:cs="Times New Roman"/>
        </w:rPr>
        <w:t xml:space="preserve"> observations, in order to examine the arithmetic mean, it is preferred</w:t>
      </w:r>
      <w:r w:rsidRPr="008E31A6">
        <w:rPr>
          <w:rFonts w:cs="Times New Roman"/>
        </w:rPr>
        <w:t xml:space="preserve"> to work mode as the </w:t>
      </w:r>
      <w:r>
        <w:rPr>
          <w:rFonts w:cs="Times New Roman"/>
        </w:rPr>
        <w:t>most common response of participants</w:t>
      </w:r>
      <w:r w:rsidRPr="008E31A6">
        <w:rPr>
          <w:rFonts w:cs="Times New Roman"/>
        </w:rPr>
        <w:t xml:space="preserve"> and median, which </w:t>
      </w:r>
      <w:r>
        <w:rPr>
          <w:rFonts w:cs="Times New Roman"/>
        </w:rPr>
        <w:t xml:space="preserve">poles the appearance </w:t>
      </w:r>
      <w:r w:rsidRPr="008E31A6">
        <w:rPr>
          <w:rFonts w:cs="Times New Roman"/>
        </w:rPr>
        <w:t>into two equal parts.</w:t>
      </w:r>
      <w:r>
        <w:rPr>
          <w:rFonts w:cs="Times New Roman"/>
        </w:rPr>
        <w:t xml:space="preserve"> </w:t>
      </w:r>
      <w:r w:rsidR="00223870">
        <w:rPr>
          <w:rFonts w:cs="Times New Roman"/>
        </w:rPr>
        <w:tab/>
      </w:r>
      <w:r w:rsidR="00223870">
        <w:rPr>
          <w:rFonts w:cs="Times New Roman"/>
        </w:rPr>
        <w:tab/>
      </w:r>
      <w:r w:rsidR="00223870">
        <w:rPr>
          <w:rFonts w:cs="Times New Roman"/>
        </w:rPr>
        <w:tab/>
      </w:r>
      <w:r w:rsidR="00223870">
        <w:rPr>
          <w:rFonts w:cs="Times New Roman"/>
        </w:rPr>
        <w:tab/>
      </w:r>
      <w:r w:rsidR="00223870">
        <w:rPr>
          <w:rFonts w:cs="Times New Roman"/>
        </w:rPr>
        <w:tab/>
      </w:r>
      <w:r>
        <w:rPr>
          <w:rFonts w:cs="Times New Roman"/>
        </w:rPr>
        <w:t xml:space="preserve">Based on the five factors which affect the appealing to industrial sector Porter developed possible strategies whose main dimensions are competitive advantage and level of market coverage. </w:t>
      </w:r>
      <w:r w:rsidRPr="00BD5A01">
        <w:rPr>
          <w:rFonts w:cs="Times New Roman"/>
        </w:rPr>
        <w:t>For the purpose of conducting research procedure in this article</w:t>
      </w:r>
      <w:r>
        <w:rPr>
          <w:rFonts w:cs="Times New Roman"/>
        </w:rPr>
        <w:t>,</w:t>
      </w:r>
      <w:r w:rsidRPr="00BD5A01">
        <w:rPr>
          <w:rFonts w:cs="Times New Roman"/>
        </w:rPr>
        <w:t xml:space="preserve"> three types of generic strategies</w:t>
      </w:r>
      <w:r>
        <w:rPr>
          <w:rFonts w:cs="Times New Roman"/>
        </w:rPr>
        <w:t xml:space="preserve"> </w:t>
      </w:r>
      <w:r w:rsidRPr="00BD5A01">
        <w:rPr>
          <w:rFonts w:cs="Times New Roman"/>
        </w:rPr>
        <w:t xml:space="preserve">are listed, namely: </w:t>
      </w:r>
      <w:r>
        <w:rPr>
          <w:rFonts w:cs="Times New Roman"/>
        </w:rPr>
        <w:t xml:space="preserve">Cost leadership strategy, Differentiation strategy, and Focus strategy. </w:t>
      </w:r>
      <w:r w:rsidR="00223870">
        <w:rPr>
          <w:rFonts w:cs="Times New Roman"/>
        </w:rPr>
        <w:tab/>
      </w:r>
      <w:r w:rsidR="00223870">
        <w:rPr>
          <w:rFonts w:cs="Times New Roman"/>
        </w:rPr>
        <w:tab/>
      </w:r>
      <w:r w:rsidR="00223870">
        <w:rPr>
          <w:rFonts w:cs="Times New Roman"/>
        </w:rPr>
        <w:tab/>
      </w:r>
      <w:r w:rsidR="00223870">
        <w:rPr>
          <w:rFonts w:cs="Times New Roman"/>
        </w:rPr>
        <w:tab/>
      </w:r>
      <w:r w:rsidR="00223870">
        <w:rPr>
          <w:rFonts w:cs="Times New Roman"/>
        </w:rPr>
        <w:tab/>
      </w:r>
      <w:r w:rsidR="00223870">
        <w:rPr>
          <w:rFonts w:cs="Times New Roman"/>
        </w:rPr>
        <w:tab/>
      </w:r>
      <w:r w:rsidR="00223870">
        <w:rPr>
          <w:rFonts w:cs="Times New Roman"/>
        </w:rPr>
        <w:tab/>
      </w:r>
      <w:r>
        <w:rPr>
          <w:rFonts w:cs="Times New Roman"/>
        </w:rPr>
        <w:t xml:space="preserve">Cost leadership strategy is based on competitive advantage of lower costs in order to reach </w:t>
      </w:r>
      <w:r w:rsidRPr="0001199D">
        <w:rPr>
          <w:rFonts w:cs="Times New Roman"/>
        </w:rPr>
        <w:t>an increase market share and increase in target market segments.</w:t>
      </w:r>
      <w:r>
        <w:rPr>
          <w:rFonts w:cs="Times New Roman"/>
        </w:rPr>
        <w:t xml:space="preserve"> </w:t>
      </w:r>
      <w:r w:rsidRPr="007E12F7">
        <w:rPr>
          <w:rFonts w:cs="Times New Roman"/>
        </w:rPr>
        <w:t xml:space="preserve">The basis of this strategy is the efficient management of resources, </w:t>
      </w:r>
      <w:r>
        <w:rPr>
          <w:rFonts w:cs="Times New Roman"/>
        </w:rPr>
        <w:t xml:space="preserve">and through the flow of </w:t>
      </w:r>
      <w:r w:rsidRPr="007E12F7">
        <w:rPr>
          <w:rFonts w:cs="Times New Roman"/>
        </w:rPr>
        <w:t>experience, econ</w:t>
      </w:r>
      <w:r>
        <w:rPr>
          <w:rFonts w:cs="Times New Roman"/>
        </w:rPr>
        <w:t xml:space="preserve">omies of scale, tight </w:t>
      </w:r>
      <w:r w:rsidRPr="007E12F7">
        <w:rPr>
          <w:rFonts w:cs="Times New Roman"/>
        </w:rPr>
        <w:t>costs</w:t>
      </w:r>
      <w:r>
        <w:rPr>
          <w:rFonts w:cs="Times New Roman"/>
        </w:rPr>
        <w:t xml:space="preserve"> control</w:t>
      </w:r>
      <w:r w:rsidRPr="007E12F7">
        <w:rPr>
          <w:rFonts w:cs="Times New Roman"/>
        </w:rPr>
        <w:t xml:space="preserve">, lowers the cost price of the product. </w:t>
      </w:r>
      <w:r w:rsidRPr="007E12F7">
        <w:rPr>
          <w:rFonts w:cs="Times New Roman"/>
        </w:rPr>
        <w:lastRenderedPageBreak/>
        <w:t>In this way organizations build their competitive advantage.</w:t>
      </w:r>
      <w:r w:rsidR="00223870">
        <w:rPr>
          <w:rFonts w:cs="Times New Roman"/>
        </w:rPr>
        <w:tab/>
      </w:r>
      <w:r w:rsidR="00223870">
        <w:rPr>
          <w:rFonts w:cs="Times New Roman"/>
        </w:rPr>
        <w:tab/>
      </w:r>
      <w:r w:rsidR="00223870">
        <w:rPr>
          <w:rFonts w:cs="Times New Roman"/>
        </w:rPr>
        <w:tab/>
      </w:r>
      <w:r w:rsidR="00223870">
        <w:rPr>
          <w:rFonts w:cs="Times New Roman"/>
        </w:rPr>
        <w:tab/>
      </w:r>
      <w:r w:rsidR="00223870">
        <w:rPr>
          <w:rFonts w:cs="Times New Roman"/>
        </w:rPr>
        <w:tab/>
      </w:r>
      <w:r>
        <w:rPr>
          <w:rFonts w:cs="Times New Roman"/>
        </w:rPr>
        <w:t xml:space="preserve">Differentiation strategy is based on differentiation in relation to competition. The main aim of the company is to offer the products/services different from other competitors in the same industry, but to reach larger number of target market segments. The most important requirement for success of this strategy is analysing customers’ needs and their behaviour and establishing what is most preferable for the customers. If the differentiation strategy is successfully conducted, the company has the opportunity to: determine higher prices (premium prices), secure customers’ loyalty and increase sales volume. The most preferable is differentiation on several bases, smaller the similarity over the competition, larger increase of market share and protection from the competition.  </w:t>
      </w:r>
      <w:r w:rsidR="00223870">
        <w:rPr>
          <w:rFonts w:cs="Times New Roman"/>
        </w:rPr>
        <w:tab/>
      </w:r>
      <w:r w:rsidR="00223870">
        <w:rPr>
          <w:rFonts w:cs="Times New Roman"/>
        </w:rPr>
        <w:tab/>
      </w:r>
      <w:r w:rsidR="00223870">
        <w:rPr>
          <w:rFonts w:cs="Times New Roman"/>
        </w:rPr>
        <w:tab/>
      </w:r>
      <w:r w:rsidR="00223870">
        <w:rPr>
          <w:rFonts w:cs="Times New Roman"/>
        </w:rPr>
        <w:tab/>
      </w:r>
      <w:r w:rsidR="00223870">
        <w:rPr>
          <w:rFonts w:cs="Times New Roman"/>
        </w:rPr>
        <w:tab/>
      </w:r>
      <w:r w:rsidR="00223870">
        <w:rPr>
          <w:rFonts w:cs="Times New Roman"/>
        </w:rPr>
        <w:tab/>
      </w:r>
      <w:r w:rsidR="00223870">
        <w:rPr>
          <w:rFonts w:cs="Times New Roman"/>
        </w:rPr>
        <w:tab/>
      </w:r>
      <w:r w:rsidR="00223870">
        <w:rPr>
          <w:rFonts w:cs="Times New Roman"/>
        </w:rPr>
        <w:tab/>
      </w:r>
      <w:r w:rsidR="00223870">
        <w:rPr>
          <w:rFonts w:cs="Times New Roman"/>
        </w:rPr>
        <w:tab/>
      </w:r>
      <w:r w:rsidR="00223870">
        <w:rPr>
          <w:rFonts w:cs="Times New Roman"/>
        </w:rPr>
        <w:tab/>
      </w:r>
      <w:r w:rsidR="00223870">
        <w:rPr>
          <w:rFonts w:cs="Times New Roman"/>
        </w:rPr>
        <w:tab/>
      </w:r>
      <w:r>
        <w:rPr>
          <w:rFonts w:cs="Times New Roman"/>
        </w:rPr>
        <w:t xml:space="preserve">Focus strategy is based on implementation on focused market segment on the entire market. The focus is on satisfying the needs of certain group of customers, while the limits of market segments can be defined geographically or based on product line. The focus strategy is derived from two basic strategies- Cost leadership strategy and Focus strategy. </w:t>
      </w:r>
      <w:r w:rsidR="00223870">
        <w:rPr>
          <w:rFonts w:cs="Times New Roman"/>
        </w:rPr>
        <w:tab/>
      </w:r>
      <w:r w:rsidR="00223870">
        <w:rPr>
          <w:rFonts w:cs="Times New Roman"/>
        </w:rPr>
        <w:tab/>
      </w:r>
      <w:r w:rsidR="00223870">
        <w:rPr>
          <w:rFonts w:cs="Times New Roman"/>
        </w:rPr>
        <w:tab/>
      </w:r>
      <w:r w:rsidR="00223870">
        <w:rPr>
          <w:rFonts w:cs="Times New Roman"/>
        </w:rPr>
        <w:tab/>
      </w:r>
      <w:r w:rsidR="00223870">
        <w:rPr>
          <w:rFonts w:cs="Times New Roman"/>
        </w:rPr>
        <w:tab/>
      </w:r>
      <w:r w:rsidR="00223870">
        <w:rPr>
          <w:rFonts w:cs="Times New Roman"/>
        </w:rPr>
        <w:tab/>
      </w:r>
      <w:r w:rsidR="00223870">
        <w:rPr>
          <w:rFonts w:cs="Times New Roman"/>
        </w:rPr>
        <w:tab/>
      </w:r>
      <w:r w:rsidR="00223870">
        <w:rPr>
          <w:rFonts w:cs="Times New Roman"/>
        </w:rPr>
        <w:tab/>
      </w:r>
      <w:r w:rsidR="00223870">
        <w:rPr>
          <w:rFonts w:cs="Times New Roman"/>
        </w:rPr>
        <w:tab/>
      </w:r>
      <w:r w:rsidR="00223870">
        <w:rPr>
          <w:rFonts w:cs="Times New Roman"/>
        </w:rPr>
        <w:tab/>
      </w:r>
      <w:r>
        <w:rPr>
          <w:rFonts w:cs="Times New Roman"/>
        </w:rPr>
        <w:t xml:space="preserve">Survey questionnaire is set according to Likert -type scale, and answers provided are rated according to scale from 1-5, </w:t>
      </w:r>
      <w:r w:rsidRPr="00E476D7">
        <w:rPr>
          <w:rFonts w:cs="Times New Roman"/>
        </w:rPr>
        <w:t xml:space="preserve">where 1 means the lowest </w:t>
      </w:r>
      <w:r>
        <w:rPr>
          <w:rFonts w:cs="Times New Roman"/>
        </w:rPr>
        <w:t xml:space="preserve">level of agreement with the </w:t>
      </w:r>
      <w:r w:rsidRPr="00E476D7">
        <w:rPr>
          <w:rFonts w:cs="Times New Roman"/>
        </w:rPr>
        <w:t>statement</w:t>
      </w:r>
      <w:r>
        <w:rPr>
          <w:rFonts w:cs="Times New Roman"/>
        </w:rPr>
        <w:t xml:space="preserve"> set</w:t>
      </w:r>
      <w:r w:rsidRPr="00E476D7">
        <w:rPr>
          <w:rFonts w:cs="Times New Roman"/>
        </w:rPr>
        <w:t>, and 5 the highest level of agreement with the statement</w:t>
      </w:r>
      <w:r>
        <w:rPr>
          <w:rFonts w:cs="Times New Roman"/>
        </w:rPr>
        <w:t xml:space="preserve"> set</w:t>
      </w:r>
      <w:r w:rsidRPr="00E476D7">
        <w:rPr>
          <w:rFonts w:cs="Times New Roman"/>
        </w:rPr>
        <w:t>:</w:t>
      </w:r>
    </w:p>
    <w:p w:rsidR="00F80803" w:rsidRDefault="00F80803" w:rsidP="00F80803">
      <w:pPr>
        <w:pStyle w:val="ListParagraph"/>
        <w:numPr>
          <w:ilvl w:val="0"/>
          <w:numId w:val="10"/>
        </w:numPr>
        <w:tabs>
          <w:tab w:val="left" w:pos="7290"/>
        </w:tabs>
        <w:spacing w:before="0"/>
        <w:jc w:val="both"/>
        <w:rPr>
          <w:rFonts w:cs="Times New Roman"/>
          <w:lang w:val="en-GB"/>
        </w:rPr>
      </w:pPr>
      <w:r>
        <w:rPr>
          <w:rFonts w:cs="Times New Roman"/>
          <w:lang w:val="en-GB"/>
        </w:rPr>
        <w:t>Strongly Disagree,</w:t>
      </w:r>
    </w:p>
    <w:p w:rsidR="00F80803" w:rsidRDefault="00F80803" w:rsidP="00F80803">
      <w:pPr>
        <w:pStyle w:val="ListParagraph"/>
        <w:numPr>
          <w:ilvl w:val="0"/>
          <w:numId w:val="10"/>
        </w:numPr>
        <w:tabs>
          <w:tab w:val="left" w:pos="7290"/>
        </w:tabs>
        <w:spacing w:before="0"/>
        <w:jc w:val="both"/>
        <w:rPr>
          <w:rFonts w:cs="Times New Roman"/>
          <w:lang w:val="en-GB"/>
        </w:rPr>
      </w:pPr>
      <w:r>
        <w:rPr>
          <w:rFonts w:cs="Times New Roman"/>
          <w:lang w:val="en-GB"/>
        </w:rPr>
        <w:t>Disagree,</w:t>
      </w:r>
    </w:p>
    <w:p w:rsidR="00F80803" w:rsidRDefault="00F80803" w:rsidP="00F80803">
      <w:pPr>
        <w:pStyle w:val="ListParagraph"/>
        <w:numPr>
          <w:ilvl w:val="0"/>
          <w:numId w:val="10"/>
        </w:numPr>
        <w:tabs>
          <w:tab w:val="left" w:pos="7290"/>
        </w:tabs>
        <w:spacing w:before="0"/>
        <w:jc w:val="both"/>
        <w:rPr>
          <w:rFonts w:cs="Times New Roman"/>
          <w:lang w:val="en-GB"/>
        </w:rPr>
      </w:pPr>
      <w:r>
        <w:rPr>
          <w:rFonts w:cs="Times New Roman"/>
          <w:lang w:val="en-GB"/>
        </w:rPr>
        <w:t>Undecided,</w:t>
      </w:r>
    </w:p>
    <w:p w:rsidR="00F80803" w:rsidRDefault="00F80803" w:rsidP="00F80803">
      <w:pPr>
        <w:pStyle w:val="ListParagraph"/>
        <w:numPr>
          <w:ilvl w:val="0"/>
          <w:numId w:val="10"/>
        </w:numPr>
        <w:tabs>
          <w:tab w:val="left" w:pos="7290"/>
        </w:tabs>
        <w:spacing w:before="0"/>
        <w:jc w:val="both"/>
        <w:rPr>
          <w:rFonts w:cs="Times New Roman"/>
          <w:lang w:val="en-GB"/>
        </w:rPr>
      </w:pPr>
      <w:r>
        <w:rPr>
          <w:rFonts w:cs="Times New Roman"/>
          <w:lang w:val="en-GB"/>
        </w:rPr>
        <w:t>Agree,</w:t>
      </w:r>
    </w:p>
    <w:p w:rsidR="00F80803" w:rsidRDefault="00F80803" w:rsidP="00F80803">
      <w:pPr>
        <w:pStyle w:val="ListParagraph"/>
        <w:numPr>
          <w:ilvl w:val="0"/>
          <w:numId w:val="10"/>
        </w:numPr>
        <w:tabs>
          <w:tab w:val="left" w:pos="7290"/>
        </w:tabs>
        <w:spacing w:before="0"/>
        <w:jc w:val="both"/>
        <w:rPr>
          <w:rFonts w:cs="Times New Roman"/>
          <w:lang w:val="en-GB"/>
        </w:rPr>
      </w:pPr>
      <w:r>
        <w:rPr>
          <w:rFonts w:cs="Times New Roman"/>
          <w:lang w:val="en-GB"/>
        </w:rPr>
        <w:t>Strongly Agree</w:t>
      </w:r>
    </w:p>
    <w:p w:rsidR="00F80803" w:rsidRDefault="00704705" w:rsidP="00F80803">
      <w:pPr>
        <w:tabs>
          <w:tab w:val="left" w:pos="7290"/>
        </w:tabs>
        <w:rPr>
          <w:rFonts w:cs="Times New Roman"/>
        </w:rPr>
      </w:pPr>
      <w:r>
        <w:rPr>
          <w:rFonts w:cs="Times New Roman"/>
        </w:rPr>
        <w:t xml:space="preserve">             </w:t>
      </w:r>
      <w:r w:rsidR="00F80803">
        <w:rPr>
          <w:rFonts w:cs="Times New Roman"/>
        </w:rPr>
        <w:t xml:space="preserve">Survey questionnaire used for research of managers and owners’ opinions, which are in export business, was as follows: </w:t>
      </w:r>
    </w:p>
    <w:p w:rsidR="00704705" w:rsidRDefault="00704705" w:rsidP="00704705">
      <w:pPr>
        <w:pStyle w:val="NoSpacing"/>
        <w:ind w:firstLine="720"/>
      </w:pPr>
    </w:p>
    <w:p w:rsidR="00F80803" w:rsidRPr="00136F9C" w:rsidRDefault="00F80803" w:rsidP="00704705">
      <w:pPr>
        <w:pStyle w:val="NoSpacing"/>
        <w:ind w:firstLine="720"/>
      </w:pPr>
      <w:r>
        <w:t>Rate</w:t>
      </w:r>
      <w:r w:rsidRPr="007820CD">
        <w:t xml:space="preserve"> which of the three possible generic strategies largely contributes to creating a positive export policy in Bosnia and Herzegovina?</w:t>
      </w:r>
    </w:p>
    <w:tbl>
      <w:tblPr>
        <w:tblStyle w:val="TableGrid"/>
        <w:tblW w:w="0" w:type="auto"/>
        <w:tblInd w:w="360" w:type="dxa"/>
        <w:tblLook w:val="04A0"/>
      </w:tblPr>
      <w:tblGrid>
        <w:gridCol w:w="4737"/>
        <w:gridCol w:w="812"/>
        <w:gridCol w:w="680"/>
        <w:gridCol w:w="681"/>
        <w:gridCol w:w="812"/>
        <w:gridCol w:w="780"/>
      </w:tblGrid>
      <w:tr w:rsidR="00F80803" w:rsidRPr="00704705" w:rsidTr="00223870">
        <w:tc>
          <w:tcPr>
            <w:tcW w:w="4993" w:type="dxa"/>
          </w:tcPr>
          <w:p w:rsidR="00F80803" w:rsidRPr="00704705" w:rsidRDefault="00F80803" w:rsidP="00704705">
            <w:pPr>
              <w:pStyle w:val="NoSpacing"/>
            </w:pPr>
            <w:r w:rsidRPr="00704705">
              <w:t xml:space="preserve">Cost leadership strategy </w:t>
            </w:r>
          </w:p>
        </w:tc>
        <w:tc>
          <w:tcPr>
            <w:tcW w:w="851" w:type="dxa"/>
          </w:tcPr>
          <w:p w:rsidR="00F80803" w:rsidRPr="00704705" w:rsidRDefault="00F80803" w:rsidP="00704705">
            <w:pPr>
              <w:pStyle w:val="NoSpacing"/>
            </w:pPr>
            <w:r w:rsidRPr="00704705">
              <w:t>1</w:t>
            </w:r>
          </w:p>
        </w:tc>
        <w:tc>
          <w:tcPr>
            <w:tcW w:w="708" w:type="dxa"/>
          </w:tcPr>
          <w:p w:rsidR="00F80803" w:rsidRPr="00704705" w:rsidRDefault="00F80803" w:rsidP="00704705">
            <w:pPr>
              <w:pStyle w:val="NoSpacing"/>
            </w:pPr>
            <w:r w:rsidRPr="00704705">
              <w:t>2</w:t>
            </w:r>
          </w:p>
        </w:tc>
        <w:tc>
          <w:tcPr>
            <w:tcW w:w="709" w:type="dxa"/>
          </w:tcPr>
          <w:p w:rsidR="00F80803" w:rsidRPr="00704705" w:rsidRDefault="00F80803" w:rsidP="00704705">
            <w:pPr>
              <w:pStyle w:val="NoSpacing"/>
            </w:pPr>
            <w:r w:rsidRPr="00704705">
              <w:t>3</w:t>
            </w:r>
          </w:p>
        </w:tc>
        <w:tc>
          <w:tcPr>
            <w:tcW w:w="851" w:type="dxa"/>
          </w:tcPr>
          <w:p w:rsidR="00F80803" w:rsidRPr="00704705" w:rsidRDefault="00F80803" w:rsidP="00704705">
            <w:pPr>
              <w:pStyle w:val="NoSpacing"/>
            </w:pPr>
            <w:r w:rsidRPr="00704705">
              <w:t>4</w:t>
            </w:r>
          </w:p>
        </w:tc>
        <w:tc>
          <w:tcPr>
            <w:tcW w:w="816" w:type="dxa"/>
          </w:tcPr>
          <w:p w:rsidR="00F80803" w:rsidRPr="00704705" w:rsidRDefault="00F80803" w:rsidP="00704705">
            <w:pPr>
              <w:pStyle w:val="NoSpacing"/>
            </w:pPr>
            <w:r w:rsidRPr="00704705">
              <w:t>5</w:t>
            </w:r>
          </w:p>
        </w:tc>
      </w:tr>
      <w:tr w:rsidR="00F80803" w:rsidRPr="00704705" w:rsidTr="00223870">
        <w:tc>
          <w:tcPr>
            <w:tcW w:w="4993" w:type="dxa"/>
          </w:tcPr>
          <w:p w:rsidR="00F80803" w:rsidRPr="00704705" w:rsidRDefault="00F80803" w:rsidP="00704705">
            <w:pPr>
              <w:pStyle w:val="NoSpacing"/>
            </w:pPr>
            <w:r w:rsidRPr="00704705">
              <w:t>Differentiation strategy</w:t>
            </w:r>
          </w:p>
        </w:tc>
        <w:tc>
          <w:tcPr>
            <w:tcW w:w="851" w:type="dxa"/>
          </w:tcPr>
          <w:p w:rsidR="00F80803" w:rsidRPr="00704705" w:rsidRDefault="00F80803" w:rsidP="00704705">
            <w:pPr>
              <w:pStyle w:val="NoSpacing"/>
            </w:pPr>
            <w:r w:rsidRPr="00704705">
              <w:t>1</w:t>
            </w:r>
          </w:p>
        </w:tc>
        <w:tc>
          <w:tcPr>
            <w:tcW w:w="708" w:type="dxa"/>
          </w:tcPr>
          <w:p w:rsidR="00F80803" w:rsidRPr="00704705" w:rsidRDefault="00F80803" w:rsidP="00704705">
            <w:pPr>
              <w:pStyle w:val="NoSpacing"/>
            </w:pPr>
            <w:r w:rsidRPr="00704705">
              <w:t>2</w:t>
            </w:r>
          </w:p>
        </w:tc>
        <w:tc>
          <w:tcPr>
            <w:tcW w:w="709" w:type="dxa"/>
          </w:tcPr>
          <w:p w:rsidR="00F80803" w:rsidRPr="00704705" w:rsidRDefault="00F80803" w:rsidP="00704705">
            <w:pPr>
              <w:pStyle w:val="NoSpacing"/>
            </w:pPr>
            <w:r w:rsidRPr="00704705">
              <w:t>3</w:t>
            </w:r>
          </w:p>
        </w:tc>
        <w:tc>
          <w:tcPr>
            <w:tcW w:w="851" w:type="dxa"/>
          </w:tcPr>
          <w:p w:rsidR="00F80803" w:rsidRPr="00704705" w:rsidRDefault="00F80803" w:rsidP="00704705">
            <w:pPr>
              <w:pStyle w:val="NoSpacing"/>
            </w:pPr>
            <w:r w:rsidRPr="00704705">
              <w:t>4</w:t>
            </w:r>
          </w:p>
        </w:tc>
        <w:tc>
          <w:tcPr>
            <w:tcW w:w="816" w:type="dxa"/>
          </w:tcPr>
          <w:p w:rsidR="00F80803" w:rsidRPr="00704705" w:rsidRDefault="00F80803" w:rsidP="00704705">
            <w:pPr>
              <w:pStyle w:val="NoSpacing"/>
            </w:pPr>
            <w:r w:rsidRPr="00704705">
              <w:t>5</w:t>
            </w:r>
          </w:p>
        </w:tc>
      </w:tr>
      <w:tr w:rsidR="00F80803" w:rsidRPr="00704705" w:rsidTr="00223870">
        <w:tc>
          <w:tcPr>
            <w:tcW w:w="4993" w:type="dxa"/>
          </w:tcPr>
          <w:p w:rsidR="00F80803" w:rsidRPr="00704705" w:rsidRDefault="00F80803" w:rsidP="00704705">
            <w:pPr>
              <w:pStyle w:val="NoSpacing"/>
            </w:pPr>
            <w:r w:rsidRPr="00704705">
              <w:t>Focus strategy</w:t>
            </w:r>
          </w:p>
        </w:tc>
        <w:tc>
          <w:tcPr>
            <w:tcW w:w="851" w:type="dxa"/>
          </w:tcPr>
          <w:p w:rsidR="00F80803" w:rsidRPr="00704705" w:rsidRDefault="00F80803" w:rsidP="00704705">
            <w:pPr>
              <w:pStyle w:val="NoSpacing"/>
            </w:pPr>
            <w:r w:rsidRPr="00704705">
              <w:t>1</w:t>
            </w:r>
          </w:p>
        </w:tc>
        <w:tc>
          <w:tcPr>
            <w:tcW w:w="708" w:type="dxa"/>
          </w:tcPr>
          <w:p w:rsidR="00F80803" w:rsidRPr="00704705" w:rsidRDefault="00F80803" w:rsidP="00704705">
            <w:pPr>
              <w:pStyle w:val="NoSpacing"/>
            </w:pPr>
            <w:r w:rsidRPr="00704705">
              <w:t>2</w:t>
            </w:r>
          </w:p>
        </w:tc>
        <w:tc>
          <w:tcPr>
            <w:tcW w:w="709" w:type="dxa"/>
          </w:tcPr>
          <w:p w:rsidR="00F80803" w:rsidRPr="00704705" w:rsidRDefault="00F80803" w:rsidP="00704705">
            <w:pPr>
              <w:pStyle w:val="NoSpacing"/>
            </w:pPr>
            <w:r w:rsidRPr="00704705">
              <w:t>3</w:t>
            </w:r>
          </w:p>
        </w:tc>
        <w:tc>
          <w:tcPr>
            <w:tcW w:w="851" w:type="dxa"/>
          </w:tcPr>
          <w:p w:rsidR="00F80803" w:rsidRPr="00704705" w:rsidRDefault="00F80803" w:rsidP="00704705">
            <w:pPr>
              <w:pStyle w:val="NoSpacing"/>
            </w:pPr>
            <w:r w:rsidRPr="00704705">
              <w:t>4</w:t>
            </w:r>
          </w:p>
        </w:tc>
        <w:tc>
          <w:tcPr>
            <w:tcW w:w="816" w:type="dxa"/>
          </w:tcPr>
          <w:p w:rsidR="00F80803" w:rsidRPr="00704705" w:rsidRDefault="00F80803" w:rsidP="00704705">
            <w:pPr>
              <w:pStyle w:val="NoSpacing"/>
            </w:pPr>
            <w:r w:rsidRPr="00704705">
              <w:t>5</w:t>
            </w:r>
          </w:p>
        </w:tc>
      </w:tr>
    </w:tbl>
    <w:p w:rsidR="00F80803" w:rsidRPr="00704705" w:rsidRDefault="00F80803" w:rsidP="00704705">
      <w:pPr>
        <w:pStyle w:val="NoSpacing"/>
        <w:rPr>
          <w:sz w:val="22"/>
          <w:szCs w:val="22"/>
        </w:rPr>
      </w:pPr>
    </w:p>
    <w:p w:rsidR="00F80803" w:rsidRPr="00136F9C" w:rsidRDefault="00F80803" w:rsidP="00704705">
      <w:pPr>
        <w:pStyle w:val="NoSpacing"/>
        <w:ind w:firstLine="720"/>
      </w:pPr>
      <w:r>
        <w:t>Rate</w:t>
      </w:r>
      <w:r w:rsidRPr="007820CD">
        <w:t xml:space="preserve"> which of the three possible generic strategies largely increase the export capacity of the BH enterprises?</w:t>
      </w:r>
    </w:p>
    <w:tbl>
      <w:tblPr>
        <w:tblStyle w:val="TableGrid"/>
        <w:tblW w:w="0" w:type="auto"/>
        <w:tblInd w:w="360" w:type="dxa"/>
        <w:tblLook w:val="04A0"/>
      </w:tblPr>
      <w:tblGrid>
        <w:gridCol w:w="4737"/>
        <w:gridCol w:w="812"/>
        <w:gridCol w:w="680"/>
        <w:gridCol w:w="681"/>
        <w:gridCol w:w="812"/>
        <w:gridCol w:w="780"/>
      </w:tblGrid>
      <w:tr w:rsidR="00F80803" w:rsidTr="00223870">
        <w:tc>
          <w:tcPr>
            <w:tcW w:w="4993" w:type="dxa"/>
          </w:tcPr>
          <w:p w:rsidR="00F80803" w:rsidRPr="00704705" w:rsidRDefault="00F80803" w:rsidP="00704705">
            <w:pPr>
              <w:pStyle w:val="NoSpacing"/>
            </w:pPr>
            <w:r w:rsidRPr="00704705">
              <w:t xml:space="preserve">Cost leadership strategy </w:t>
            </w:r>
          </w:p>
        </w:tc>
        <w:tc>
          <w:tcPr>
            <w:tcW w:w="851" w:type="dxa"/>
          </w:tcPr>
          <w:p w:rsidR="00F80803" w:rsidRPr="00704705" w:rsidRDefault="00F80803" w:rsidP="00704705">
            <w:pPr>
              <w:pStyle w:val="NoSpacing"/>
            </w:pPr>
            <w:r w:rsidRPr="00704705">
              <w:t>1</w:t>
            </w:r>
          </w:p>
        </w:tc>
        <w:tc>
          <w:tcPr>
            <w:tcW w:w="708" w:type="dxa"/>
          </w:tcPr>
          <w:p w:rsidR="00F80803" w:rsidRPr="00704705" w:rsidRDefault="00F80803" w:rsidP="00704705">
            <w:pPr>
              <w:pStyle w:val="NoSpacing"/>
            </w:pPr>
            <w:r w:rsidRPr="00704705">
              <w:t>2</w:t>
            </w:r>
          </w:p>
        </w:tc>
        <w:tc>
          <w:tcPr>
            <w:tcW w:w="709" w:type="dxa"/>
          </w:tcPr>
          <w:p w:rsidR="00F80803" w:rsidRPr="00704705" w:rsidRDefault="00F80803" w:rsidP="00704705">
            <w:pPr>
              <w:pStyle w:val="NoSpacing"/>
            </w:pPr>
            <w:r w:rsidRPr="00704705">
              <w:t>3</w:t>
            </w:r>
          </w:p>
        </w:tc>
        <w:tc>
          <w:tcPr>
            <w:tcW w:w="851" w:type="dxa"/>
          </w:tcPr>
          <w:p w:rsidR="00F80803" w:rsidRPr="00704705" w:rsidRDefault="00F80803" w:rsidP="00704705">
            <w:pPr>
              <w:pStyle w:val="NoSpacing"/>
            </w:pPr>
            <w:r w:rsidRPr="00704705">
              <w:t>4</w:t>
            </w:r>
          </w:p>
        </w:tc>
        <w:tc>
          <w:tcPr>
            <w:tcW w:w="816" w:type="dxa"/>
          </w:tcPr>
          <w:p w:rsidR="00F80803" w:rsidRPr="00704705" w:rsidRDefault="00F80803" w:rsidP="00704705">
            <w:pPr>
              <w:pStyle w:val="NoSpacing"/>
            </w:pPr>
            <w:r w:rsidRPr="00704705">
              <w:t>5</w:t>
            </w:r>
          </w:p>
        </w:tc>
      </w:tr>
      <w:tr w:rsidR="00F80803" w:rsidTr="00223870">
        <w:tc>
          <w:tcPr>
            <w:tcW w:w="4993" w:type="dxa"/>
          </w:tcPr>
          <w:p w:rsidR="00F80803" w:rsidRPr="00704705" w:rsidRDefault="00F80803" w:rsidP="00704705">
            <w:pPr>
              <w:pStyle w:val="NoSpacing"/>
            </w:pPr>
            <w:r w:rsidRPr="00704705">
              <w:t>Differentiation strategy</w:t>
            </w:r>
          </w:p>
        </w:tc>
        <w:tc>
          <w:tcPr>
            <w:tcW w:w="851" w:type="dxa"/>
          </w:tcPr>
          <w:p w:rsidR="00F80803" w:rsidRPr="00704705" w:rsidRDefault="00F80803" w:rsidP="00704705">
            <w:pPr>
              <w:pStyle w:val="NoSpacing"/>
            </w:pPr>
            <w:r w:rsidRPr="00704705">
              <w:t>1</w:t>
            </w:r>
          </w:p>
        </w:tc>
        <w:tc>
          <w:tcPr>
            <w:tcW w:w="708" w:type="dxa"/>
          </w:tcPr>
          <w:p w:rsidR="00F80803" w:rsidRPr="00704705" w:rsidRDefault="00F80803" w:rsidP="00704705">
            <w:pPr>
              <w:pStyle w:val="NoSpacing"/>
            </w:pPr>
            <w:r w:rsidRPr="00704705">
              <w:t>2</w:t>
            </w:r>
          </w:p>
        </w:tc>
        <w:tc>
          <w:tcPr>
            <w:tcW w:w="709" w:type="dxa"/>
          </w:tcPr>
          <w:p w:rsidR="00F80803" w:rsidRPr="00704705" w:rsidRDefault="00F80803" w:rsidP="00704705">
            <w:pPr>
              <w:pStyle w:val="NoSpacing"/>
            </w:pPr>
            <w:r w:rsidRPr="00704705">
              <w:t>3</w:t>
            </w:r>
          </w:p>
        </w:tc>
        <w:tc>
          <w:tcPr>
            <w:tcW w:w="851" w:type="dxa"/>
          </w:tcPr>
          <w:p w:rsidR="00F80803" w:rsidRPr="00704705" w:rsidRDefault="00F80803" w:rsidP="00704705">
            <w:pPr>
              <w:pStyle w:val="NoSpacing"/>
            </w:pPr>
            <w:r w:rsidRPr="00704705">
              <w:t>4</w:t>
            </w:r>
          </w:p>
        </w:tc>
        <w:tc>
          <w:tcPr>
            <w:tcW w:w="816" w:type="dxa"/>
          </w:tcPr>
          <w:p w:rsidR="00F80803" w:rsidRPr="00704705" w:rsidRDefault="00F80803" w:rsidP="00704705">
            <w:pPr>
              <w:pStyle w:val="NoSpacing"/>
            </w:pPr>
            <w:r w:rsidRPr="00704705">
              <w:t>5</w:t>
            </w:r>
          </w:p>
        </w:tc>
      </w:tr>
      <w:tr w:rsidR="00F80803" w:rsidTr="00223870">
        <w:tc>
          <w:tcPr>
            <w:tcW w:w="4993" w:type="dxa"/>
          </w:tcPr>
          <w:p w:rsidR="00F80803" w:rsidRPr="00704705" w:rsidRDefault="00F80803" w:rsidP="00704705">
            <w:pPr>
              <w:pStyle w:val="NoSpacing"/>
            </w:pPr>
            <w:r w:rsidRPr="00704705">
              <w:t>Focus strategy</w:t>
            </w:r>
          </w:p>
        </w:tc>
        <w:tc>
          <w:tcPr>
            <w:tcW w:w="851" w:type="dxa"/>
          </w:tcPr>
          <w:p w:rsidR="00F80803" w:rsidRPr="00704705" w:rsidRDefault="00F80803" w:rsidP="00704705">
            <w:pPr>
              <w:pStyle w:val="NoSpacing"/>
            </w:pPr>
            <w:r w:rsidRPr="00704705">
              <w:t>1</w:t>
            </w:r>
          </w:p>
        </w:tc>
        <w:tc>
          <w:tcPr>
            <w:tcW w:w="708" w:type="dxa"/>
          </w:tcPr>
          <w:p w:rsidR="00F80803" w:rsidRPr="00704705" w:rsidRDefault="00F80803" w:rsidP="00704705">
            <w:pPr>
              <w:pStyle w:val="NoSpacing"/>
            </w:pPr>
            <w:r w:rsidRPr="00704705">
              <w:t>2</w:t>
            </w:r>
          </w:p>
        </w:tc>
        <w:tc>
          <w:tcPr>
            <w:tcW w:w="709" w:type="dxa"/>
          </w:tcPr>
          <w:p w:rsidR="00F80803" w:rsidRPr="00704705" w:rsidRDefault="00F80803" w:rsidP="00704705">
            <w:pPr>
              <w:pStyle w:val="NoSpacing"/>
            </w:pPr>
            <w:r w:rsidRPr="00704705">
              <w:t>3</w:t>
            </w:r>
          </w:p>
        </w:tc>
        <w:tc>
          <w:tcPr>
            <w:tcW w:w="851" w:type="dxa"/>
          </w:tcPr>
          <w:p w:rsidR="00F80803" w:rsidRPr="00704705" w:rsidRDefault="00F80803" w:rsidP="00704705">
            <w:pPr>
              <w:pStyle w:val="NoSpacing"/>
            </w:pPr>
            <w:r w:rsidRPr="00704705">
              <w:t>4</w:t>
            </w:r>
          </w:p>
        </w:tc>
        <w:tc>
          <w:tcPr>
            <w:tcW w:w="816" w:type="dxa"/>
          </w:tcPr>
          <w:p w:rsidR="00F80803" w:rsidRPr="00704705" w:rsidRDefault="00F80803" w:rsidP="00704705">
            <w:pPr>
              <w:pStyle w:val="NoSpacing"/>
            </w:pPr>
            <w:r w:rsidRPr="00704705">
              <w:t>5</w:t>
            </w:r>
          </w:p>
        </w:tc>
      </w:tr>
    </w:tbl>
    <w:p w:rsidR="00F80803" w:rsidRDefault="00F80803" w:rsidP="00704705">
      <w:pPr>
        <w:pStyle w:val="NoSpacing"/>
      </w:pPr>
    </w:p>
    <w:p w:rsidR="00F80803" w:rsidRPr="00136F9C" w:rsidRDefault="00F80803" w:rsidP="001F1F8D">
      <w:pPr>
        <w:pStyle w:val="NoSpacing"/>
        <w:ind w:firstLine="720"/>
      </w:pPr>
      <w:r w:rsidRPr="00D1602F">
        <w:t xml:space="preserve">Rate which of the three possible generic strategies largely contributes to a better competitive position in the international market </w:t>
      </w:r>
      <w:r>
        <w:t xml:space="preserve">of </w:t>
      </w:r>
      <w:r w:rsidRPr="00D1602F">
        <w:t>enterprises engaged in the export of products from Bosnia and Herzegovina?</w:t>
      </w:r>
    </w:p>
    <w:tbl>
      <w:tblPr>
        <w:tblStyle w:val="TableGrid"/>
        <w:tblW w:w="0" w:type="auto"/>
        <w:tblInd w:w="360" w:type="dxa"/>
        <w:tblLook w:val="04A0"/>
      </w:tblPr>
      <w:tblGrid>
        <w:gridCol w:w="4737"/>
        <w:gridCol w:w="812"/>
        <w:gridCol w:w="680"/>
        <w:gridCol w:w="681"/>
        <w:gridCol w:w="812"/>
        <w:gridCol w:w="780"/>
      </w:tblGrid>
      <w:tr w:rsidR="00F80803" w:rsidRPr="000644F2" w:rsidTr="00223870">
        <w:tc>
          <w:tcPr>
            <w:tcW w:w="4993" w:type="dxa"/>
          </w:tcPr>
          <w:p w:rsidR="00F80803" w:rsidRPr="006C6635" w:rsidRDefault="00F80803" w:rsidP="00704705">
            <w:pPr>
              <w:pStyle w:val="NoSpacing"/>
            </w:pPr>
            <w:r w:rsidRPr="006C6635">
              <w:t xml:space="preserve">Cost leadership strategy </w:t>
            </w:r>
          </w:p>
        </w:tc>
        <w:tc>
          <w:tcPr>
            <w:tcW w:w="851" w:type="dxa"/>
          </w:tcPr>
          <w:p w:rsidR="00F80803" w:rsidRPr="006C6635" w:rsidRDefault="00F80803" w:rsidP="00704705">
            <w:pPr>
              <w:pStyle w:val="NoSpacing"/>
            </w:pPr>
            <w:r w:rsidRPr="006C6635">
              <w:t>1</w:t>
            </w:r>
          </w:p>
        </w:tc>
        <w:tc>
          <w:tcPr>
            <w:tcW w:w="708" w:type="dxa"/>
          </w:tcPr>
          <w:p w:rsidR="00F80803" w:rsidRPr="006C6635" w:rsidRDefault="00F80803" w:rsidP="00704705">
            <w:pPr>
              <w:pStyle w:val="NoSpacing"/>
            </w:pPr>
            <w:r w:rsidRPr="006C6635">
              <w:t>2</w:t>
            </w:r>
          </w:p>
        </w:tc>
        <w:tc>
          <w:tcPr>
            <w:tcW w:w="709" w:type="dxa"/>
          </w:tcPr>
          <w:p w:rsidR="00F80803" w:rsidRPr="006C6635" w:rsidRDefault="00F80803" w:rsidP="00704705">
            <w:pPr>
              <w:pStyle w:val="NoSpacing"/>
            </w:pPr>
            <w:r w:rsidRPr="006C6635">
              <w:t>3</w:t>
            </w:r>
          </w:p>
        </w:tc>
        <w:tc>
          <w:tcPr>
            <w:tcW w:w="851" w:type="dxa"/>
          </w:tcPr>
          <w:p w:rsidR="00F80803" w:rsidRPr="006C6635" w:rsidRDefault="00F80803" w:rsidP="00704705">
            <w:pPr>
              <w:pStyle w:val="NoSpacing"/>
            </w:pPr>
            <w:r w:rsidRPr="006C6635">
              <w:t>4</w:t>
            </w:r>
          </w:p>
        </w:tc>
        <w:tc>
          <w:tcPr>
            <w:tcW w:w="816" w:type="dxa"/>
          </w:tcPr>
          <w:p w:rsidR="00F80803" w:rsidRPr="006C6635" w:rsidRDefault="00F80803" w:rsidP="00704705">
            <w:pPr>
              <w:pStyle w:val="NoSpacing"/>
            </w:pPr>
            <w:r w:rsidRPr="006C6635">
              <w:t>5</w:t>
            </w:r>
          </w:p>
        </w:tc>
      </w:tr>
      <w:tr w:rsidR="00F80803" w:rsidRPr="000644F2" w:rsidTr="00223870">
        <w:tc>
          <w:tcPr>
            <w:tcW w:w="4993" w:type="dxa"/>
          </w:tcPr>
          <w:p w:rsidR="00F80803" w:rsidRPr="006C6635" w:rsidRDefault="00F80803" w:rsidP="00704705">
            <w:pPr>
              <w:pStyle w:val="NoSpacing"/>
            </w:pPr>
            <w:r w:rsidRPr="006C6635">
              <w:t>Differentiation strategy</w:t>
            </w:r>
          </w:p>
        </w:tc>
        <w:tc>
          <w:tcPr>
            <w:tcW w:w="851" w:type="dxa"/>
          </w:tcPr>
          <w:p w:rsidR="00F80803" w:rsidRPr="006C6635" w:rsidRDefault="00F80803" w:rsidP="00704705">
            <w:pPr>
              <w:pStyle w:val="NoSpacing"/>
            </w:pPr>
            <w:r w:rsidRPr="006C6635">
              <w:t>1</w:t>
            </w:r>
          </w:p>
        </w:tc>
        <w:tc>
          <w:tcPr>
            <w:tcW w:w="708" w:type="dxa"/>
          </w:tcPr>
          <w:p w:rsidR="00F80803" w:rsidRPr="006C6635" w:rsidRDefault="00F80803" w:rsidP="00704705">
            <w:pPr>
              <w:pStyle w:val="NoSpacing"/>
            </w:pPr>
            <w:r w:rsidRPr="006C6635">
              <w:t>2</w:t>
            </w:r>
          </w:p>
        </w:tc>
        <w:tc>
          <w:tcPr>
            <w:tcW w:w="709" w:type="dxa"/>
          </w:tcPr>
          <w:p w:rsidR="00F80803" w:rsidRPr="006C6635" w:rsidRDefault="00F80803" w:rsidP="00704705">
            <w:pPr>
              <w:pStyle w:val="NoSpacing"/>
            </w:pPr>
            <w:r w:rsidRPr="006C6635">
              <w:t>3</w:t>
            </w:r>
          </w:p>
        </w:tc>
        <w:tc>
          <w:tcPr>
            <w:tcW w:w="851" w:type="dxa"/>
          </w:tcPr>
          <w:p w:rsidR="00F80803" w:rsidRPr="006C6635" w:rsidRDefault="00F80803" w:rsidP="00704705">
            <w:pPr>
              <w:pStyle w:val="NoSpacing"/>
            </w:pPr>
            <w:r w:rsidRPr="006C6635">
              <w:t>4</w:t>
            </w:r>
          </w:p>
        </w:tc>
        <w:tc>
          <w:tcPr>
            <w:tcW w:w="816" w:type="dxa"/>
          </w:tcPr>
          <w:p w:rsidR="00F80803" w:rsidRPr="006C6635" w:rsidRDefault="00F80803" w:rsidP="00704705">
            <w:pPr>
              <w:pStyle w:val="NoSpacing"/>
            </w:pPr>
            <w:r w:rsidRPr="006C6635">
              <w:t>5</w:t>
            </w:r>
          </w:p>
        </w:tc>
      </w:tr>
      <w:tr w:rsidR="00F80803" w:rsidRPr="000644F2" w:rsidTr="00223870">
        <w:tc>
          <w:tcPr>
            <w:tcW w:w="4993" w:type="dxa"/>
          </w:tcPr>
          <w:p w:rsidR="00F80803" w:rsidRPr="006C6635" w:rsidRDefault="00F80803" w:rsidP="00704705">
            <w:pPr>
              <w:pStyle w:val="NoSpacing"/>
            </w:pPr>
            <w:r w:rsidRPr="006C6635">
              <w:t>Focus strategy</w:t>
            </w:r>
          </w:p>
        </w:tc>
        <w:tc>
          <w:tcPr>
            <w:tcW w:w="851" w:type="dxa"/>
          </w:tcPr>
          <w:p w:rsidR="00F80803" w:rsidRPr="006C6635" w:rsidRDefault="00F80803" w:rsidP="00704705">
            <w:pPr>
              <w:pStyle w:val="NoSpacing"/>
            </w:pPr>
            <w:r w:rsidRPr="006C6635">
              <w:t>1</w:t>
            </w:r>
          </w:p>
        </w:tc>
        <w:tc>
          <w:tcPr>
            <w:tcW w:w="708" w:type="dxa"/>
          </w:tcPr>
          <w:p w:rsidR="00F80803" w:rsidRPr="006C6635" w:rsidRDefault="00F80803" w:rsidP="00704705">
            <w:pPr>
              <w:pStyle w:val="NoSpacing"/>
            </w:pPr>
            <w:r w:rsidRPr="006C6635">
              <w:t>2</w:t>
            </w:r>
          </w:p>
        </w:tc>
        <w:tc>
          <w:tcPr>
            <w:tcW w:w="709" w:type="dxa"/>
          </w:tcPr>
          <w:p w:rsidR="00F80803" w:rsidRPr="006C6635" w:rsidRDefault="00F80803" w:rsidP="00704705">
            <w:pPr>
              <w:pStyle w:val="NoSpacing"/>
            </w:pPr>
            <w:r w:rsidRPr="006C6635">
              <w:t>3</w:t>
            </w:r>
          </w:p>
        </w:tc>
        <w:tc>
          <w:tcPr>
            <w:tcW w:w="851" w:type="dxa"/>
          </w:tcPr>
          <w:p w:rsidR="00F80803" w:rsidRPr="006C6635" w:rsidRDefault="00F80803" w:rsidP="00704705">
            <w:pPr>
              <w:pStyle w:val="NoSpacing"/>
            </w:pPr>
            <w:r w:rsidRPr="006C6635">
              <w:t>4</w:t>
            </w:r>
          </w:p>
        </w:tc>
        <w:tc>
          <w:tcPr>
            <w:tcW w:w="816" w:type="dxa"/>
          </w:tcPr>
          <w:p w:rsidR="00F80803" w:rsidRPr="006C6635" w:rsidRDefault="00F80803" w:rsidP="00704705">
            <w:pPr>
              <w:pStyle w:val="NoSpacing"/>
            </w:pPr>
            <w:r w:rsidRPr="006C6635">
              <w:t>5</w:t>
            </w:r>
          </w:p>
        </w:tc>
      </w:tr>
    </w:tbl>
    <w:p w:rsidR="00F80803" w:rsidRPr="000644F2" w:rsidRDefault="00F80803" w:rsidP="00704705">
      <w:pPr>
        <w:pStyle w:val="NoSpacing"/>
        <w:rPr>
          <w:sz w:val="22"/>
        </w:rPr>
      </w:pPr>
    </w:p>
    <w:p w:rsidR="00F80803" w:rsidRDefault="00F80803" w:rsidP="001F1F8D">
      <w:pPr>
        <w:pStyle w:val="NoSpacing"/>
        <w:ind w:firstLine="720"/>
      </w:pPr>
      <w:r w:rsidRPr="000610E2">
        <w:t>Rate which of the three possible generic strategies is mostly used in positioning in the international market?</w:t>
      </w:r>
    </w:p>
    <w:tbl>
      <w:tblPr>
        <w:tblStyle w:val="TableGrid"/>
        <w:tblW w:w="0" w:type="auto"/>
        <w:tblInd w:w="360" w:type="dxa"/>
        <w:tblLook w:val="04A0"/>
      </w:tblPr>
      <w:tblGrid>
        <w:gridCol w:w="4737"/>
        <w:gridCol w:w="812"/>
        <w:gridCol w:w="680"/>
        <w:gridCol w:w="681"/>
        <w:gridCol w:w="812"/>
        <w:gridCol w:w="780"/>
      </w:tblGrid>
      <w:tr w:rsidR="00F80803" w:rsidTr="00E333ED">
        <w:tc>
          <w:tcPr>
            <w:tcW w:w="4737" w:type="dxa"/>
          </w:tcPr>
          <w:p w:rsidR="00F80803" w:rsidRPr="006C6635" w:rsidRDefault="00F80803" w:rsidP="00704705">
            <w:pPr>
              <w:pStyle w:val="NoSpacing"/>
            </w:pPr>
            <w:r w:rsidRPr="006C6635">
              <w:t xml:space="preserve">Cost leadership strategy </w:t>
            </w:r>
          </w:p>
        </w:tc>
        <w:tc>
          <w:tcPr>
            <w:tcW w:w="812" w:type="dxa"/>
          </w:tcPr>
          <w:p w:rsidR="00F80803" w:rsidRPr="006C6635" w:rsidRDefault="00F80803" w:rsidP="00704705">
            <w:pPr>
              <w:pStyle w:val="NoSpacing"/>
            </w:pPr>
            <w:r w:rsidRPr="006C6635">
              <w:t>1</w:t>
            </w:r>
          </w:p>
        </w:tc>
        <w:tc>
          <w:tcPr>
            <w:tcW w:w="680" w:type="dxa"/>
          </w:tcPr>
          <w:p w:rsidR="00F80803" w:rsidRPr="006C6635" w:rsidRDefault="00F80803" w:rsidP="00704705">
            <w:pPr>
              <w:pStyle w:val="NoSpacing"/>
            </w:pPr>
            <w:r w:rsidRPr="006C6635">
              <w:t>2</w:t>
            </w:r>
          </w:p>
        </w:tc>
        <w:tc>
          <w:tcPr>
            <w:tcW w:w="681" w:type="dxa"/>
          </w:tcPr>
          <w:p w:rsidR="00F80803" w:rsidRPr="006C6635" w:rsidRDefault="00F80803" w:rsidP="00704705">
            <w:pPr>
              <w:pStyle w:val="NoSpacing"/>
            </w:pPr>
            <w:r w:rsidRPr="006C6635">
              <w:t>3</w:t>
            </w:r>
          </w:p>
        </w:tc>
        <w:tc>
          <w:tcPr>
            <w:tcW w:w="812" w:type="dxa"/>
          </w:tcPr>
          <w:p w:rsidR="00F80803" w:rsidRPr="006C6635" w:rsidRDefault="00F80803" w:rsidP="00704705">
            <w:pPr>
              <w:pStyle w:val="NoSpacing"/>
            </w:pPr>
            <w:r w:rsidRPr="006C6635">
              <w:t>4</w:t>
            </w:r>
          </w:p>
        </w:tc>
        <w:tc>
          <w:tcPr>
            <w:tcW w:w="780" w:type="dxa"/>
          </w:tcPr>
          <w:p w:rsidR="00F80803" w:rsidRPr="006C6635" w:rsidRDefault="00F80803" w:rsidP="00704705">
            <w:pPr>
              <w:pStyle w:val="NoSpacing"/>
            </w:pPr>
            <w:r w:rsidRPr="006C6635">
              <w:t>5</w:t>
            </w:r>
          </w:p>
        </w:tc>
      </w:tr>
      <w:tr w:rsidR="00F80803" w:rsidTr="00E333ED">
        <w:tc>
          <w:tcPr>
            <w:tcW w:w="4737" w:type="dxa"/>
          </w:tcPr>
          <w:p w:rsidR="00F80803" w:rsidRPr="006C6635" w:rsidRDefault="00F80803" w:rsidP="00704705">
            <w:pPr>
              <w:pStyle w:val="NoSpacing"/>
            </w:pPr>
            <w:r w:rsidRPr="006C6635">
              <w:t>Differentiation strategy</w:t>
            </w:r>
          </w:p>
        </w:tc>
        <w:tc>
          <w:tcPr>
            <w:tcW w:w="812" w:type="dxa"/>
          </w:tcPr>
          <w:p w:rsidR="00F80803" w:rsidRPr="006C6635" w:rsidRDefault="00F80803" w:rsidP="00704705">
            <w:pPr>
              <w:pStyle w:val="NoSpacing"/>
            </w:pPr>
            <w:r w:rsidRPr="006C6635">
              <w:t>1</w:t>
            </w:r>
          </w:p>
        </w:tc>
        <w:tc>
          <w:tcPr>
            <w:tcW w:w="680" w:type="dxa"/>
          </w:tcPr>
          <w:p w:rsidR="00F80803" w:rsidRPr="006C6635" w:rsidRDefault="00F80803" w:rsidP="00704705">
            <w:pPr>
              <w:pStyle w:val="NoSpacing"/>
            </w:pPr>
            <w:r w:rsidRPr="006C6635">
              <w:t>2</w:t>
            </w:r>
          </w:p>
        </w:tc>
        <w:tc>
          <w:tcPr>
            <w:tcW w:w="681" w:type="dxa"/>
          </w:tcPr>
          <w:p w:rsidR="00F80803" w:rsidRPr="006C6635" w:rsidRDefault="00F80803" w:rsidP="00704705">
            <w:pPr>
              <w:pStyle w:val="NoSpacing"/>
            </w:pPr>
            <w:r w:rsidRPr="006C6635">
              <w:t>3</w:t>
            </w:r>
          </w:p>
        </w:tc>
        <w:tc>
          <w:tcPr>
            <w:tcW w:w="812" w:type="dxa"/>
          </w:tcPr>
          <w:p w:rsidR="00F80803" w:rsidRPr="006C6635" w:rsidRDefault="00F80803" w:rsidP="00704705">
            <w:pPr>
              <w:pStyle w:val="NoSpacing"/>
            </w:pPr>
            <w:r w:rsidRPr="006C6635">
              <w:t>4</w:t>
            </w:r>
          </w:p>
        </w:tc>
        <w:tc>
          <w:tcPr>
            <w:tcW w:w="780" w:type="dxa"/>
          </w:tcPr>
          <w:p w:rsidR="00F80803" w:rsidRPr="006C6635" w:rsidRDefault="00F80803" w:rsidP="00704705">
            <w:pPr>
              <w:pStyle w:val="NoSpacing"/>
            </w:pPr>
            <w:r w:rsidRPr="006C6635">
              <w:t>5</w:t>
            </w:r>
          </w:p>
        </w:tc>
      </w:tr>
      <w:tr w:rsidR="00F80803" w:rsidTr="00E333ED">
        <w:tc>
          <w:tcPr>
            <w:tcW w:w="4737" w:type="dxa"/>
          </w:tcPr>
          <w:p w:rsidR="00F80803" w:rsidRPr="006C6635" w:rsidRDefault="00F80803" w:rsidP="00704705">
            <w:pPr>
              <w:pStyle w:val="NoSpacing"/>
            </w:pPr>
            <w:r w:rsidRPr="006C6635">
              <w:t>Focus strategy</w:t>
            </w:r>
          </w:p>
        </w:tc>
        <w:tc>
          <w:tcPr>
            <w:tcW w:w="812" w:type="dxa"/>
          </w:tcPr>
          <w:p w:rsidR="00F80803" w:rsidRPr="006C6635" w:rsidRDefault="00F80803" w:rsidP="00704705">
            <w:pPr>
              <w:pStyle w:val="NoSpacing"/>
            </w:pPr>
            <w:r w:rsidRPr="006C6635">
              <w:t>1</w:t>
            </w:r>
          </w:p>
        </w:tc>
        <w:tc>
          <w:tcPr>
            <w:tcW w:w="680" w:type="dxa"/>
          </w:tcPr>
          <w:p w:rsidR="00F80803" w:rsidRPr="006C6635" w:rsidRDefault="00F80803" w:rsidP="00704705">
            <w:pPr>
              <w:pStyle w:val="NoSpacing"/>
            </w:pPr>
            <w:r w:rsidRPr="006C6635">
              <w:t>2</w:t>
            </w:r>
          </w:p>
        </w:tc>
        <w:tc>
          <w:tcPr>
            <w:tcW w:w="681" w:type="dxa"/>
          </w:tcPr>
          <w:p w:rsidR="00F80803" w:rsidRPr="006C6635" w:rsidRDefault="00F80803" w:rsidP="00704705">
            <w:pPr>
              <w:pStyle w:val="NoSpacing"/>
            </w:pPr>
            <w:r w:rsidRPr="006C6635">
              <w:t>3</w:t>
            </w:r>
          </w:p>
        </w:tc>
        <w:tc>
          <w:tcPr>
            <w:tcW w:w="812" w:type="dxa"/>
          </w:tcPr>
          <w:p w:rsidR="00F80803" w:rsidRPr="006C6635" w:rsidRDefault="00F80803" w:rsidP="00704705">
            <w:pPr>
              <w:pStyle w:val="NoSpacing"/>
            </w:pPr>
            <w:r w:rsidRPr="006C6635">
              <w:t>4</w:t>
            </w:r>
          </w:p>
        </w:tc>
        <w:tc>
          <w:tcPr>
            <w:tcW w:w="780" w:type="dxa"/>
          </w:tcPr>
          <w:p w:rsidR="00F80803" w:rsidRPr="006C6635" w:rsidRDefault="00F80803" w:rsidP="00704705">
            <w:pPr>
              <w:pStyle w:val="NoSpacing"/>
            </w:pPr>
            <w:r w:rsidRPr="006C6635">
              <w:t>5</w:t>
            </w:r>
          </w:p>
        </w:tc>
      </w:tr>
    </w:tbl>
    <w:p w:rsidR="00F80803" w:rsidRDefault="00F80803" w:rsidP="00704705">
      <w:pPr>
        <w:pStyle w:val="NoSpacing"/>
      </w:pPr>
    </w:p>
    <w:p w:rsidR="00F80803" w:rsidRPr="000610E2" w:rsidRDefault="00F80803" w:rsidP="00DE7EE4">
      <w:pPr>
        <w:pStyle w:val="NoSpacing"/>
        <w:ind w:firstLine="720"/>
      </w:pPr>
      <w:r>
        <w:t xml:space="preserve">Collected responses, which are obtained, are processed in statistical program for data analysing SPSS, and the results are as follows: </w:t>
      </w:r>
    </w:p>
    <w:p w:rsidR="00F80803" w:rsidRDefault="00F80803" w:rsidP="00704705">
      <w:pPr>
        <w:pStyle w:val="NoSpacing"/>
      </w:pPr>
    </w:p>
    <w:p w:rsidR="00F80803" w:rsidRPr="006C6635" w:rsidRDefault="00F80803" w:rsidP="00704705">
      <w:pPr>
        <w:pStyle w:val="NoSpacing"/>
        <w:rPr>
          <w:b/>
          <w:sz w:val="22"/>
          <w:szCs w:val="22"/>
        </w:rPr>
      </w:pPr>
      <w:r w:rsidRPr="006C6635">
        <w:rPr>
          <w:b/>
          <w:sz w:val="22"/>
          <w:szCs w:val="22"/>
        </w:rPr>
        <w:t xml:space="preserve">Table 1. </w:t>
      </w:r>
      <w:r w:rsidRPr="001F1F8D">
        <w:rPr>
          <w:sz w:val="22"/>
          <w:szCs w:val="22"/>
        </w:rPr>
        <w:t>Rate which of the three possible generic strategies largely contributes to creating a positive export policy in Bosnia and Herzegovina?</w:t>
      </w:r>
    </w:p>
    <w:tbl>
      <w:tblPr>
        <w:tblStyle w:val="TableGrid"/>
        <w:tblW w:w="0" w:type="auto"/>
        <w:tblLook w:val="04A0"/>
      </w:tblPr>
      <w:tblGrid>
        <w:gridCol w:w="1144"/>
        <w:gridCol w:w="1507"/>
        <w:gridCol w:w="2159"/>
        <w:gridCol w:w="2201"/>
        <w:gridCol w:w="1851"/>
      </w:tblGrid>
      <w:tr w:rsidR="00F80803" w:rsidTr="006C6635">
        <w:tc>
          <w:tcPr>
            <w:tcW w:w="2802" w:type="dxa"/>
            <w:gridSpan w:val="2"/>
          </w:tcPr>
          <w:p w:rsidR="00F80803" w:rsidRPr="006C6635" w:rsidRDefault="00F80803" w:rsidP="00704705">
            <w:pPr>
              <w:pStyle w:val="NoSpacing"/>
            </w:pPr>
          </w:p>
          <w:p w:rsidR="00F80803" w:rsidRPr="006C6635" w:rsidRDefault="00F80803" w:rsidP="00704705">
            <w:pPr>
              <w:pStyle w:val="NoSpacing"/>
            </w:pPr>
          </w:p>
        </w:tc>
        <w:tc>
          <w:tcPr>
            <w:tcW w:w="2268" w:type="dxa"/>
            <w:shd w:val="clear" w:color="auto" w:fill="DAEEF3" w:themeFill="accent5" w:themeFillTint="33"/>
          </w:tcPr>
          <w:p w:rsidR="00F80803" w:rsidRPr="006C6635" w:rsidRDefault="00F80803" w:rsidP="006C6635">
            <w:pPr>
              <w:pStyle w:val="NoSpacing"/>
              <w:jc w:val="center"/>
              <w:rPr>
                <w:b/>
              </w:rPr>
            </w:pPr>
            <w:r w:rsidRPr="006C6635">
              <w:rPr>
                <w:b/>
              </w:rPr>
              <w:t>Cost leadership strategy</w:t>
            </w:r>
          </w:p>
        </w:tc>
        <w:tc>
          <w:tcPr>
            <w:tcW w:w="2268" w:type="dxa"/>
            <w:shd w:val="clear" w:color="auto" w:fill="DAEEF3" w:themeFill="accent5" w:themeFillTint="33"/>
          </w:tcPr>
          <w:p w:rsidR="00F80803" w:rsidRPr="006C6635" w:rsidRDefault="00F80803" w:rsidP="006C6635">
            <w:pPr>
              <w:pStyle w:val="NoSpacing"/>
              <w:jc w:val="center"/>
              <w:rPr>
                <w:b/>
              </w:rPr>
            </w:pPr>
            <w:r w:rsidRPr="006C6635">
              <w:rPr>
                <w:b/>
              </w:rPr>
              <w:t>Differentiation strategy</w:t>
            </w:r>
          </w:p>
        </w:tc>
        <w:tc>
          <w:tcPr>
            <w:tcW w:w="1950" w:type="dxa"/>
            <w:shd w:val="clear" w:color="auto" w:fill="DAEEF3" w:themeFill="accent5" w:themeFillTint="33"/>
          </w:tcPr>
          <w:p w:rsidR="00F80803" w:rsidRPr="006C6635" w:rsidRDefault="00F80803" w:rsidP="006C6635">
            <w:pPr>
              <w:pStyle w:val="NoSpacing"/>
              <w:jc w:val="center"/>
              <w:rPr>
                <w:b/>
              </w:rPr>
            </w:pPr>
            <w:r w:rsidRPr="006C6635">
              <w:rPr>
                <w:b/>
              </w:rPr>
              <w:t>Focus strategy</w:t>
            </w:r>
          </w:p>
        </w:tc>
      </w:tr>
      <w:tr w:rsidR="00F80803" w:rsidTr="00223870">
        <w:tc>
          <w:tcPr>
            <w:tcW w:w="1230" w:type="dxa"/>
            <w:vMerge w:val="restart"/>
            <w:tcBorders>
              <w:right w:val="single" w:sz="4" w:space="0" w:color="auto"/>
            </w:tcBorders>
          </w:tcPr>
          <w:p w:rsidR="00F80803" w:rsidRPr="006C6635" w:rsidRDefault="00F80803" w:rsidP="00704705">
            <w:pPr>
              <w:pStyle w:val="NoSpacing"/>
            </w:pPr>
            <w:r w:rsidRPr="006C6635">
              <w:t>N</w:t>
            </w:r>
          </w:p>
        </w:tc>
        <w:tc>
          <w:tcPr>
            <w:tcW w:w="1572" w:type="dxa"/>
            <w:tcBorders>
              <w:left w:val="single" w:sz="4" w:space="0" w:color="auto"/>
            </w:tcBorders>
          </w:tcPr>
          <w:p w:rsidR="00F80803" w:rsidRPr="006C6635" w:rsidRDefault="00F80803" w:rsidP="00704705">
            <w:pPr>
              <w:pStyle w:val="NoSpacing"/>
            </w:pPr>
            <w:r w:rsidRPr="006C6635">
              <w:t>Valid</w:t>
            </w:r>
          </w:p>
        </w:tc>
        <w:tc>
          <w:tcPr>
            <w:tcW w:w="2268" w:type="dxa"/>
          </w:tcPr>
          <w:p w:rsidR="00F80803" w:rsidRPr="006C6635" w:rsidRDefault="00F80803" w:rsidP="00DA1267">
            <w:pPr>
              <w:pStyle w:val="NoSpacing"/>
              <w:jc w:val="right"/>
            </w:pPr>
            <w:r w:rsidRPr="006C6635">
              <w:t>37</w:t>
            </w:r>
          </w:p>
        </w:tc>
        <w:tc>
          <w:tcPr>
            <w:tcW w:w="2268" w:type="dxa"/>
          </w:tcPr>
          <w:p w:rsidR="00F80803" w:rsidRPr="006C6635" w:rsidRDefault="00F80803" w:rsidP="00DA1267">
            <w:pPr>
              <w:pStyle w:val="NoSpacing"/>
              <w:jc w:val="right"/>
            </w:pPr>
            <w:r w:rsidRPr="006C6635">
              <w:t>37</w:t>
            </w:r>
          </w:p>
        </w:tc>
        <w:tc>
          <w:tcPr>
            <w:tcW w:w="1950" w:type="dxa"/>
          </w:tcPr>
          <w:p w:rsidR="00F80803" w:rsidRPr="006C6635" w:rsidRDefault="00F80803" w:rsidP="00DA1267">
            <w:pPr>
              <w:pStyle w:val="NoSpacing"/>
              <w:jc w:val="right"/>
            </w:pPr>
            <w:r w:rsidRPr="006C6635">
              <w:t>37</w:t>
            </w:r>
          </w:p>
        </w:tc>
      </w:tr>
      <w:tr w:rsidR="00F80803" w:rsidTr="00223870">
        <w:tc>
          <w:tcPr>
            <w:tcW w:w="1230" w:type="dxa"/>
            <w:vMerge/>
            <w:tcBorders>
              <w:right w:val="single" w:sz="4" w:space="0" w:color="auto"/>
            </w:tcBorders>
          </w:tcPr>
          <w:p w:rsidR="00F80803" w:rsidRPr="006C6635" w:rsidRDefault="00F80803" w:rsidP="00704705">
            <w:pPr>
              <w:pStyle w:val="NoSpacing"/>
            </w:pPr>
          </w:p>
        </w:tc>
        <w:tc>
          <w:tcPr>
            <w:tcW w:w="1572" w:type="dxa"/>
            <w:tcBorders>
              <w:left w:val="single" w:sz="4" w:space="0" w:color="auto"/>
            </w:tcBorders>
          </w:tcPr>
          <w:p w:rsidR="00F80803" w:rsidRPr="006C6635" w:rsidRDefault="00F80803" w:rsidP="00704705">
            <w:pPr>
              <w:pStyle w:val="NoSpacing"/>
            </w:pPr>
            <w:r w:rsidRPr="006C6635">
              <w:t>Missing</w:t>
            </w:r>
          </w:p>
        </w:tc>
        <w:tc>
          <w:tcPr>
            <w:tcW w:w="2268" w:type="dxa"/>
          </w:tcPr>
          <w:p w:rsidR="00F80803" w:rsidRPr="006C6635" w:rsidRDefault="00F80803" w:rsidP="00DA1267">
            <w:pPr>
              <w:pStyle w:val="NoSpacing"/>
              <w:jc w:val="right"/>
            </w:pPr>
            <w:r w:rsidRPr="006C6635">
              <w:t>0</w:t>
            </w:r>
          </w:p>
        </w:tc>
        <w:tc>
          <w:tcPr>
            <w:tcW w:w="2268" w:type="dxa"/>
          </w:tcPr>
          <w:p w:rsidR="00F80803" w:rsidRPr="006C6635" w:rsidRDefault="00F80803" w:rsidP="00DA1267">
            <w:pPr>
              <w:pStyle w:val="NoSpacing"/>
              <w:jc w:val="right"/>
            </w:pPr>
            <w:r w:rsidRPr="006C6635">
              <w:t>0</w:t>
            </w:r>
          </w:p>
        </w:tc>
        <w:tc>
          <w:tcPr>
            <w:tcW w:w="1950" w:type="dxa"/>
          </w:tcPr>
          <w:p w:rsidR="00F80803" w:rsidRPr="006C6635" w:rsidRDefault="00F80803" w:rsidP="00DA1267">
            <w:pPr>
              <w:pStyle w:val="NoSpacing"/>
              <w:jc w:val="right"/>
            </w:pPr>
            <w:r w:rsidRPr="006C6635">
              <w:t>0</w:t>
            </w:r>
          </w:p>
        </w:tc>
      </w:tr>
      <w:tr w:rsidR="00F80803" w:rsidTr="006C6635">
        <w:tc>
          <w:tcPr>
            <w:tcW w:w="2802" w:type="dxa"/>
            <w:gridSpan w:val="2"/>
            <w:shd w:val="clear" w:color="auto" w:fill="DAEEF3" w:themeFill="accent5" w:themeFillTint="33"/>
          </w:tcPr>
          <w:p w:rsidR="00F80803" w:rsidRPr="006C6635" w:rsidRDefault="00F80803" w:rsidP="00704705">
            <w:pPr>
              <w:pStyle w:val="NoSpacing"/>
              <w:rPr>
                <w:b/>
              </w:rPr>
            </w:pPr>
            <w:r w:rsidRPr="006C6635">
              <w:rPr>
                <w:b/>
              </w:rPr>
              <w:t>Arithmetic mean</w:t>
            </w:r>
          </w:p>
        </w:tc>
        <w:tc>
          <w:tcPr>
            <w:tcW w:w="2268" w:type="dxa"/>
          </w:tcPr>
          <w:p w:rsidR="00F80803" w:rsidRPr="006C6635" w:rsidRDefault="00F80803" w:rsidP="00DA1267">
            <w:pPr>
              <w:pStyle w:val="NoSpacing"/>
              <w:jc w:val="right"/>
            </w:pPr>
            <w:r w:rsidRPr="006C6635">
              <w:t>4.6216</w:t>
            </w:r>
          </w:p>
        </w:tc>
        <w:tc>
          <w:tcPr>
            <w:tcW w:w="2268" w:type="dxa"/>
          </w:tcPr>
          <w:p w:rsidR="00F80803" w:rsidRPr="006C6635" w:rsidRDefault="00F80803" w:rsidP="00DA1267">
            <w:pPr>
              <w:pStyle w:val="NoSpacing"/>
              <w:jc w:val="right"/>
            </w:pPr>
            <w:r w:rsidRPr="006C6635">
              <w:t>3.5135</w:t>
            </w:r>
          </w:p>
        </w:tc>
        <w:tc>
          <w:tcPr>
            <w:tcW w:w="1950" w:type="dxa"/>
          </w:tcPr>
          <w:p w:rsidR="00F80803" w:rsidRPr="006C6635" w:rsidRDefault="00F80803" w:rsidP="00DA1267">
            <w:pPr>
              <w:pStyle w:val="NoSpacing"/>
              <w:jc w:val="right"/>
            </w:pPr>
            <w:r w:rsidRPr="006C6635">
              <w:t>3.3514</w:t>
            </w:r>
          </w:p>
        </w:tc>
      </w:tr>
      <w:tr w:rsidR="00F80803" w:rsidTr="006C6635">
        <w:tc>
          <w:tcPr>
            <w:tcW w:w="2802" w:type="dxa"/>
            <w:gridSpan w:val="2"/>
            <w:shd w:val="clear" w:color="auto" w:fill="DAEEF3" w:themeFill="accent5" w:themeFillTint="33"/>
          </w:tcPr>
          <w:p w:rsidR="00F80803" w:rsidRPr="006C6635" w:rsidRDefault="00F80803" w:rsidP="00704705">
            <w:pPr>
              <w:pStyle w:val="NoSpacing"/>
              <w:rPr>
                <w:b/>
              </w:rPr>
            </w:pPr>
            <w:r w:rsidRPr="006C6635">
              <w:rPr>
                <w:b/>
              </w:rPr>
              <w:t>Median</w:t>
            </w:r>
          </w:p>
        </w:tc>
        <w:tc>
          <w:tcPr>
            <w:tcW w:w="2268" w:type="dxa"/>
          </w:tcPr>
          <w:p w:rsidR="00F80803" w:rsidRPr="006C6635" w:rsidRDefault="00F80803" w:rsidP="00DA1267">
            <w:pPr>
              <w:pStyle w:val="NoSpacing"/>
              <w:jc w:val="right"/>
            </w:pPr>
            <w:r w:rsidRPr="006C6635">
              <w:t>5.0000</w:t>
            </w:r>
          </w:p>
        </w:tc>
        <w:tc>
          <w:tcPr>
            <w:tcW w:w="2268" w:type="dxa"/>
          </w:tcPr>
          <w:p w:rsidR="00F80803" w:rsidRPr="006C6635" w:rsidRDefault="00F80803" w:rsidP="00DA1267">
            <w:pPr>
              <w:pStyle w:val="NoSpacing"/>
              <w:jc w:val="right"/>
            </w:pPr>
            <w:r w:rsidRPr="006C6635">
              <w:t>4.0000</w:t>
            </w:r>
          </w:p>
        </w:tc>
        <w:tc>
          <w:tcPr>
            <w:tcW w:w="1950" w:type="dxa"/>
          </w:tcPr>
          <w:p w:rsidR="00F80803" w:rsidRPr="006C6635" w:rsidRDefault="00F80803" w:rsidP="00DA1267">
            <w:pPr>
              <w:pStyle w:val="NoSpacing"/>
              <w:jc w:val="right"/>
            </w:pPr>
            <w:r w:rsidRPr="006C6635">
              <w:t>4.000</w:t>
            </w:r>
          </w:p>
        </w:tc>
      </w:tr>
      <w:tr w:rsidR="00F80803" w:rsidTr="006C6635">
        <w:tc>
          <w:tcPr>
            <w:tcW w:w="2802" w:type="dxa"/>
            <w:gridSpan w:val="2"/>
            <w:shd w:val="clear" w:color="auto" w:fill="DAEEF3" w:themeFill="accent5" w:themeFillTint="33"/>
          </w:tcPr>
          <w:p w:rsidR="00F80803" w:rsidRPr="006C6635" w:rsidRDefault="00F80803" w:rsidP="00704705">
            <w:pPr>
              <w:pStyle w:val="NoSpacing"/>
              <w:rPr>
                <w:b/>
              </w:rPr>
            </w:pPr>
            <w:r w:rsidRPr="006C6635">
              <w:rPr>
                <w:b/>
              </w:rPr>
              <w:t>Mode</w:t>
            </w:r>
          </w:p>
        </w:tc>
        <w:tc>
          <w:tcPr>
            <w:tcW w:w="2268" w:type="dxa"/>
          </w:tcPr>
          <w:p w:rsidR="00F80803" w:rsidRPr="006C6635" w:rsidRDefault="00F80803" w:rsidP="00DA1267">
            <w:pPr>
              <w:pStyle w:val="NoSpacing"/>
              <w:jc w:val="right"/>
            </w:pPr>
            <w:r w:rsidRPr="006C6635">
              <w:t>5.00</w:t>
            </w:r>
          </w:p>
        </w:tc>
        <w:tc>
          <w:tcPr>
            <w:tcW w:w="2268" w:type="dxa"/>
          </w:tcPr>
          <w:p w:rsidR="00F80803" w:rsidRPr="006C6635" w:rsidRDefault="00F80803" w:rsidP="00DA1267">
            <w:pPr>
              <w:pStyle w:val="NoSpacing"/>
              <w:jc w:val="right"/>
            </w:pPr>
            <w:r w:rsidRPr="006C6635">
              <w:t>4.00</w:t>
            </w:r>
          </w:p>
        </w:tc>
        <w:tc>
          <w:tcPr>
            <w:tcW w:w="1950" w:type="dxa"/>
          </w:tcPr>
          <w:p w:rsidR="00F80803" w:rsidRPr="006C6635" w:rsidRDefault="00F80803" w:rsidP="00DA1267">
            <w:pPr>
              <w:pStyle w:val="NoSpacing"/>
              <w:jc w:val="right"/>
            </w:pPr>
            <w:r w:rsidRPr="006C6635">
              <w:t>4.00</w:t>
            </w:r>
          </w:p>
        </w:tc>
      </w:tr>
      <w:tr w:rsidR="00F80803" w:rsidTr="006C6635">
        <w:tc>
          <w:tcPr>
            <w:tcW w:w="2802" w:type="dxa"/>
            <w:gridSpan w:val="2"/>
            <w:shd w:val="clear" w:color="auto" w:fill="DAEEF3" w:themeFill="accent5" w:themeFillTint="33"/>
          </w:tcPr>
          <w:p w:rsidR="00F80803" w:rsidRPr="006C6635" w:rsidRDefault="00F80803" w:rsidP="00704705">
            <w:pPr>
              <w:pStyle w:val="NoSpacing"/>
              <w:rPr>
                <w:b/>
              </w:rPr>
            </w:pPr>
            <w:r w:rsidRPr="006C6635">
              <w:rPr>
                <w:b/>
              </w:rPr>
              <w:t xml:space="preserve">Standard deviations </w:t>
            </w:r>
          </w:p>
        </w:tc>
        <w:tc>
          <w:tcPr>
            <w:tcW w:w="2268" w:type="dxa"/>
          </w:tcPr>
          <w:p w:rsidR="00F80803" w:rsidRPr="006C6635" w:rsidRDefault="00F80803" w:rsidP="00DA1267">
            <w:pPr>
              <w:pStyle w:val="NoSpacing"/>
              <w:jc w:val="right"/>
            </w:pPr>
            <w:r w:rsidRPr="006C6635">
              <w:t>.59401</w:t>
            </w:r>
          </w:p>
        </w:tc>
        <w:tc>
          <w:tcPr>
            <w:tcW w:w="2268" w:type="dxa"/>
          </w:tcPr>
          <w:p w:rsidR="00F80803" w:rsidRPr="006C6635" w:rsidRDefault="00F80803" w:rsidP="00DA1267">
            <w:pPr>
              <w:pStyle w:val="NoSpacing"/>
              <w:jc w:val="right"/>
            </w:pPr>
            <w:r w:rsidRPr="006C6635">
              <w:t>1.04407</w:t>
            </w:r>
          </w:p>
        </w:tc>
        <w:tc>
          <w:tcPr>
            <w:tcW w:w="1950" w:type="dxa"/>
          </w:tcPr>
          <w:p w:rsidR="00F80803" w:rsidRPr="006C6635" w:rsidRDefault="00F80803" w:rsidP="00DA1267">
            <w:pPr>
              <w:pStyle w:val="NoSpacing"/>
              <w:jc w:val="right"/>
            </w:pPr>
            <w:r w:rsidRPr="006C6635">
              <w:t>.97799</w:t>
            </w:r>
          </w:p>
        </w:tc>
      </w:tr>
      <w:tr w:rsidR="00F80803" w:rsidTr="006C6635">
        <w:tc>
          <w:tcPr>
            <w:tcW w:w="2802" w:type="dxa"/>
            <w:gridSpan w:val="2"/>
            <w:shd w:val="clear" w:color="auto" w:fill="DAEEF3" w:themeFill="accent5" w:themeFillTint="33"/>
          </w:tcPr>
          <w:p w:rsidR="00F80803" w:rsidRPr="006C6635" w:rsidRDefault="00F80803" w:rsidP="00704705">
            <w:pPr>
              <w:pStyle w:val="NoSpacing"/>
              <w:rPr>
                <w:b/>
              </w:rPr>
            </w:pPr>
            <w:r w:rsidRPr="006C6635">
              <w:rPr>
                <w:b/>
              </w:rPr>
              <w:t>Minimum</w:t>
            </w:r>
          </w:p>
        </w:tc>
        <w:tc>
          <w:tcPr>
            <w:tcW w:w="2268" w:type="dxa"/>
          </w:tcPr>
          <w:p w:rsidR="00F80803" w:rsidRPr="006C6635" w:rsidRDefault="00F80803" w:rsidP="00DA1267">
            <w:pPr>
              <w:pStyle w:val="NoSpacing"/>
              <w:jc w:val="right"/>
            </w:pPr>
            <w:r w:rsidRPr="006C6635">
              <w:t>3.00</w:t>
            </w:r>
          </w:p>
        </w:tc>
        <w:tc>
          <w:tcPr>
            <w:tcW w:w="2268" w:type="dxa"/>
          </w:tcPr>
          <w:p w:rsidR="00F80803" w:rsidRPr="006C6635" w:rsidRDefault="00F80803" w:rsidP="00DA1267">
            <w:pPr>
              <w:pStyle w:val="NoSpacing"/>
              <w:jc w:val="right"/>
            </w:pPr>
            <w:r w:rsidRPr="006C6635">
              <w:t>2.00</w:t>
            </w:r>
          </w:p>
        </w:tc>
        <w:tc>
          <w:tcPr>
            <w:tcW w:w="1950" w:type="dxa"/>
          </w:tcPr>
          <w:p w:rsidR="00F80803" w:rsidRPr="006C6635" w:rsidRDefault="00F80803" w:rsidP="00DA1267">
            <w:pPr>
              <w:pStyle w:val="NoSpacing"/>
              <w:jc w:val="right"/>
            </w:pPr>
            <w:r w:rsidRPr="006C6635">
              <w:t>1.00</w:t>
            </w:r>
          </w:p>
        </w:tc>
      </w:tr>
      <w:tr w:rsidR="00F80803" w:rsidTr="006C6635">
        <w:tc>
          <w:tcPr>
            <w:tcW w:w="2802" w:type="dxa"/>
            <w:gridSpan w:val="2"/>
            <w:shd w:val="clear" w:color="auto" w:fill="DAEEF3" w:themeFill="accent5" w:themeFillTint="33"/>
          </w:tcPr>
          <w:p w:rsidR="00F80803" w:rsidRPr="006C6635" w:rsidRDefault="00F80803" w:rsidP="00704705">
            <w:pPr>
              <w:pStyle w:val="NoSpacing"/>
              <w:rPr>
                <w:b/>
              </w:rPr>
            </w:pPr>
            <w:r w:rsidRPr="006C6635">
              <w:rPr>
                <w:b/>
              </w:rPr>
              <w:t>Maximum</w:t>
            </w:r>
          </w:p>
        </w:tc>
        <w:tc>
          <w:tcPr>
            <w:tcW w:w="2268" w:type="dxa"/>
          </w:tcPr>
          <w:p w:rsidR="00F80803" w:rsidRPr="006C6635" w:rsidRDefault="00F80803" w:rsidP="00DA1267">
            <w:pPr>
              <w:pStyle w:val="NoSpacing"/>
              <w:jc w:val="right"/>
            </w:pPr>
            <w:r w:rsidRPr="006C6635">
              <w:t>5.00</w:t>
            </w:r>
          </w:p>
        </w:tc>
        <w:tc>
          <w:tcPr>
            <w:tcW w:w="2268" w:type="dxa"/>
          </w:tcPr>
          <w:p w:rsidR="00F80803" w:rsidRPr="006C6635" w:rsidRDefault="00F80803" w:rsidP="00DA1267">
            <w:pPr>
              <w:pStyle w:val="NoSpacing"/>
              <w:jc w:val="right"/>
            </w:pPr>
            <w:r w:rsidRPr="006C6635">
              <w:t>5.00</w:t>
            </w:r>
          </w:p>
        </w:tc>
        <w:tc>
          <w:tcPr>
            <w:tcW w:w="1950" w:type="dxa"/>
          </w:tcPr>
          <w:p w:rsidR="00F80803" w:rsidRPr="006C6635" w:rsidRDefault="00F80803" w:rsidP="00DA1267">
            <w:pPr>
              <w:pStyle w:val="NoSpacing"/>
              <w:jc w:val="right"/>
            </w:pPr>
            <w:r w:rsidRPr="006C6635">
              <w:t>5.00</w:t>
            </w:r>
          </w:p>
        </w:tc>
      </w:tr>
      <w:tr w:rsidR="00F80803" w:rsidTr="006C6635">
        <w:tc>
          <w:tcPr>
            <w:tcW w:w="2802" w:type="dxa"/>
            <w:gridSpan w:val="2"/>
            <w:shd w:val="clear" w:color="auto" w:fill="DAEEF3" w:themeFill="accent5" w:themeFillTint="33"/>
          </w:tcPr>
          <w:p w:rsidR="00F80803" w:rsidRPr="006C6635" w:rsidRDefault="00F80803" w:rsidP="00704705">
            <w:pPr>
              <w:pStyle w:val="NoSpacing"/>
              <w:rPr>
                <w:b/>
              </w:rPr>
            </w:pPr>
            <w:r w:rsidRPr="006C6635">
              <w:rPr>
                <w:b/>
              </w:rPr>
              <w:t>Coefficient of variation</w:t>
            </w:r>
          </w:p>
        </w:tc>
        <w:tc>
          <w:tcPr>
            <w:tcW w:w="2268" w:type="dxa"/>
          </w:tcPr>
          <w:p w:rsidR="00F80803" w:rsidRPr="006C6635" w:rsidRDefault="00F80803" w:rsidP="00DA1267">
            <w:pPr>
              <w:pStyle w:val="NoSpacing"/>
              <w:jc w:val="right"/>
            </w:pPr>
            <w:r w:rsidRPr="006C6635">
              <w:t>0,126</w:t>
            </w:r>
          </w:p>
        </w:tc>
        <w:tc>
          <w:tcPr>
            <w:tcW w:w="2268" w:type="dxa"/>
          </w:tcPr>
          <w:p w:rsidR="00F80803" w:rsidRPr="006C6635" w:rsidRDefault="00F80803" w:rsidP="00DA1267">
            <w:pPr>
              <w:pStyle w:val="NoSpacing"/>
              <w:jc w:val="right"/>
            </w:pPr>
            <w:r w:rsidRPr="006C6635">
              <w:t>0,296</w:t>
            </w:r>
          </w:p>
        </w:tc>
        <w:tc>
          <w:tcPr>
            <w:tcW w:w="1950" w:type="dxa"/>
          </w:tcPr>
          <w:p w:rsidR="00F80803" w:rsidRPr="006C6635" w:rsidRDefault="00F80803" w:rsidP="00DA1267">
            <w:pPr>
              <w:pStyle w:val="NoSpacing"/>
              <w:jc w:val="right"/>
            </w:pPr>
            <w:r w:rsidRPr="006C6635">
              <w:t>0.291</w:t>
            </w:r>
          </w:p>
        </w:tc>
      </w:tr>
    </w:tbl>
    <w:p w:rsidR="00F80803" w:rsidRDefault="00F80803" w:rsidP="00704705">
      <w:pPr>
        <w:pStyle w:val="NoSpacing"/>
        <w:rPr>
          <w:sz w:val="20"/>
        </w:rPr>
      </w:pPr>
      <w:r>
        <w:rPr>
          <w:sz w:val="20"/>
        </w:rPr>
        <w:t xml:space="preserve">Source: Author analysis in statistical program </w:t>
      </w:r>
      <w:r w:rsidR="006C6635">
        <w:rPr>
          <w:sz w:val="20"/>
        </w:rPr>
        <w:t xml:space="preserve"> </w:t>
      </w:r>
      <w:r>
        <w:rPr>
          <w:sz w:val="20"/>
        </w:rPr>
        <w:t xml:space="preserve">SPSS 20. </w:t>
      </w:r>
    </w:p>
    <w:p w:rsidR="00F80803" w:rsidRDefault="00F80803" w:rsidP="00704705">
      <w:pPr>
        <w:pStyle w:val="NoSpacing"/>
      </w:pPr>
    </w:p>
    <w:p w:rsidR="00F80803" w:rsidRPr="00DE7EE4" w:rsidRDefault="00F80803" w:rsidP="00DE7EE4">
      <w:pPr>
        <w:pStyle w:val="NoSpacing"/>
        <w:ind w:firstLine="720"/>
      </w:pPr>
      <w:r>
        <w:t xml:space="preserve">Analysing </w:t>
      </w:r>
      <w:r w:rsidRPr="00B62B7A">
        <w:t>data collected from 37 mana</w:t>
      </w:r>
      <w:r>
        <w:t xml:space="preserve">gers and owners of production enterprises engaged in exporting, it </w:t>
      </w:r>
      <w:r w:rsidRPr="00B62B7A">
        <w:t xml:space="preserve">can </w:t>
      </w:r>
      <w:r>
        <w:t xml:space="preserve">be </w:t>
      </w:r>
      <w:r w:rsidRPr="00B62B7A">
        <w:t>conclude</w:t>
      </w:r>
      <w:r>
        <w:t>d</w:t>
      </w:r>
      <w:r w:rsidRPr="00B62B7A">
        <w:t xml:space="preserve"> that </w:t>
      </w:r>
      <w:r>
        <w:t>the strategy largely contributing</w:t>
      </w:r>
      <w:r w:rsidRPr="00B62B7A">
        <w:t xml:space="preserve"> to creatin</w:t>
      </w:r>
      <w:r>
        <w:t xml:space="preserve">g a positive export policy in BH is </w:t>
      </w:r>
      <w:r w:rsidRPr="00B62B7A">
        <w:t xml:space="preserve">a generic </w:t>
      </w:r>
      <w:r>
        <w:t xml:space="preserve">Cost leadership strategy. The average survey response rate from managers and owners surveyed is high 4,6216. Considering the small sample (under 50 participants), in order to analyse arithmetic mean, the mode and median have been found and in both samples they are 5 – strongly contributes to creating export policy, as the most common response. </w:t>
      </w:r>
      <w:r w:rsidRPr="00861F6E">
        <w:t xml:space="preserve">The coefficient of variation was 12.6 </w:t>
      </w:r>
      <w:r>
        <w:t>and standard deviation was</w:t>
      </w:r>
      <w:r w:rsidRPr="00861F6E">
        <w:t xml:space="preserve"> 0.59401, as a mini</w:t>
      </w:r>
      <w:r>
        <w:t>mum deviation, and proof that this</w:t>
      </w:r>
      <w:r w:rsidRPr="00861F6E">
        <w:t xml:space="preserve"> is a very homogeneous group response.</w:t>
      </w:r>
      <w:r w:rsidR="006C6635">
        <w:tab/>
      </w:r>
      <w:r w:rsidR="006C6635">
        <w:tab/>
      </w:r>
      <w:r w:rsidR="006C6635">
        <w:tab/>
      </w:r>
      <w:r w:rsidR="006C6635">
        <w:tab/>
      </w:r>
      <w:r w:rsidR="006C6635">
        <w:tab/>
      </w:r>
      <w:r w:rsidR="006C6635">
        <w:tab/>
      </w:r>
      <w:r w:rsidR="006C6635">
        <w:tab/>
      </w:r>
      <w:r w:rsidR="006C6635">
        <w:tab/>
      </w:r>
      <w:r>
        <w:rPr>
          <w:rFonts w:cs="Times New Roman"/>
        </w:rPr>
        <w:t>Data analysis has shown that participants agree with the statement that differentiation strategy contributes to creating positive export capacity in Bosnia and Herzegovina. The average response was 3, 5135, the most common response rate is 4- contributes to creating positive export capacity. The coefficient of variation is 29, 6%, therefore, it can be concluded that this</w:t>
      </w:r>
      <w:r w:rsidRPr="00861F6E">
        <w:rPr>
          <w:rFonts w:cs="Times New Roman"/>
        </w:rPr>
        <w:t xml:space="preserve"> is</w:t>
      </w:r>
      <w:r>
        <w:rPr>
          <w:rFonts w:cs="Times New Roman"/>
        </w:rPr>
        <w:t xml:space="preserve"> a </w:t>
      </w:r>
      <w:r w:rsidRPr="00861F6E">
        <w:rPr>
          <w:rFonts w:cs="Times New Roman"/>
        </w:rPr>
        <w:t>homogeneous group response.</w:t>
      </w:r>
      <w:r>
        <w:rPr>
          <w:rFonts w:cs="Times New Roman"/>
        </w:rPr>
        <w:t xml:space="preserve"> Standard deviation is 1, 044, which is not a large deviation of arithmetic mean, and hasn’t got a negative influence on arithmetic mean. </w:t>
      </w:r>
      <w:r w:rsidR="00DE7EE4">
        <w:rPr>
          <w:rFonts w:cs="Times New Roman"/>
        </w:rPr>
        <w:tab/>
      </w:r>
      <w:r w:rsidR="00DE7EE4">
        <w:rPr>
          <w:rFonts w:cs="Times New Roman"/>
        </w:rPr>
        <w:tab/>
      </w:r>
      <w:r w:rsidR="00DE7EE4">
        <w:rPr>
          <w:rFonts w:cs="Times New Roman"/>
        </w:rPr>
        <w:tab/>
      </w:r>
      <w:r w:rsidR="00DE7EE4">
        <w:rPr>
          <w:rFonts w:cs="Times New Roman"/>
        </w:rPr>
        <w:tab/>
      </w:r>
      <w:r w:rsidR="00DE7EE4">
        <w:rPr>
          <w:rFonts w:cs="Times New Roman"/>
        </w:rPr>
        <w:tab/>
      </w:r>
      <w:r w:rsidR="00DE7EE4">
        <w:rPr>
          <w:rFonts w:cs="Times New Roman"/>
        </w:rPr>
        <w:tab/>
      </w:r>
      <w:r w:rsidR="00DE7EE4">
        <w:rPr>
          <w:rFonts w:cs="Times New Roman"/>
        </w:rPr>
        <w:tab/>
      </w:r>
      <w:r w:rsidR="00DE7EE4">
        <w:rPr>
          <w:rFonts w:cs="Times New Roman"/>
        </w:rPr>
        <w:tab/>
      </w:r>
      <w:r>
        <w:rPr>
          <w:rFonts w:cs="Times New Roman"/>
        </w:rPr>
        <w:t>Participants partly agree that Focus strategy contributes to creating positive export capacity in Bosnia and Herzegovina. The arithmetic mean is 3, 3514, and the most common response rate (mode) is 4- contributes to creating export policy. Standard deviation is 0, 977, which is not high and hasn’t got a negative influence on arithmetic mean. Coefficient of variation is 29, 1%, and it can be concluded that this</w:t>
      </w:r>
      <w:r w:rsidRPr="00861F6E">
        <w:rPr>
          <w:rFonts w:cs="Times New Roman"/>
        </w:rPr>
        <w:t xml:space="preserve"> is a very </w:t>
      </w:r>
      <w:r w:rsidRPr="00861F6E">
        <w:rPr>
          <w:rFonts w:cs="Times New Roman"/>
        </w:rPr>
        <w:lastRenderedPageBreak/>
        <w:t>homogeneous group response.</w:t>
      </w:r>
      <w:r w:rsidR="006C6635">
        <w:rPr>
          <w:rFonts w:cs="Times New Roman"/>
        </w:rPr>
        <w:tab/>
      </w:r>
      <w:r w:rsidR="007A4DC0">
        <w:rPr>
          <w:rFonts w:cs="Times New Roman"/>
        </w:rPr>
        <w:t xml:space="preserve">                         </w:t>
      </w:r>
      <w:r w:rsidR="007A4DC0">
        <w:rPr>
          <w:rFonts w:cs="Times New Roman"/>
        </w:rPr>
        <w:tab/>
      </w:r>
      <w:r w:rsidR="007A4DC0">
        <w:rPr>
          <w:rFonts w:cs="Times New Roman"/>
        </w:rPr>
        <w:tab/>
      </w:r>
      <w:r w:rsidR="007A4DC0">
        <w:rPr>
          <w:rFonts w:cs="Times New Roman"/>
        </w:rPr>
        <w:tab/>
      </w:r>
      <w:r w:rsidR="007A4DC0">
        <w:rPr>
          <w:rFonts w:cs="Times New Roman"/>
        </w:rPr>
        <w:tab/>
      </w:r>
      <w:r w:rsidR="007A4DC0">
        <w:rPr>
          <w:rFonts w:cs="Times New Roman"/>
        </w:rPr>
        <w:tab/>
      </w:r>
      <w:r>
        <w:rPr>
          <w:rFonts w:cs="Times New Roman"/>
        </w:rPr>
        <w:t>In the previous table, through descriptive statistics the results</w:t>
      </w:r>
      <w:r w:rsidRPr="003311D4">
        <w:rPr>
          <w:rFonts w:cs="Times New Roman"/>
        </w:rPr>
        <w:t xml:space="preserve"> </w:t>
      </w:r>
      <w:r>
        <w:rPr>
          <w:rFonts w:cs="Times New Roman"/>
        </w:rPr>
        <w:t>obtained have been analysed and theoretically processed. Descriptive statistics have shown the existing difference between participants’ attitudes in three generic strategies, and whether these differences are statistically important or not it shall be determined in the following part of this paper, applying the T-test.</w:t>
      </w:r>
    </w:p>
    <w:p w:rsidR="0034790B" w:rsidRDefault="0034790B" w:rsidP="007A4DC0">
      <w:pPr>
        <w:pStyle w:val="NoSpacing"/>
        <w:rPr>
          <w:sz w:val="22"/>
          <w:szCs w:val="22"/>
        </w:rPr>
      </w:pPr>
    </w:p>
    <w:p w:rsidR="00F80803" w:rsidRPr="001F1F8D" w:rsidRDefault="00F80803" w:rsidP="007A4DC0">
      <w:pPr>
        <w:pStyle w:val="NoSpacing"/>
        <w:rPr>
          <w:sz w:val="22"/>
          <w:szCs w:val="22"/>
        </w:rPr>
      </w:pPr>
      <w:r w:rsidRPr="0034790B">
        <w:rPr>
          <w:b/>
          <w:sz w:val="22"/>
          <w:szCs w:val="22"/>
        </w:rPr>
        <w:t xml:space="preserve">Table 2. </w:t>
      </w:r>
      <w:r w:rsidRPr="001F1F8D">
        <w:rPr>
          <w:sz w:val="22"/>
          <w:szCs w:val="22"/>
        </w:rPr>
        <w:t>Comparing the existence of differences using t - test Differentiation and Focus strategy</w:t>
      </w:r>
    </w:p>
    <w:tbl>
      <w:tblPr>
        <w:tblStyle w:val="TableGrid"/>
        <w:tblW w:w="0" w:type="auto"/>
        <w:tblLook w:val="04A0"/>
      </w:tblPr>
      <w:tblGrid>
        <w:gridCol w:w="657"/>
        <w:gridCol w:w="1899"/>
        <w:gridCol w:w="1652"/>
        <w:gridCol w:w="1414"/>
        <w:gridCol w:w="1129"/>
        <w:gridCol w:w="1157"/>
        <w:gridCol w:w="954"/>
      </w:tblGrid>
      <w:tr w:rsidR="00F80803" w:rsidRPr="007A4DC0" w:rsidTr="007A4DC0">
        <w:trPr>
          <w:trHeight w:val="240"/>
        </w:trPr>
        <w:tc>
          <w:tcPr>
            <w:tcW w:w="2561" w:type="dxa"/>
            <w:gridSpan w:val="2"/>
            <w:vMerge w:val="restart"/>
          </w:tcPr>
          <w:p w:rsidR="00F80803" w:rsidRPr="007A4DC0" w:rsidRDefault="00F80803" w:rsidP="007A4DC0">
            <w:pPr>
              <w:pStyle w:val="NoSpacing"/>
            </w:pPr>
          </w:p>
          <w:p w:rsidR="00F80803" w:rsidRPr="007A4DC0" w:rsidRDefault="00F80803" w:rsidP="007A4DC0">
            <w:pPr>
              <w:pStyle w:val="NoSpacing"/>
            </w:pPr>
          </w:p>
          <w:p w:rsidR="00F80803" w:rsidRPr="007A4DC0" w:rsidRDefault="00F80803" w:rsidP="007A4DC0">
            <w:pPr>
              <w:pStyle w:val="NoSpacing"/>
            </w:pPr>
          </w:p>
        </w:tc>
        <w:tc>
          <w:tcPr>
            <w:tcW w:w="3076" w:type="dxa"/>
            <w:gridSpan w:val="2"/>
            <w:tcBorders>
              <w:bottom w:val="single" w:sz="4" w:space="0" w:color="auto"/>
            </w:tcBorders>
            <w:shd w:val="clear" w:color="auto" w:fill="DAEEF3" w:themeFill="accent5" w:themeFillTint="33"/>
          </w:tcPr>
          <w:p w:rsidR="00F80803" w:rsidRPr="007A4DC0" w:rsidRDefault="00F80803" w:rsidP="007A4DC0">
            <w:pPr>
              <w:pStyle w:val="NoSpacing"/>
              <w:jc w:val="center"/>
              <w:rPr>
                <w:b/>
              </w:rPr>
            </w:pPr>
            <w:r w:rsidRPr="007A4DC0">
              <w:rPr>
                <w:b/>
              </w:rPr>
              <w:t>Difference compared</w:t>
            </w:r>
          </w:p>
        </w:tc>
        <w:tc>
          <w:tcPr>
            <w:tcW w:w="1134" w:type="dxa"/>
            <w:vMerge w:val="restart"/>
            <w:shd w:val="clear" w:color="auto" w:fill="DAEEF3" w:themeFill="accent5" w:themeFillTint="33"/>
          </w:tcPr>
          <w:p w:rsidR="00F80803" w:rsidRPr="007A4DC0" w:rsidRDefault="00F80803" w:rsidP="007A4DC0">
            <w:pPr>
              <w:pStyle w:val="NoSpacing"/>
              <w:jc w:val="center"/>
              <w:rPr>
                <w:b/>
              </w:rPr>
            </w:pPr>
            <w:r w:rsidRPr="007A4DC0">
              <w:rPr>
                <w:b/>
              </w:rPr>
              <w:t>Test</w:t>
            </w:r>
          </w:p>
        </w:tc>
        <w:tc>
          <w:tcPr>
            <w:tcW w:w="1134" w:type="dxa"/>
            <w:vMerge w:val="restart"/>
            <w:shd w:val="clear" w:color="auto" w:fill="DAEEF3" w:themeFill="accent5" w:themeFillTint="33"/>
          </w:tcPr>
          <w:p w:rsidR="00F80803" w:rsidRPr="007A4DC0" w:rsidRDefault="00F80803" w:rsidP="007A4DC0">
            <w:pPr>
              <w:pStyle w:val="NoSpacing"/>
              <w:jc w:val="center"/>
              <w:rPr>
                <w:b/>
              </w:rPr>
            </w:pPr>
            <w:r w:rsidRPr="007A4DC0">
              <w:rPr>
                <w:b/>
              </w:rPr>
              <w:t>difference</w:t>
            </w:r>
          </w:p>
        </w:tc>
        <w:tc>
          <w:tcPr>
            <w:tcW w:w="957" w:type="dxa"/>
            <w:vMerge w:val="restart"/>
            <w:shd w:val="clear" w:color="auto" w:fill="DAEEF3" w:themeFill="accent5" w:themeFillTint="33"/>
          </w:tcPr>
          <w:p w:rsidR="00F80803" w:rsidRPr="007A4DC0" w:rsidRDefault="00F80803" w:rsidP="007A4DC0">
            <w:pPr>
              <w:pStyle w:val="NoSpacing"/>
              <w:jc w:val="center"/>
              <w:rPr>
                <w:b/>
              </w:rPr>
            </w:pPr>
            <w:r w:rsidRPr="007A4DC0">
              <w:rPr>
                <w:b/>
              </w:rPr>
              <w:t>Sig.</w:t>
            </w:r>
          </w:p>
          <w:p w:rsidR="00F80803" w:rsidRPr="007A4DC0" w:rsidRDefault="00F80803" w:rsidP="007A4DC0">
            <w:pPr>
              <w:pStyle w:val="NoSpacing"/>
              <w:jc w:val="center"/>
              <w:rPr>
                <w:b/>
              </w:rPr>
            </w:pPr>
            <w:r w:rsidRPr="007A4DC0">
              <w:rPr>
                <w:b/>
              </w:rPr>
              <w:t>(2-way)</w:t>
            </w:r>
          </w:p>
        </w:tc>
      </w:tr>
      <w:tr w:rsidR="00F80803" w:rsidRPr="007A4DC0" w:rsidTr="007A4DC0">
        <w:trPr>
          <w:trHeight w:val="525"/>
        </w:trPr>
        <w:tc>
          <w:tcPr>
            <w:tcW w:w="2561" w:type="dxa"/>
            <w:gridSpan w:val="2"/>
            <w:vMerge/>
          </w:tcPr>
          <w:p w:rsidR="00F80803" w:rsidRPr="007A4DC0" w:rsidRDefault="00F80803" w:rsidP="007A4DC0">
            <w:pPr>
              <w:pStyle w:val="NoSpacing"/>
            </w:pPr>
          </w:p>
        </w:tc>
        <w:tc>
          <w:tcPr>
            <w:tcW w:w="1658" w:type="dxa"/>
            <w:tcBorders>
              <w:top w:val="single" w:sz="4" w:space="0" w:color="auto"/>
            </w:tcBorders>
          </w:tcPr>
          <w:p w:rsidR="00F80803" w:rsidRPr="007A4DC0" w:rsidRDefault="00F80803" w:rsidP="007A4DC0">
            <w:pPr>
              <w:pStyle w:val="NoSpacing"/>
              <w:jc w:val="center"/>
              <w:rPr>
                <w:b/>
                <w:sz w:val="20"/>
                <w:szCs w:val="20"/>
              </w:rPr>
            </w:pPr>
            <w:r w:rsidRPr="007A4DC0">
              <w:rPr>
                <w:b/>
                <w:sz w:val="20"/>
                <w:szCs w:val="20"/>
              </w:rPr>
              <w:t>Difference of arithmetic mean</w:t>
            </w:r>
          </w:p>
        </w:tc>
        <w:tc>
          <w:tcPr>
            <w:tcW w:w="1418" w:type="dxa"/>
            <w:tcBorders>
              <w:top w:val="single" w:sz="4" w:space="0" w:color="auto"/>
            </w:tcBorders>
          </w:tcPr>
          <w:p w:rsidR="00F80803" w:rsidRPr="007A4DC0" w:rsidRDefault="00F80803" w:rsidP="007A4DC0">
            <w:pPr>
              <w:pStyle w:val="NoSpacing"/>
              <w:jc w:val="center"/>
              <w:rPr>
                <w:b/>
                <w:sz w:val="20"/>
                <w:szCs w:val="20"/>
              </w:rPr>
            </w:pPr>
            <w:r w:rsidRPr="007A4DC0">
              <w:rPr>
                <w:b/>
                <w:sz w:val="20"/>
                <w:szCs w:val="20"/>
              </w:rPr>
              <w:t>Standard Deviation</w:t>
            </w:r>
          </w:p>
        </w:tc>
        <w:tc>
          <w:tcPr>
            <w:tcW w:w="1134" w:type="dxa"/>
            <w:vMerge/>
          </w:tcPr>
          <w:p w:rsidR="00F80803" w:rsidRPr="007A4DC0" w:rsidRDefault="00F80803" w:rsidP="007A4DC0">
            <w:pPr>
              <w:pStyle w:val="NoSpacing"/>
              <w:jc w:val="center"/>
            </w:pPr>
          </w:p>
        </w:tc>
        <w:tc>
          <w:tcPr>
            <w:tcW w:w="1134" w:type="dxa"/>
            <w:vMerge/>
          </w:tcPr>
          <w:p w:rsidR="00F80803" w:rsidRPr="007A4DC0" w:rsidRDefault="00F80803" w:rsidP="007A4DC0">
            <w:pPr>
              <w:pStyle w:val="NoSpacing"/>
              <w:jc w:val="center"/>
            </w:pPr>
          </w:p>
        </w:tc>
        <w:tc>
          <w:tcPr>
            <w:tcW w:w="957" w:type="dxa"/>
            <w:vMerge/>
          </w:tcPr>
          <w:p w:rsidR="00F80803" w:rsidRPr="007A4DC0" w:rsidRDefault="00F80803" w:rsidP="007A4DC0">
            <w:pPr>
              <w:pStyle w:val="NoSpacing"/>
              <w:jc w:val="center"/>
            </w:pPr>
          </w:p>
        </w:tc>
      </w:tr>
      <w:tr w:rsidR="00F80803" w:rsidRPr="007A4DC0" w:rsidTr="007A4DC0">
        <w:tc>
          <w:tcPr>
            <w:tcW w:w="658" w:type="dxa"/>
          </w:tcPr>
          <w:p w:rsidR="00F80803" w:rsidRPr="007A4DC0" w:rsidRDefault="00F80803" w:rsidP="007A4DC0">
            <w:pPr>
              <w:pStyle w:val="NoSpacing"/>
            </w:pPr>
            <w:r w:rsidRPr="007A4DC0">
              <w:t>Pair 1</w:t>
            </w:r>
          </w:p>
        </w:tc>
        <w:tc>
          <w:tcPr>
            <w:tcW w:w="1903" w:type="dxa"/>
          </w:tcPr>
          <w:p w:rsidR="00F80803" w:rsidRPr="007A4DC0" w:rsidRDefault="00F80803" w:rsidP="007A4DC0">
            <w:pPr>
              <w:pStyle w:val="NoSpacing"/>
            </w:pPr>
            <w:r w:rsidRPr="007A4DC0">
              <w:t>Differentiation Strategy</w:t>
            </w:r>
          </w:p>
          <w:p w:rsidR="00F80803" w:rsidRPr="007A4DC0" w:rsidRDefault="00F80803" w:rsidP="007A4DC0">
            <w:pPr>
              <w:pStyle w:val="NoSpacing"/>
            </w:pPr>
            <w:r w:rsidRPr="007A4DC0">
              <w:t>Focus strategy</w:t>
            </w:r>
          </w:p>
        </w:tc>
        <w:tc>
          <w:tcPr>
            <w:tcW w:w="1658" w:type="dxa"/>
          </w:tcPr>
          <w:p w:rsidR="00F80803" w:rsidRPr="007A4DC0" w:rsidRDefault="00F80803" w:rsidP="007A4DC0">
            <w:pPr>
              <w:pStyle w:val="NoSpacing"/>
              <w:jc w:val="right"/>
            </w:pPr>
            <w:r w:rsidRPr="007A4DC0">
              <w:t>.16216</w:t>
            </w:r>
          </w:p>
        </w:tc>
        <w:tc>
          <w:tcPr>
            <w:tcW w:w="1418" w:type="dxa"/>
          </w:tcPr>
          <w:p w:rsidR="00F80803" w:rsidRPr="007A4DC0" w:rsidRDefault="00F80803" w:rsidP="007A4DC0">
            <w:pPr>
              <w:pStyle w:val="NoSpacing"/>
              <w:jc w:val="right"/>
            </w:pPr>
            <w:r w:rsidRPr="007A4DC0">
              <w:t>1.48162</w:t>
            </w:r>
          </w:p>
        </w:tc>
        <w:tc>
          <w:tcPr>
            <w:tcW w:w="1134" w:type="dxa"/>
          </w:tcPr>
          <w:p w:rsidR="00F80803" w:rsidRPr="007A4DC0" w:rsidRDefault="00F80803" w:rsidP="007A4DC0">
            <w:pPr>
              <w:pStyle w:val="NoSpacing"/>
              <w:jc w:val="right"/>
            </w:pPr>
            <w:r w:rsidRPr="007A4DC0">
              <w:t>.666</w:t>
            </w:r>
          </w:p>
        </w:tc>
        <w:tc>
          <w:tcPr>
            <w:tcW w:w="1134" w:type="dxa"/>
          </w:tcPr>
          <w:p w:rsidR="00F80803" w:rsidRPr="007A4DC0" w:rsidRDefault="00F80803" w:rsidP="007A4DC0">
            <w:pPr>
              <w:pStyle w:val="NoSpacing"/>
              <w:jc w:val="right"/>
            </w:pPr>
            <w:r w:rsidRPr="007A4DC0">
              <w:t>36</w:t>
            </w:r>
          </w:p>
        </w:tc>
        <w:tc>
          <w:tcPr>
            <w:tcW w:w="957" w:type="dxa"/>
          </w:tcPr>
          <w:p w:rsidR="00F80803" w:rsidRPr="007A4DC0" w:rsidRDefault="00F80803" w:rsidP="007A4DC0">
            <w:pPr>
              <w:pStyle w:val="NoSpacing"/>
              <w:jc w:val="right"/>
            </w:pPr>
            <w:r w:rsidRPr="007A4DC0">
              <w:t>.510</w:t>
            </w:r>
          </w:p>
        </w:tc>
      </w:tr>
    </w:tbl>
    <w:p w:rsidR="00F80803" w:rsidRPr="007A4DC0" w:rsidRDefault="00F80803" w:rsidP="007A4DC0">
      <w:pPr>
        <w:pStyle w:val="NoSpacing"/>
        <w:rPr>
          <w:sz w:val="20"/>
          <w:szCs w:val="20"/>
        </w:rPr>
      </w:pPr>
      <w:r w:rsidRPr="007A4DC0">
        <w:rPr>
          <w:sz w:val="20"/>
          <w:szCs w:val="20"/>
        </w:rPr>
        <w:t xml:space="preserve">Source: Author analysis in statistical program SPSS 20. </w:t>
      </w:r>
    </w:p>
    <w:p w:rsidR="00F80803" w:rsidRDefault="00F80803" w:rsidP="007A4DC0">
      <w:pPr>
        <w:ind w:firstLine="720"/>
        <w:rPr>
          <w:rFonts w:cs="Times New Roman"/>
        </w:rPr>
      </w:pPr>
      <w:r>
        <w:rPr>
          <w:rFonts w:cs="Times New Roman"/>
        </w:rPr>
        <w:t>P = 0, 510 &gt; 0, 05, therefore it can be concluded that there is no significant statistic difference between the response of manager and owner regarding the differentiation strategy and Focus strategy, i.e. these strategies are similar for managers and owners of production enterprises engaged in export.</w:t>
      </w:r>
    </w:p>
    <w:p w:rsidR="007A4DC0" w:rsidRDefault="007A4DC0" w:rsidP="007A4DC0">
      <w:pPr>
        <w:pStyle w:val="NoSpacing"/>
        <w:rPr>
          <w:sz w:val="22"/>
          <w:szCs w:val="22"/>
        </w:rPr>
      </w:pPr>
    </w:p>
    <w:p w:rsidR="00F80803" w:rsidRPr="007A4DC0" w:rsidRDefault="00F80803" w:rsidP="007A4DC0">
      <w:pPr>
        <w:pStyle w:val="NoSpacing"/>
        <w:rPr>
          <w:b/>
          <w:sz w:val="22"/>
          <w:szCs w:val="22"/>
        </w:rPr>
      </w:pPr>
      <w:r w:rsidRPr="007A4DC0">
        <w:rPr>
          <w:b/>
          <w:sz w:val="22"/>
          <w:szCs w:val="22"/>
        </w:rPr>
        <w:t xml:space="preserve">Table 3. </w:t>
      </w:r>
      <w:r w:rsidRPr="001F1F8D">
        <w:rPr>
          <w:sz w:val="22"/>
          <w:szCs w:val="22"/>
        </w:rPr>
        <w:t>Comparing the existence of differences using t - test Differentiation and Cost leadership strategy</w:t>
      </w:r>
    </w:p>
    <w:tbl>
      <w:tblPr>
        <w:tblStyle w:val="TableGrid"/>
        <w:tblW w:w="0" w:type="auto"/>
        <w:tblLayout w:type="fixed"/>
        <w:tblLook w:val="04A0"/>
      </w:tblPr>
      <w:tblGrid>
        <w:gridCol w:w="657"/>
        <w:gridCol w:w="1900"/>
        <w:gridCol w:w="1662"/>
        <w:gridCol w:w="1418"/>
        <w:gridCol w:w="992"/>
        <w:gridCol w:w="1276"/>
        <w:gridCol w:w="957"/>
      </w:tblGrid>
      <w:tr w:rsidR="00F80803" w:rsidRPr="007A4DC0" w:rsidTr="00DA1267">
        <w:trPr>
          <w:trHeight w:val="240"/>
        </w:trPr>
        <w:tc>
          <w:tcPr>
            <w:tcW w:w="2557" w:type="dxa"/>
            <w:gridSpan w:val="2"/>
            <w:vMerge w:val="restart"/>
          </w:tcPr>
          <w:p w:rsidR="00F80803" w:rsidRPr="007A4DC0" w:rsidRDefault="00F80803" w:rsidP="007A4DC0">
            <w:pPr>
              <w:pStyle w:val="NoSpacing"/>
            </w:pPr>
          </w:p>
          <w:p w:rsidR="00F80803" w:rsidRPr="007A4DC0" w:rsidRDefault="00F80803" w:rsidP="007A4DC0">
            <w:pPr>
              <w:pStyle w:val="NoSpacing"/>
            </w:pPr>
          </w:p>
          <w:p w:rsidR="00F80803" w:rsidRPr="007A4DC0" w:rsidRDefault="00F80803" w:rsidP="007A4DC0">
            <w:pPr>
              <w:pStyle w:val="NoSpacing"/>
            </w:pPr>
          </w:p>
        </w:tc>
        <w:tc>
          <w:tcPr>
            <w:tcW w:w="3080" w:type="dxa"/>
            <w:gridSpan w:val="2"/>
            <w:tcBorders>
              <w:bottom w:val="single" w:sz="4" w:space="0" w:color="auto"/>
            </w:tcBorders>
            <w:shd w:val="clear" w:color="auto" w:fill="DAEEF3" w:themeFill="accent5" w:themeFillTint="33"/>
          </w:tcPr>
          <w:p w:rsidR="00F80803" w:rsidRPr="007A4DC0" w:rsidRDefault="00F80803" w:rsidP="007A4DC0">
            <w:pPr>
              <w:pStyle w:val="NoSpacing"/>
              <w:jc w:val="center"/>
              <w:rPr>
                <w:b/>
              </w:rPr>
            </w:pPr>
            <w:r w:rsidRPr="007A4DC0">
              <w:rPr>
                <w:b/>
              </w:rPr>
              <w:t>Difference compared</w:t>
            </w:r>
          </w:p>
        </w:tc>
        <w:tc>
          <w:tcPr>
            <w:tcW w:w="992" w:type="dxa"/>
            <w:vMerge w:val="restart"/>
            <w:shd w:val="clear" w:color="auto" w:fill="DAEEF3" w:themeFill="accent5" w:themeFillTint="33"/>
          </w:tcPr>
          <w:p w:rsidR="00DA1267" w:rsidRDefault="00DA1267" w:rsidP="007A4DC0">
            <w:pPr>
              <w:pStyle w:val="NoSpacing"/>
              <w:jc w:val="center"/>
              <w:rPr>
                <w:b/>
              </w:rPr>
            </w:pPr>
          </w:p>
          <w:p w:rsidR="00F80803" w:rsidRPr="007A4DC0" w:rsidRDefault="00F80803" w:rsidP="007A4DC0">
            <w:pPr>
              <w:pStyle w:val="NoSpacing"/>
              <w:jc w:val="center"/>
              <w:rPr>
                <w:b/>
              </w:rPr>
            </w:pPr>
            <w:r w:rsidRPr="007A4DC0">
              <w:rPr>
                <w:b/>
              </w:rPr>
              <w:t>Test</w:t>
            </w:r>
          </w:p>
        </w:tc>
        <w:tc>
          <w:tcPr>
            <w:tcW w:w="1276" w:type="dxa"/>
            <w:vMerge w:val="restart"/>
            <w:shd w:val="clear" w:color="auto" w:fill="DAEEF3" w:themeFill="accent5" w:themeFillTint="33"/>
          </w:tcPr>
          <w:p w:rsidR="00DA1267" w:rsidRDefault="00DA1267" w:rsidP="007A4DC0">
            <w:pPr>
              <w:pStyle w:val="NoSpacing"/>
              <w:jc w:val="center"/>
              <w:rPr>
                <w:b/>
              </w:rPr>
            </w:pPr>
          </w:p>
          <w:p w:rsidR="00F80803" w:rsidRPr="007A4DC0" w:rsidRDefault="00F80803" w:rsidP="007A4DC0">
            <w:pPr>
              <w:pStyle w:val="NoSpacing"/>
              <w:jc w:val="center"/>
              <w:rPr>
                <w:b/>
              </w:rPr>
            </w:pPr>
            <w:r w:rsidRPr="007A4DC0">
              <w:rPr>
                <w:b/>
              </w:rPr>
              <w:t>difference</w:t>
            </w:r>
          </w:p>
        </w:tc>
        <w:tc>
          <w:tcPr>
            <w:tcW w:w="957" w:type="dxa"/>
            <w:vMerge w:val="restart"/>
            <w:shd w:val="clear" w:color="auto" w:fill="DAEEF3" w:themeFill="accent5" w:themeFillTint="33"/>
          </w:tcPr>
          <w:p w:rsidR="00DA1267" w:rsidRDefault="00DA1267" w:rsidP="007A4DC0">
            <w:pPr>
              <w:pStyle w:val="NoSpacing"/>
              <w:jc w:val="center"/>
              <w:rPr>
                <w:b/>
              </w:rPr>
            </w:pPr>
          </w:p>
          <w:p w:rsidR="00F80803" w:rsidRPr="007A4DC0" w:rsidRDefault="00F80803" w:rsidP="007A4DC0">
            <w:pPr>
              <w:pStyle w:val="NoSpacing"/>
              <w:jc w:val="center"/>
              <w:rPr>
                <w:b/>
              </w:rPr>
            </w:pPr>
            <w:r w:rsidRPr="007A4DC0">
              <w:rPr>
                <w:b/>
              </w:rPr>
              <w:t>Sig.</w:t>
            </w:r>
          </w:p>
          <w:p w:rsidR="00F80803" w:rsidRPr="007A4DC0" w:rsidRDefault="00F80803" w:rsidP="007A4DC0">
            <w:pPr>
              <w:pStyle w:val="NoSpacing"/>
              <w:jc w:val="center"/>
              <w:rPr>
                <w:b/>
              </w:rPr>
            </w:pPr>
            <w:r w:rsidRPr="007A4DC0">
              <w:rPr>
                <w:b/>
              </w:rPr>
              <w:t>(2-way)</w:t>
            </w:r>
          </w:p>
        </w:tc>
      </w:tr>
      <w:tr w:rsidR="00F80803" w:rsidRPr="007A4DC0" w:rsidTr="00DA1267">
        <w:trPr>
          <w:trHeight w:val="525"/>
        </w:trPr>
        <w:tc>
          <w:tcPr>
            <w:tcW w:w="2557" w:type="dxa"/>
            <w:gridSpan w:val="2"/>
            <w:vMerge/>
          </w:tcPr>
          <w:p w:rsidR="00F80803" w:rsidRPr="007A4DC0" w:rsidRDefault="00F80803" w:rsidP="007A4DC0">
            <w:pPr>
              <w:pStyle w:val="NoSpacing"/>
            </w:pPr>
          </w:p>
        </w:tc>
        <w:tc>
          <w:tcPr>
            <w:tcW w:w="1662" w:type="dxa"/>
            <w:tcBorders>
              <w:top w:val="single" w:sz="4" w:space="0" w:color="auto"/>
            </w:tcBorders>
          </w:tcPr>
          <w:p w:rsidR="00F80803" w:rsidRPr="007A4DC0" w:rsidRDefault="00F80803" w:rsidP="007A4DC0">
            <w:pPr>
              <w:pStyle w:val="NoSpacing"/>
              <w:jc w:val="center"/>
              <w:rPr>
                <w:b/>
                <w:sz w:val="20"/>
                <w:szCs w:val="20"/>
              </w:rPr>
            </w:pPr>
            <w:r w:rsidRPr="007A4DC0">
              <w:rPr>
                <w:b/>
                <w:sz w:val="20"/>
                <w:szCs w:val="20"/>
              </w:rPr>
              <w:t>Difference of arithmetic mean</w:t>
            </w:r>
          </w:p>
        </w:tc>
        <w:tc>
          <w:tcPr>
            <w:tcW w:w="1418" w:type="dxa"/>
            <w:tcBorders>
              <w:top w:val="single" w:sz="4" w:space="0" w:color="auto"/>
            </w:tcBorders>
          </w:tcPr>
          <w:p w:rsidR="00F80803" w:rsidRPr="007A4DC0" w:rsidRDefault="00F80803" w:rsidP="007A4DC0">
            <w:pPr>
              <w:pStyle w:val="NoSpacing"/>
              <w:jc w:val="center"/>
              <w:rPr>
                <w:b/>
                <w:sz w:val="20"/>
                <w:szCs w:val="20"/>
              </w:rPr>
            </w:pPr>
            <w:r w:rsidRPr="007A4DC0">
              <w:rPr>
                <w:b/>
                <w:sz w:val="20"/>
                <w:szCs w:val="20"/>
              </w:rPr>
              <w:t>Standard Deviation</w:t>
            </w:r>
          </w:p>
        </w:tc>
        <w:tc>
          <w:tcPr>
            <w:tcW w:w="992" w:type="dxa"/>
            <w:vMerge/>
          </w:tcPr>
          <w:p w:rsidR="00F80803" w:rsidRPr="007A4DC0" w:rsidRDefault="00F80803" w:rsidP="007A4DC0">
            <w:pPr>
              <w:pStyle w:val="NoSpacing"/>
              <w:jc w:val="center"/>
            </w:pPr>
          </w:p>
        </w:tc>
        <w:tc>
          <w:tcPr>
            <w:tcW w:w="1276" w:type="dxa"/>
            <w:vMerge/>
          </w:tcPr>
          <w:p w:rsidR="00F80803" w:rsidRPr="007A4DC0" w:rsidRDefault="00F80803" w:rsidP="007A4DC0">
            <w:pPr>
              <w:pStyle w:val="NoSpacing"/>
              <w:jc w:val="center"/>
            </w:pPr>
          </w:p>
        </w:tc>
        <w:tc>
          <w:tcPr>
            <w:tcW w:w="957" w:type="dxa"/>
            <w:vMerge/>
          </w:tcPr>
          <w:p w:rsidR="00F80803" w:rsidRPr="007A4DC0" w:rsidRDefault="00F80803" w:rsidP="007A4DC0">
            <w:pPr>
              <w:pStyle w:val="NoSpacing"/>
              <w:jc w:val="center"/>
            </w:pPr>
          </w:p>
        </w:tc>
      </w:tr>
      <w:tr w:rsidR="00F80803" w:rsidRPr="007A4DC0" w:rsidTr="00DA1267">
        <w:tc>
          <w:tcPr>
            <w:tcW w:w="657" w:type="dxa"/>
          </w:tcPr>
          <w:p w:rsidR="00F80803" w:rsidRPr="007A4DC0" w:rsidRDefault="00F80803" w:rsidP="007A4DC0">
            <w:pPr>
              <w:pStyle w:val="NoSpacing"/>
            </w:pPr>
            <w:r w:rsidRPr="007A4DC0">
              <w:t>Pair 1</w:t>
            </w:r>
          </w:p>
        </w:tc>
        <w:tc>
          <w:tcPr>
            <w:tcW w:w="1900" w:type="dxa"/>
          </w:tcPr>
          <w:p w:rsidR="00F80803" w:rsidRPr="007A4DC0" w:rsidRDefault="00F80803" w:rsidP="007A4DC0">
            <w:pPr>
              <w:pStyle w:val="NoSpacing"/>
            </w:pPr>
            <w:r w:rsidRPr="007A4DC0">
              <w:t>Cost leadership strategy - Differentiation Strategy</w:t>
            </w:r>
          </w:p>
        </w:tc>
        <w:tc>
          <w:tcPr>
            <w:tcW w:w="1662" w:type="dxa"/>
          </w:tcPr>
          <w:p w:rsidR="00F80803" w:rsidRPr="007A4DC0" w:rsidRDefault="00F80803" w:rsidP="007A4DC0">
            <w:pPr>
              <w:pStyle w:val="NoSpacing"/>
            </w:pPr>
            <w:r w:rsidRPr="007A4DC0">
              <w:t>1.10811</w:t>
            </w:r>
          </w:p>
        </w:tc>
        <w:tc>
          <w:tcPr>
            <w:tcW w:w="1418" w:type="dxa"/>
          </w:tcPr>
          <w:p w:rsidR="00F80803" w:rsidRPr="007A4DC0" w:rsidRDefault="00F80803" w:rsidP="007A4DC0">
            <w:pPr>
              <w:pStyle w:val="NoSpacing"/>
            </w:pPr>
            <w:r w:rsidRPr="007A4DC0">
              <w:t>1.14949</w:t>
            </w:r>
          </w:p>
        </w:tc>
        <w:tc>
          <w:tcPr>
            <w:tcW w:w="992" w:type="dxa"/>
          </w:tcPr>
          <w:p w:rsidR="00F80803" w:rsidRPr="007A4DC0" w:rsidRDefault="00F80803" w:rsidP="007A4DC0">
            <w:pPr>
              <w:pStyle w:val="NoSpacing"/>
            </w:pPr>
            <w:r w:rsidRPr="007A4DC0">
              <w:t>5.864</w:t>
            </w:r>
          </w:p>
        </w:tc>
        <w:tc>
          <w:tcPr>
            <w:tcW w:w="1276" w:type="dxa"/>
          </w:tcPr>
          <w:p w:rsidR="00F80803" w:rsidRPr="007A4DC0" w:rsidRDefault="00F80803" w:rsidP="007A4DC0">
            <w:pPr>
              <w:pStyle w:val="NoSpacing"/>
            </w:pPr>
            <w:r w:rsidRPr="007A4DC0">
              <w:t>36</w:t>
            </w:r>
          </w:p>
        </w:tc>
        <w:tc>
          <w:tcPr>
            <w:tcW w:w="957" w:type="dxa"/>
          </w:tcPr>
          <w:p w:rsidR="00F80803" w:rsidRPr="007A4DC0" w:rsidRDefault="00F80803" w:rsidP="007A4DC0">
            <w:pPr>
              <w:pStyle w:val="NoSpacing"/>
            </w:pPr>
            <w:r w:rsidRPr="007A4DC0">
              <w:t>.000</w:t>
            </w:r>
          </w:p>
        </w:tc>
      </w:tr>
    </w:tbl>
    <w:p w:rsidR="00F80803" w:rsidRPr="007A4DC0" w:rsidRDefault="00F80803" w:rsidP="007A4DC0">
      <w:pPr>
        <w:pStyle w:val="NoSpacing"/>
        <w:rPr>
          <w:sz w:val="20"/>
          <w:szCs w:val="20"/>
        </w:rPr>
      </w:pPr>
      <w:r w:rsidRPr="007A4DC0">
        <w:rPr>
          <w:sz w:val="20"/>
          <w:szCs w:val="20"/>
        </w:rPr>
        <w:t xml:space="preserve">Source: Author analysis in statistical program SPSS 20. </w:t>
      </w:r>
    </w:p>
    <w:p w:rsidR="00F80803" w:rsidRDefault="00F80803" w:rsidP="007A4DC0">
      <w:pPr>
        <w:ind w:firstLine="720"/>
        <w:rPr>
          <w:rFonts w:cs="Times New Roman"/>
        </w:rPr>
      </w:pPr>
      <w:r>
        <w:rPr>
          <w:rFonts w:cs="Times New Roman"/>
        </w:rPr>
        <w:t xml:space="preserve">P = 0, 000 &lt; 0, 05, therefore it can be concluded that there is a significant statistic difference between the response of manager and owner regarding the differentiation strategy and cost leadership strategy, i.e. these strategies are not similar for managers and owners of production enterprises engaged in export. As described, managers and owners prefer cost leadership strategy which contributes to creating a positive export policy in Bosnia and Herzegovina. </w:t>
      </w:r>
    </w:p>
    <w:p w:rsidR="007D6714" w:rsidRDefault="007D6714" w:rsidP="007D6714">
      <w:pPr>
        <w:pStyle w:val="NoSpacing"/>
      </w:pPr>
    </w:p>
    <w:p w:rsidR="00F80803" w:rsidRPr="001F1F8D" w:rsidRDefault="00F80803" w:rsidP="007A4DC0">
      <w:pPr>
        <w:pStyle w:val="NoSpacing"/>
        <w:rPr>
          <w:sz w:val="22"/>
          <w:szCs w:val="22"/>
        </w:rPr>
      </w:pPr>
      <w:r w:rsidRPr="00E6065E">
        <w:rPr>
          <w:b/>
          <w:sz w:val="22"/>
          <w:szCs w:val="22"/>
        </w:rPr>
        <w:t xml:space="preserve">Table 4. </w:t>
      </w:r>
      <w:r w:rsidRPr="001F1F8D">
        <w:rPr>
          <w:sz w:val="22"/>
          <w:szCs w:val="22"/>
        </w:rPr>
        <w:t>Comparing the existence of differences using t - test Focus and Cost leadership strategy</w:t>
      </w:r>
    </w:p>
    <w:tbl>
      <w:tblPr>
        <w:tblStyle w:val="TableGrid"/>
        <w:tblW w:w="0" w:type="auto"/>
        <w:tblLook w:val="04A0"/>
      </w:tblPr>
      <w:tblGrid>
        <w:gridCol w:w="662"/>
        <w:gridCol w:w="1874"/>
        <w:gridCol w:w="1683"/>
        <w:gridCol w:w="1418"/>
        <w:gridCol w:w="969"/>
        <w:gridCol w:w="1157"/>
        <w:gridCol w:w="1099"/>
      </w:tblGrid>
      <w:tr w:rsidR="007A4DC0" w:rsidRPr="007A4DC0" w:rsidTr="007A4DC0">
        <w:trPr>
          <w:trHeight w:val="240"/>
        </w:trPr>
        <w:tc>
          <w:tcPr>
            <w:tcW w:w="2536" w:type="dxa"/>
            <w:gridSpan w:val="2"/>
            <w:vMerge w:val="restart"/>
          </w:tcPr>
          <w:p w:rsidR="007A4DC0" w:rsidRPr="007A4DC0" w:rsidRDefault="007A4DC0" w:rsidP="007A4DC0">
            <w:pPr>
              <w:pStyle w:val="NoSpacing"/>
            </w:pPr>
          </w:p>
          <w:p w:rsidR="007A4DC0" w:rsidRPr="007A4DC0" w:rsidRDefault="007A4DC0" w:rsidP="007A4DC0">
            <w:pPr>
              <w:pStyle w:val="NoSpacing"/>
            </w:pPr>
          </w:p>
          <w:p w:rsidR="007A4DC0" w:rsidRPr="007A4DC0" w:rsidRDefault="007A4DC0" w:rsidP="007A4DC0">
            <w:pPr>
              <w:pStyle w:val="NoSpacing"/>
            </w:pPr>
          </w:p>
        </w:tc>
        <w:tc>
          <w:tcPr>
            <w:tcW w:w="3101" w:type="dxa"/>
            <w:gridSpan w:val="2"/>
            <w:tcBorders>
              <w:bottom w:val="single" w:sz="4" w:space="0" w:color="auto"/>
            </w:tcBorders>
            <w:shd w:val="clear" w:color="auto" w:fill="DAEEF3" w:themeFill="accent5" w:themeFillTint="33"/>
          </w:tcPr>
          <w:p w:rsidR="007A4DC0" w:rsidRPr="007A4DC0" w:rsidRDefault="007A4DC0" w:rsidP="007A4DC0">
            <w:pPr>
              <w:pStyle w:val="NoSpacing"/>
              <w:rPr>
                <w:b/>
              </w:rPr>
            </w:pPr>
            <w:r w:rsidRPr="007A4DC0">
              <w:rPr>
                <w:b/>
              </w:rPr>
              <w:t>Difference compared</w:t>
            </w:r>
          </w:p>
        </w:tc>
        <w:tc>
          <w:tcPr>
            <w:tcW w:w="969" w:type="dxa"/>
            <w:vMerge w:val="restart"/>
            <w:shd w:val="clear" w:color="auto" w:fill="DAEEF3" w:themeFill="accent5" w:themeFillTint="33"/>
          </w:tcPr>
          <w:p w:rsidR="00DA1267" w:rsidRDefault="00DA1267" w:rsidP="007A4DC0">
            <w:pPr>
              <w:pStyle w:val="NoSpacing"/>
              <w:rPr>
                <w:b/>
              </w:rPr>
            </w:pPr>
          </w:p>
          <w:p w:rsidR="007A4DC0" w:rsidRPr="007A4DC0" w:rsidRDefault="007A4DC0" w:rsidP="007A4DC0">
            <w:pPr>
              <w:pStyle w:val="NoSpacing"/>
              <w:rPr>
                <w:b/>
              </w:rPr>
            </w:pPr>
            <w:r w:rsidRPr="007A4DC0">
              <w:rPr>
                <w:b/>
              </w:rPr>
              <w:t>Test</w:t>
            </w:r>
          </w:p>
        </w:tc>
        <w:tc>
          <w:tcPr>
            <w:tcW w:w="1157" w:type="dxa"/>
            <w:vMerge w:val="restart"/>
            <w:shd w:val="clear" w:color="auto" w:fill="DAEEF3" w:themeFill="accent5" w:themeFillTint="33"/>
          </w:tcPr>
          <w:p w:rsidR="00DA1267" w:rsidRDefault="00DA1267" w:rsidP="007A4DC0">
            <w:pPr>
              <w:pStyle w:val="NoSpacing"/>
              <w:rPr>
                <w:b/>
              </w:rPr>
            </w:pPr>
          </w:p>
          <w:p w:rsidR="007A4DC0" w:rsidRPr="007A4DC0" w:rsidRDefault="007A4DC0" w:rsidP="007A4DC0">
            <w:pPr>
              <w:pStyle w:val="NoSpacing"/>
              <w:rPr>
                <w:b/>
              </w:rPr>
            </w:pPr>
            <w:r w:rsidRPr="007A4DC0">
              <w:rPr>
                <w:b/>
              </w:rPr>
              <w:t>difference</w:t>
            </w:r>
          </w:p>
        </w:tc>
        <w:tc>
          <w:tcPr>
            <w:tcW w:w="1099" w:type="dxa"/>
            <w:vMerge w:val="restart"/>
            <w:shd w:val="clear" w:color="auto" w:fill="DAEEF3" w:themeFill="accent5" w:themeFillTint="33"/>
          </w:tcPr>
          <w:p w:rsidR="00DA1267" w:rsidRDefault="00DA1267" w:rsidP="007A4DC0">
            <w:pPr>
              <w:pStyle w:val="NoSpacing"/>
              <w:rPr>
                <w:b/>
              </w:rPr>
            </w:pPr>
          </w:p>
          <w:p w:rsidR="007A4DC0" w:rsidRPr="007A4DC0" w:rsidRDefault="007A4DC0" w:rsidP="007A4DC0">
            <w:pPr>
              <w:pStyle w:val="NoSpacing"/>
              <w:rPr>
                <w:b/>
              </w:rPr>
            </w:pPr>
            <w:r w:rsidRPr="007A4DC0">
              <w:rPr>
                <w:b/>
              </w:rPr>
              <w:t>Sig.</w:t>
            </w:r>
          </w:p>
          <w:p w:rsidR="007A4DC0" w:rsidRPr="007A4DC0" w:rsidRDefault="007A4DC0" w:rsidP="007A4DC0">
            <w:pPr>
              <w:pStyle w:val="NoSpacing"/>
              <w:rPr>
                <w:b/>
              </w:rPr>
            </w:pPr>
            <w:r w:rsidRPr="007A4DC0">
              <w:rPr>
                <w:b/>
              </w:rPr>
              <w:t>(2-way)</w:t>
            </w:r>
          </w:p>
        </w:tc>
      </w:tr>
      <w:tr w:rsidR="007A4DC0" w:rsidRPr="007A4DC0" w:rsidTr="00F94BDC">
        <w:trPr>
          <w:trHeight w:val="525"/>
        </w:trPr>
        <w:tc>
          <w:tcPr>
            <w:tcW w:w="2536" w:type="dxa"/>
            <w:gridSpan w:val="2"/>
            <w:vMerge/>
          </w:tcPr>
          <w:p w:rsidR="007A4DC0" w:rsidRPr="007A4DC0" w:rsidRDefault="007A4DC0" w:rsidP="007A4DC0">
            <w:pPr>
              <w:pStyle w:val="NoSpacing"/>
            </w:pPr>
          </w:p>
        </w:tc>
        <w:tc>
          <w:tcPr>
            <w:tcW w:w="1683" w:type="dxa"/>
            <w:tcBorders>
              <w:top w:val="single" w:sz="4" w:space="0" w:color="auto"/>
            </w:tcBorders>
            <w:shd w:val="clear" w:color="auto" w:fill="FFFFFF" w:themeFill="background1"/>
          </w:tcPr>
          <w:p w:rsidR="007A4DC0" w:rsidRPr="00F94BDC" w:rsidRDefault="007A4DC0" w:rsidP="007A4DC0">
            <w:pPr>
              <w:pStyle w:val="NoSpacing"/>
              <w:rPr>
                <w:b/>
                <w:sz w:val="20"/>
                <w:szCs w:val="20"/>
              </w:rPr>
            </w:pPr>
            <w:r w:rsidRPr="00F94BDC">
              <w:rPr>
                <w:b/>
                <w:sz w:val="20"/>
                <w:szCs w:val="20"/>
              </w:rPr>
              <w:t>Difference of arithmetic mean</w:t>
            </w:r>
          </w:p>
        </w:tc>
        <w:tc>
          <w:tcPr>
            <w:tcW w:w="1418" w:type="dxa"/>
            <w:tcBorders>
              <w:top w:val="single" w:sz="4" w:space="0" w:color="auto"/>
            </w:tcBorders>
            <w:shd w:val="clear" w:color="auto" w:fill="FFFFFF" w:themeFill="background1"/>
          </w:tcPr>
          <w:p w:rsidR="007A4DC0" w:rsidRPr="00F94BDC" w:rsidRDefault="007A4DC0" w:rsidP="007A4DC0">
            <w:pPr>
              <w:pStyle w:val="NoSpacing"/>
              <w:rPr>
                <w:b/>
                <w:sz w:val="20"/>
                <w:szCs w:val="20"/>
              </w:rPr>
            </w:pPr>
            <w:r w:rsidRPr="00F94BDC">
              <w:rPr>
                <w:b/>
                <w:sz w:val="20"/>
                <w:szCs w:val="20"/>
              </w:rPr>
              <w:t>Standard Deviation</w:t>
            </w:r>
          </w:p>
        </w:tc>
        <w:tc>
          <w:tcPr>
            <w:tcW w:w="969" w:type="dxa"/>
            <w:vMerge/>
            <w:shd w:val="clear" w:color="auto" w:fill="DAEEF3" w:themeFill="accent5" w:themeFillTint="33"/>
          </w:tcPr>
          <w:p w:rsidR="007A4DC0" w:rsidRPr="007A4DC0" w:rsidRDefault="007A4DC0" w:rsidP="007A4DC0">
            <w:pPr>
              <w:pStyle w:val="NoSpacing"/>
              <w:rPr>
                <w:b/>
              </w:rPr>
            </w:pPr>
          </w:p>
        </w:tc>
        <w:tc>
          <w:tcPr>
            <w:tcW w:w="1157" w:type="dxa"/>
            <w:vMerge/>
            <w:shd w:val="clear" w:color="auto" w:fill="DAEEF3" w:themeFill="accent5" w:themeFillTint="33"/>
          </w:tcPr>
          <w:p w:rsidR="007A4DC0" w:rsidRPr="007A4DC0" w:rsidRDefault="007A4DC0" w:rsidP="007A4DC0">
            <w:pPr>
              <w:pStyle w:val="NoSpacing"/>
              <w:rPr>
                <w:b/>
              </w:rPr>
            </w:pPr>
          </w:p>
        </w:tc>
        <w:tc>
          <w:tcPr>
            <w:tcW w:w="1099" w:type="dxa"/>
            <w:vMerge/>
            <w:shd w:val="clear" w:color="auto" w:fill="DAEEF3" w:themeFill="accent5" w:themeFillTint="33"/>
          </w:tcPr>
          <w:p w:rsidR="007A4DC0" w:rsidRPr="007A4DC0" w:rsidRDefault="007A4DC0" w:rsidP="007A4DC0">
            <w:pPr>
              <w:pStyle w:val="NoSpacing"/>
              <w:rPr>
                <w:b/>
              </w:rPr>
            </w:pPr>
          </w:p>
        </w:tc>
      </w:tr>
      <w:tr w:rsidR="007A4DC0" w:rsidRPr="007A4DC0" w:rsidTr="00F94BDC">
        <w:tc>
          <w:tcPr>
            <w:tcW w:w="662" w:type="dxa"/>
          </w:tcPr>
          <w:p w:rsidR="007A4DC0" w:rsidRPr="007A4DC0" w:rsidRDefault="007A4DC0" w:rsidP="007A4DC0">
            <w:pPr>
              <w:pStyle w:val="NoSpacing"/>
            </w:pPr>
            <w:r w:rsidRPr="007A4DC0">
              <w:t>Pair 1</w:t>
            </w:r>
          </w:p>
        </w:tc>
        <w:tc>
          <w:tcPr>
            <w:tcW w:w="1874" w:type="dxa"/>
          </w:tcPr>
          <w:p w:rsidR="007A4DC0" w:rsidRPr="007A4DC0" w:rsidRDefault="007A4DC0" w:rsidP="007A4DC0">
            <w:pPr>
              <w:pStyle w:val="NoSpacing"/>
            </w:pPr>
            <w:r w:rsidRPr="007A4DC0">
              <w:t xml:space="preserve">Cost leadership strategy – </w:t>
            </w:r>
          </w:p>
          <w:p w:rsidR="007A4DC0" w:rsidRPr="007A4DC0" w:rsidRDefault="007A4DC0" w:rsidP="007A4DC0">
            <w:pPr>
              <w:pStyle w:val="NoSpacing"/>
            </w:pPr>
            <w:r w:rsidRPr="007A4DC0">
              <w:t>Focus Strategy</w:t>
            </w:r>
          </w:p>
        </w:tc>
        <w:tc>
          <w:tcPr>
            <w:tcW w:w="1683" w:type="dxa"/>
          </w:tcPr>
          <w:p w:rsidR="007A4DC0" w:rsidRPr="007A4DC0" w:rsidRDefault="007A4DC0" w:rsidP="00F94BDC">
            <w:pPr>
              <w:pStyle w:val="NoSpacing"/>
              <w:jc w:val="center"/>
            </w:pPr>
            <w:r w:rsidRPr="007A4DC0">
              <w:t>1.27027</w:t>
            </w:r>
          </w:p>
        </w:tc>
        <w:tc>
          <w:tcPr>
            <w:tcW w:w="1418" w:type="dxa"/>
          </w:tcPr>
          <w:p w:rsidR="007A4DC0" w:rsidRPr="007A4DC0" w:rsidRDefault="007A4DC0" w:rsidP="00F94BDC">
            <w:pPr>
              <w:pStyle w:val="NoSpacing"/>
              <w:jc w:val="center"/>
            </w:pPr>
            <w:r w:rsidRPr="007A4DC0">
              <w:t>1.12172</w:t>
            </w:r>
          </w:p>
        </w:tc>
        <w:tc>
          <w:tcPr>
            <w:tcW w:w="969" w:type="dxa"/>
          </w:tcPr>
          <w:p w:rsidR="007A4DC0" w:rsidRPr="007A4DC0" w:rsidRDefault="007A4DC0" w:rsidP="00F94BDC">
            <w:pPr>
              <w:pStyle w:val="NoSpacing"/>
              <w:jc w:val="center"/>
            </w:pPr>
            <w:r w:rsidRPr="007A4DC0">
              <w:t>6.888</w:t>
            </w:r>
          </w:p>
        </w:tc>
        <w:tc>
          <w:tcPr>
            <w:tcW w:w="1157" w:type="dxa"/>
          </w:tcPr>
          <w:p w:rsidR="007A4DC0" w:rsidRPr="007A4DC0" w:rsidRDefault="007A4DC0" w:rsidP="00F94BDC">
            <w:pPr>
              <w:pStyle w:val="NoSpacing"/>
              <w:jc w:val="center"/>
            </w:pPr>
            <w:r w:rsidRPr="007A4DC0">
              <w:t>36</w:t>
            </w:r>
          </w:p>
        </w:tc>
        <w:tc>
          <w:tcPr>
            <w:tcW w:w="1099" w:type="dxa"/>
          </w:tcPr>
          <w:p w:rsidR="007A4DC0" w:rsidRPr="007A4DC0" w:rsidRDefault="007A4DC0" w:rsidP="00F94BDC">
            <w:pPr>
              <w:pStyle w:val="NoSpacing"/>
              <w:jc w:val="center"/>
            </w:pPr>
            <w:r w:rsidRPr="007A4DC0">
              <w:t>.000</w:t>
            </w:r>
          </w:p>
        </w:tc>
      </w:tr>
    </w:tbl>
    <w:p w:rsidR="00F80803" w:rsidRPr="007A4DC0" w:rsidRDefault="00F80803" w:rsidP="007A4DC0">
      <w:pPr>
        <w:pStyle w:val="NoSpacing"/>
        <w:rPr>
          <w:sz w:val="20"/>
          <w:szCs w:val="20"/>
        </w:rPr>
      </w:pPr>
      <w:r w:rsidRPr="007A4DC0">
        <w:rPr>
          <w:sz w:val="20"/>
          <w:szCs w:val="20"/>
        </w:rPr>
        <w:t xml:space="preserve">Source: Author analysis in statistical program SPSS 20. </w:t>
      </w:r>
    </w:p>
    <w:p w:rsidR="00F80803" w:rsidRDefault="00F80803" w:rsidP="00F94BDC">
      <w:pPr>
        <w:ind w:firstLine="720"/>
        <w:rPr>
          <w:rFonts w:cs="Times New Roman"/>
        </w:rPr>
      </w:pPr>
      <w:r>
        <w:rPr>
          <w:rFonts w:cs="Times New Roman"/>
        </w:rPr>
        <w:lastRenderedPageBreak/>
        <w:t xml:space="preserve">P = 0, 000 &lt; 0, 05, therefore it can be concluded that there is a significant statistic difference between the response of manager and owner regarding the Focus strategy and Cost leadership strategy, i.e. these strategies are not similar for managers and owners of production enterprises engaged in export, and they have a different contribution to creating a positive export policy. </w:t>
      </w:r>
    </w:p>
    <w:p w:rsidR="00DE6297" w:rsidRDefault="00DE6297" w:rsidP="00635F77">
      <w:pPr>
        <w:pStyle w:val="NoSpacing"/>
      </w:pPr>
    </w:p>
    <w:p w:rsidR="00F80803" w:rsidRPr="00DE6297" w:rsidRDefault="00F80803" w:rsidP="00635F77">
      <w:pPr>
        <w:pStyle w:val="NoSpacing"/>
        <w:rPr>
          <w:b/>
          <w:sz w:val="22"/>
          <w:szCs w:val="22"/>
        </w:rPr>
      </w:pPr>
      <w:r w:rsidRPr="00DE6297">
        <w:rPr>
          <w:b/>
          <w:sz w:val="22"/>
          <w:szCs w:val="22"/>
        </w:rPr>
        <w:t xml:space="preserve">Table 5. </w:t>
      </w:r>
      <w:r w:rsidRPr="001F1F8D">
        <w:rPr>
          <w:sz w:val="22"/>
          <w:szCs w:val="22"/>
        </w:rPr>
        <w:t>Rate which of the three possible generic strategies largely increase export capacity of BH enterprises</w:t>
      </w:r>
      <w:r w:rsidRPr="00DE6297">
        <w:rPr>
          <w:b/>
          <w:sz w:val="22"/>
          <w:szCs w:val="22"/>
        </w:rPr>
        <w:t xml:space="preserve"> </w:t>
      </w:r>
    </w:p>
    <w:tbl>
      <w:tblPr>
        <w:tblStyle w:val="TableGrid"/>
        <w:tblW w:w="0" w:type="auto"/>
        <w:tblLook w:val="04A0"/>
      </w:tblPr>
      <w:tblGrid>
        <w:gridCol w:w="1144"/>
        <w:gridCol w:w="1507"/>
        <w:gridCol w:w="2159"/>
        <w:gridCol w:w="2201"/>
        <w:gridCol w:w="1851"/>
      </w:tblGrid>
      <w:tr w:rsidR="00F80803" w:rsidRPr="000644F2" w:rsidTr="00DE6297">
        <w:trPr>
          <w:trHeight w:val="639"/>
        </w:trPr>
        <w:tc>
          <w:tcPr>
            <w:tcW w:w="2651" w:type="dxa"/>
            <w:gridSpan w:val="2"/>
          </w:tcPr>
          <w:p w:rsidR="00F80803" w:rsidRPr="00635F77" w:rsidRDefault="00F80803" w:rsidP="00635F77">
            <w:pPr>
              <w:pStyle w:val="NoSpacing"/>
            </w:pPr>
          </w:p>
          <w:p w:rsidR="00F80803" w:rsidRPr="00635F77" w:rsidRDefault="00F80803" w:rsidP="00635F77">
            <w:pPr>
              <w:pStyle w:val="NoSpacing"/>
            </w:pPr>
          </w:p>
        </w:tc>
        <w:tc>
          <w:tcPr>
            <w:tcW w:w="2159" w:type="dxa"/>
            <w:shd w:val="clear" w:color="auto" w:fill="DAEEF3" w:themeFill="accent5" w:themeFillTint="33"/>
          </w:tcPr>
          <w:p w:rsidR="00F80803" w:rsidRPr="00635F77" w:rsidRDefault="00F80803" w:rsidP="00635F77">
            <w:pPr>
              <w:pStyle w:val="NoSpacing"/>
              <w:jc w:val="center"/>
              <w:rPr>
                <w:b/>
              </w:rPr>
            </w:pPr>
            <w:r w:rsidRPr="00635F77">
              <w:rPr>
                <w:b/>
              </w:rPr>
              <w:t>Cost leadership strategy</w:t>
            </w:r>
          </w:p>
        </w:tc>
        <w:tc>
          <w:tcPr>
            <w:tcW w:w="2201" w:type="dxa"/>
            <w:shd w:val="clear" w:color="auto" w:fill="DAEEF3" w:themeFill="accent5" w:themeFillTint="33"/>
          </w:tcPr>
          <w:p w:rsidR="00F80803" w:rsidRPr="00635F77" w:rsidRDefault="00F80803" w:rsidP="00635F77">
            <w:pPr>
              <w:pStyle w:val="NoSpacing"/>
              <w:jc w:val="center"/>
              <w:rPr>
                <w:b/>
              </w:rPr>
            </w:pPr>
            <w:r w:rsidRPr="00635F77">
              <w:rPr>
                <w:b/>
              </w:rPr>
              <w:t>Differentiation strategy</w:t>
            </w:r>
          </w:p>
        </w:tc>
        <w:tc>
          <w:tcPr>
            <w:tcW w:w="1851" w:type="dxa"/>
            <w:shd w:val="clear" w:color="auto" w:fill="DAEEF3" w:themeFill="accent5" w:themeFillTint="33"/>
          </w:tcPr>
          <w:p w:rsidR="00F80803" w:rsidRPr="00635F77" w:rsidRDefault="00F80803" w:rsidP="00635F77">
            <w:pPr>
              <w:pStyle w:val="NoSpacing"/>
              <w:jc w:val="center"/>
              <w:rPr>
                <w:b/>
              </w:rPr>
            </w:pPr>
            <w:r w:rsidRPr="00635F77">
              <w:rPr>
                <w:b/>
              </w:rPr>
              <w:t>Focus strategy</w:t>
            </w:r>
          </w:p>
        </w:tc>
      </w:tr>
      <w:tr w:rsidR="00F80803" w:rsidRPr="000644F2" w:rsidTr="00DE6297">
        <w:tc>
          <w:tcPr>
            <w:tcW w:w="1144" w:type="dxa"/>
            <w:vMerge w:val="restart"/>
            <w:tcBorders>
              <w:right w:val="single" w:sz="4" w:space="0" w:color="auto"/>
            </w:tcBorders>
          </w:tcPr>
          <w:p w:rsidR="00F80803" w:rsidRPr="00635F77" w:rsidRDefault="00F80803" w:rsidP="00635F77">
            <w:pPr>
              <w:pStyle w:val="NoSpacing"/>
            </w:pPr>
            <w:r w:rsidRPr="00635F77">
              <w:t>N</w:t>
            </w:r>
          </w:p>
        </w:tc>
        <w:tc>
          <w:tcPr>
            <w:tcW w:w="1507" w:type="dxa"/>
            <w:tcBorders>
              <w:left w:val="single" w:sz="4" w:space="0" w:color="auto"/>
            </w:tcBorders>
          </w:tcPr>
          <w:p w:rsidR="00F80803" w:rsidRPr="00635F77" w:rsidRDefault="00F80803" w:rsidP="00635F77">
            <w:pPr>
              <w:pStyle w:val="NoSpacing"/>
            </w:pPr>
            <w:r w:rsidRPr="00635F77">
              <w:t>Valid</w:t>
            </w:r>
          </w:p>
        </w:tc>
        <w:tc>
          <w:tcPr>
            <w:tcW w:w="2159" w:type="dxa"/>
          </w:tcPr>
          <w:p w:rsidR="00F80803" w:rsidRPr="00635F77" w:rsidRDefault="00F80803" w:rsidP="00635F77">
            <w:pPr>
              <w:pStyle w:val="NoSpacing"/>
              <w:jc w:val="right"/>
            </w:pPr>
            <w:r w:rsidRPr="00635F77">
              <w:t>37</w:t>
            </w:r>
          </w:p>
        </w:tc>
        <w:tc>
          <w:tcPr>
            <w:tcW w:w="2201" w:type="dxa"/>
          </w:tcPr>
          <w:p w:rsidR="00F80803" w:rsidRPr="00635F77" w:rsidRDefault="00F80803" w:rsidP="00635F77">
            <w:pPr>
              <w:pStyle w:val="NoSpacing"/>
              <w:jc w:val="right"/>
            </w:pPr>
            <w:r w:rsidRPr="00635F77">
              <w:t>37</w:t>
            </w:r>
          </w:p>
        </w:tc>
        <w:tc>
          <w:tcPr>
            <w:tcW w:w="1851" w:type="dxa"/>
          </w:tcPr>
          <w:p w:rsidR="00F80803" w:rsidRPr="00635F77" w:rsidRDefault="00F80803" w:rsidP="00635F77">
            <w:pPr>
              <w:pStyle w:val="NoSpacing"/>
              <w:jc w:val="right"/>
            </w:pPr>
            <w:r w:rsidRPr="00635F77">
              <w:t>37</w:t>
            </w:r>
          </w:p>
        </w:tc>
      </w:tr>
      <w:tr w:rsidR="00F80803" w:rsidRPr="000644F2" w:rsidTr="00DE6297">
        <w:tc>
          <w:tcPr>
            <w:tcW w:w="1144" w:type="dxa"/>
            <w:vMerge/>
            <w:tcBorders>
              <w:right w:val="single" w:sz="4" w:space="0" w:color="auto"/>
            </w:tcBorders>
          </w:tcPr>
          <w:p w:rsidR="00F80803" w:rsidRPr="00635F77" w:rsidRDefault="00F80803" w:rsidP="00635F77">
            <w:pPr>
              <w:pStyle w:val="NoSpacing"/>
            </w:pPr>
          </w:p>
        </w:tc>
        <w:tc>
          <w:tcPr>
            <w:tcW w:w="1507" w:type="dxa"/>
            <w:tcBorders>
              <w:left w:val="single" w:sz="4" w:space="0" w:color="auto"/>
            </w:tcBorders>
          </w:tcPr>
          <w:p w:rsidR="00F80803" w:rsidRPr="00635F77" w:rsidRDefault="00F80803" w:rsidP="00635F77">
            <w:pPr>
              <w:pStyle w:val="NoSpacing"/>
            </w:pPr>
            <w:r w:rsidRPr="00635F77">
              <w:t>Missing</w:t>
            </w:r>
          </w:p>
        </w:tc>
        <w:tc>
          <w:tcPr>
            <w:tcW w:w="2159" w:type="dxa"/>
          </w:tcPr>
          <w:p w:rsidR="00F80803" w:rsidRPr="00635F77" w:rsidRDefault="00F80803" w:rsidP="00635F77">
            <w:pPr>
              <w:pStyle w:val="NoSpacing"/>
              <w:jc w:val="right"/>
            </w:pPr>
            <w:r w:rsidRPr="00635F77">
              <w:t>0</w:t>
            </w:r>
          </w:p>
        </w:tc>
        <w:tc>
          <w:tcPr>
            <w:tcW w:w="2201" w:type="dxa"/>
          </w:tcPr>
          <w:p w:rsidR="00F80803" w:rsidRPr="00635F77" w:rsidRDefault="00F80803" w:rsidP="00635F77">
            <w:pPr>
              <w:pStyle w:val="NoSpacing"/>
              <w:jc w:val="right"/>
            </w:pPr>
            <w:r w:rsidRPr="00635F77">
              <w:t>0</w:t>
            </w:r>
          </w:p>
        </w:tc>
        <w:tc>
          <w:tcPr>
            <w:tcW w:w="1851" w:type="dxa"/>
          </w:tcPr>
          <w:p w:rsidR="00F80803" w:rsidRPr="00635F77" w:rsidRDefault="00F80803" w:rsidP="00635F77">
            <w:pPr>
              <w:pStyle w:val="NoSpacing"/>
              <w:jc w:val="right"/>
            </w:pPr>
            <w:r w:rsidRPr="00635F77">
              <w:t>0</w:t>
            </w:r>
          </w:p>
        </w:tc>
      </w:tr>
      <w:tr w:rsidR="00F80803" w:rsidRPr="000644F2" w:rsidTr="00DE6297">
        <w:tc>
          <w:tcPr>
            <w:tcW w:w="2651" w:type="dxa"/>
            <w:gridSpan w:val="2"/>
            <w:shd w:val="clear" w:color="auto" w:fill="DAEEF3" w:themeFill="accent5" w:themeFillTint="33"/>
          </w:tcPr>
          <w:p w:rsidR="00F80803" w:rsidRPr="00635F77" w:rsidRDefault="00F80803" w:rsidP="00635F77">
            <w:pPr>
              <w:pStyle w:val="NoSpacing"/>
              <w:rPr>
                <w:b/>
              </w:rPr>
            </w:pPr>
            <w:r w:rsidRPr="00635F77">
              <w:rPr>
                <w:b/>
              </w:rPr>
              <w:t>Arithmetic mean</w:t>
            </w:r>
          </w:p>
        </w:tc>
        <w:tc>
          <w:tcPr>
            <w:tcW w:w="2159" w:type="dxa"/>
          </w:tcPr>
          <w:p w:rsidR="00F80803" w:rsidRPr="00635F77" w:rsidRDefault="00F80803" w:rsidP="00635F77">
            <w:pPr>
              <w:pStyle w:val="NoSpacing"/>
              <w:jc w:val="right"/>
            </w:pPr>
            <w:r w:rsidRPr="00635F77">
              <w:t>4.5135</w:t>
            </w:r>
          </w:p>
        </w:tc>
        <w:tc>
          <w:tcPr>
            <w:tcW w:w="2201" w:type="dxa"/>
          </w:tcPr>
          <w:p w:rsidR="00F80803" w:rsidRPr="00635F77" w:rsidRDefault="00F80803" w:rsidP="00635F77">
            <w:pPr>
              <w:pStyle w:val="NoSpacing"/>
              <w:jc w:val="right"/>
            </w:pPr>
            <w:r w:rsidRPr="00635F77">
              <w:t>3.1081</w:t>
            </w:r>
          </w:p>
        </w:tc>
        <w:tc>
          <w:tcPr>
            <w:tcW w:w="1851" w:type="dxa"/>
          </w:tcPr>
          <w:p w:rsidR="00F80803" w:rsidRPr="00635F77" w:rsidRDefault="00F80803" w:rsidP="00635F77">
            <w:pPr>
              <w:pStyle w:val="NoSpacing"/>
              <w:jc w:val="right"/>
            </w:pPr>
            <w:r w:rsidRPr="00635F77">
              <w:t>3.7838</w:t>
            </w:r>
          </w:p>
        </w:tc>
      </w:tr>
      <w:tr w:rsidR="00F80803" w:rsidRPr="000644F2" w:rsidTr="00DE6297">
        <w:tc>
          <w:tcPr>
            <w:tcW w:w="2651" w:type="dxa"/>
            <w:gridSpan w:val="2"/>
            <w:shd w:val="clear" w:color="auto" w:fill="DAEEF3" w:themeFill="accent5" w:themeFillTint="33"/>
          </w:tcPr>
          <w:p w:rsidR="00F80803" w:rsidRPr="00635F77" w:rsidRDefault="00F80803" w:rsidP="00635F77">
            <w:pPr>
              <w:pStyle w:val="NoSpacing"/>
              <w:rPr>
                <w:b/>
              </w:rPr>
            </w:pPr>
            <w:r w:rsidRPr="00635F77">
              <w:rPr>
                <w:b/>
              </w:rPr>
              <w:t>Median</w:t>
            </w:r>
          </w:p>
        </w:tc>
        <w:tc>
          <w:tcPr>
            <w:tcW w:w="2159" w:type="dxa"/>
          </w:tcPr>
          <w:p w:rsidR="00F80803" w:rsidRPr="00635F77" w:rsidRDefault="00F80803" w:rsidP="00635F77">
            <w:pPr>
              <w:pStyle w:val="NoSpacing"/>
              <w:jc w:val="right"/>
            </w:pPr>
            <w:r w:rsidRPr="00635F77">
              <w:t>5.0000</w:t>
            </w:r>
          </w:p>
        </w:tc>
        <w:tc>
          <w:tcPr>
            <w:tcW w:w="2201" w:type="dxa"/>
          </w:tcPr>
          <w:p w:rsidR="00F80803" w:rsidRPr="00635F77" w:rsidRDefault="00F80803" w:rsidP="00635F77">
            <w:pPr>
              <w:pStyle w:val="NoSpacing"/>
              <w:jc w:val="right"/>
            </w:pPr>
            <w:r w:rsidRPr="00635F77">
              <w:t>3.0000</w:t>
            </w:r>
          </w:p>
        </w:tc>
        <w:tc>
          <w:tcPr>
            <w:tcW w:w="1851" w:type="dxa"/>
          </w:tcPr>
          <w:p w:rsidR="00F80803" w:rsidRPr="00635F77" w:rsidRDefault="00F80803" w:rsidP="00635F77">
            <w:pPr>
              <w:pStyle w:val="NoSpacing"/>
              <w:jc w:val="right"/>
            </w:pPr>
            <w:r w:rsidRPr="00635F77">
              <w:t>4.000</w:t>
            </w:r>
          </w:p>
        </w:tc>
      </w:tr>
      <w:tr w:rsidR="00F80803" w:rsidRPr="000644F2" w:rsidTr="00DE6297">
        <w:tc>
          <w:tcPr>
            <w:tcW w:w="2651" w:type="dxa"/>
            <w:gridSpan w:val="2"/>
            <w:shd w:val="clear" w:color="auto" w:fill="DAEEF3" w:themeFill="accent5" w:themeFillTint="33"/>
          </w:tcPr>
          <w:p w:rsidR="00F80803" w:rsidRPr="00635F77" w:rsidRDefault="00F80803" w:rsidP="00635F77">
            <w:pPr>
              <w:pStyle w:val="NoSpacing"/>
              <w:rPr>
                <w:b/>
              </w:rPr>
            </w:pPr>
            <w:r w:rsidRPr="00635F77">
              <w:rPr>
                <w:b/>
              </w:rPr>
              <w:t>Mode</w:t>
            </w:r>
          </w:p>
        </w:tc>
        <w:tc>
          <w:tcPr>
            <w:tcW w:w="2159" w:type="dxa"/>
          </w:tcPr>
          <w:p w:rsidR="00F80803" w:rsidRPr="00635F77" w:rsidRDefault="00F80803" w:rsidP="00635F77">
            <w:pPr>
              <w:pStyle w:val="NoSpacing"/>
              <w:jc w:val="right"/>
            </w:pPr>
            <w:r w:rsidRPr="00635F77">
              <w:t>5.00</w:t>
            </w:r>
          </w:p>
        </w:tc>
        <w:tc>
          <w:tcPr>
            <w:tcW w:w="2201" w:type="dxa"/>
          </w:tcPr>
          <w:p w:rsidR="00F80803" w:rsidRPr="00635F77" w:rsidRDefault="00F80803" w:rsidP="00635F77">
            <w:pPr>
              <w:pStyle w:val="NoSpacing"/>
              <w:jc w:val="right"/>
            </w:pPr>
            <w:r w:rsidRPr="00635F77">
              <w:t>4.00</w:t>
            </w:r>
          </w:p>
        </w:tc>
        <w:tc>
          <w:tcPr>
            <w:tcW w:w="1851" w:type="dxa"/>
          </w:tcPr>
          <w:p w:rsidR="00F80803" w:rsidRPr="00635F77" w:rsidRDefault="00F80803" w:rsidP="00635F77">
            <w:pPr>
              <w:pStyle w:val="NoSpacing"/>
              <w:jc w:val="right"/>
            </w:pPr>
            <w:r w:rsidRPr="00635F77">
              <w:t>4.00</w:t>
            </w:r>
          </w:p>
        </w:tc>
      </w:tr>
      <w:tr w:rsidR="00F80803" w:rsidRPr="000644F2" w:rsidTr="00DE6297">
        <w:tc>
          <w:tcPr>
            <w:tcW w:w="2651" w:type="dxa"/>
            <w:gridSpan w:val="2"/>
            <w:shd w:val="clear" w:color="auto" w:fill="DAEEF3" w:themeFill="accent5" w:themeFillTint="33"/>
          </w:tcPr>
          <w:p w:rsidR="00F80803" w:rsidRPr="00635F77" w:rsidRDefault="00F80803" w:rsidP="00635F77">
            <w:pPr>
              <w:pStyle w:val="NoSpacing"/>
              <w:rPr>
                <w:b/>
              </w:rPr>
            </w:pPr>
            <w:r w:rsidRPr="00635F77">
              <w:rPr>
                <w:b/>
              </w:rPr>
              <w:t xml:space="preserve">Standard deviations </w:t>
            </w:r>
          </w:p>
        </w:tc>
        <w:tc>
          <w:tcPr>
            <w:tcW w:w="2159" w:type="dxa"/>
          </w:tcPr>
          <w:p w:rsidR="00F80803" w:rsidRPr="00635F77" w:rsidRDefault="00F80803" w:rsidP="00635F77">
            <w:pPr>
              <w:pStyle w:val="NoSpacing"/>
              <w:jc w:val="right"/>
            </w:pPr>
            <w:r w:rsidRPr="00635F77">
              <w:t>.73112</w:t>
            </w:r>
          </w:p>
        </w:tc>
        <w:tc>
          <w:tcPr>
            <w:tcW w:w="2201" w:type="dxa"/>
          </w:tcPr>
          <w:p w:rsidR="00F80803" w:rsidRPr="00635F77" w:rsidRDefault="00F80803" w:rsidP="00635F77">
            <w:pPr>
              <w:pStyle w:val="NoSpacing"/>
              <w:jc w:val="right"/>
            </w:pPr>
            <w:r w:rsidRPr="00635F77">
              <w:t>1.17340</w:t>
            </w:r>
          </w:p>
        </w:tc>
        <w:tc>
          <w:tcPr>
            <w:tcW w:w="1851" w:type="dxa"/>
          </w:tcPr>
          <w:p w:rsidR="00F80803" w:rsidRPr="00635F77" w:rsidRDefault="00F80803" w:rsidP="00635F77">
            <w:pPr>
              <w:pStyle w:val="NoSpacing"/>
              <w:jc w:val="right"/>
            </w:pPr>
            <w:r w:rsidRPr="00635F77">
              <w:t>.94678</w:t>
            </w:r>
          </w:p>
        </w:tc>
      </w:tr>
      <w:tr w:rsidR="00F80803" w:rsidRPr="000644F2" w:rsidTr="00DE6297">
        <w:tc>
          <w:tcPr>
            <w:tcW w:w="2651" w:type="dxa"/>
            <w:gridSpan w:val="2"/>
            <w:shd w:val="clear" w:color="auto" w:fill="DAEEF3" w:themeFill="accent5" w:themeFillTint="33"/>
          </w:tcPr>
          <w:p w:rsidR="00F80803" w:rsidRPr="00635F77" w:rsidRDefault="00F80803" w:rsidP="00635F77">
            <w:pPr>
              <w:pStyle w:val="NoSpacing"/>
              <w:rPr>
                <w:b/>
              </w:rPr>
            </w:pPr>
            <w:r w:rsidRPr="00635F77">
              <w:rPr>
                <w:b/>
              </w:rPr>
              <w:t>Minimum</w:t>
            </w:r>
          </w:p>
        </w:tc>
        <w:tc>
          <w:tcPr>
            <w:tcW w:w="2159" w:type="dxa"/>
          </w:tcPr>
          <w:p w:rsidR="00F80803" w:rsidRPr="00635F77" w:rsidRDefault="00F80803" w:rsidP="00635F77">
            <w:pPr>
              <w:pStyle w:val="NoSpacing"/>
              <w:jc w:val="right"/>
            </w:pPr>
            <w:r w:rsidRPr="00635F77">
              <w:t>3.00</w:t>
            </w:r>
          </w:p>
        </w:tc>
        <w:tc>
          <w:tcPr>
            <w:tcW w:w="2201" w:type="dxa"/>
          </w:tcPr>
          <w:p w:rsidR="00F80803" w:rsidRPr="00635F77" w:rsidRDefault="00F80803" w:rsidP="00635F77">
            <w:pPr>
              <w:pStyle w:val="NoSpacing"/>
              <w:jc w:val="right"/>
            </w:pPr>
            <w:r w:rsidRPr="00635F77">
              <w:t>4.00</w:t>
            </w:r>
          </w:p>
        </w:tc>
        <w:tc>
          <w:tcPr>
            <w:tcW w:w="1851" w:type="dxa"/>
          </w:tcPr>
          <w:p w:rsidR="00F80803" w:rsidRPr="00635F77" w:rsidRDefault="00F80803" w:rsidP="00635F77">
            <w:pPr>
              <w:pStyle w:val="NoSpacing"/>
              <w:jc w:val="right"/>
            </w:pPr>
            <w:r w:rsidRPr="00635F77">
              <w:t>3.00</w:t>
            </w:r>
          </w:p>
        </w:tc>
      </w:tr>
      <w:tr w:rsidR="00F80803" w:rsidRPr="000644F2" w:rsidTr="00DE6297">
        <w:tc>
          <w:tcPr>
            <w:tcW w:w="2651" w:type="dxa"/>
            <w:gridSpan w:val="2"/>
            <w:shd w:val="clear" w:color="auto" w:fill="DAEEF3" w:themeFill="accent5" w:themeFillTint="33"/>
          </w:tcPr>
          <w:p w:rsidR="00F80803" w:rsidRPr="00635F77" w:rsidRDefault="00F80803" w:rsidP="00635F77">
            <w:pPr>
              <w:pStyle w:val="NoSpacing"/>
              <w:rPr>
                <w:b/>
              </w:rPr>
            </w:pPr>
            <w:r w:rsidRPr="00635F77">
              <w:rPr>
                <w:b/>
              </w:rPr>
              <w:t>Maximum</w:t>
            </w:r>
          </w:p>
        </w:tc>
        <w:tc>
          <w:tcPr>
            <w:tcW w:w="2159" w:type="dxa"/>
          </w:tcPr>
          <w:p w:rsidR="00F80803" w:rsidRPr="00635F77" w:rsidRDefault="00F80803" w:rsidP="00635F77">
            <w:pPr>
              <w:pStyle w:val="NoSpacing"/>
              <w:jc w:val="right"/>
            </w:pPr>
            <w:r w:rsidRPr="00635F77">
              <w:t>2.00</w:t>
            </w:r>
          </w:p>
        </w:tc>
        <w:tc>
          <w:tcPr>
            <w:tcW w:w="2201" w:type="dxa"/>
          </w:tcPr>
          <w:p w:rsidR="00F80803" w:rsidRPr="00635F77" w:rsidRDefault="00F80803" w:rsidP="00635F77">
            <w:pPr>
              <w:pStyle w:val="NoSpacing"/>
              <w:jc w:val="right"/>
            </w:pPr>
            <w:r w:rsidRPr="00635F77">
              <w:t>1.00</w:t>
            </w:r>
          </w:p>
        </w:tc>
        <w:tc>
          <w:tcPr>
            <w:tcW w:w="1851" w:type="dxa"/>
          </w:tcPr>
          <w:p w:rsidR="00F80803" w:rsidRPr="00635F77" w:rsidRDefault="00F80803" w:rsidP="00635F77">
            <w:pPr>
              <w:pStyle w:val="NoSpacing"/>
              <w:jc w:val="right"/>
            </w:pPr>
            <w:r w:rsidRPr="00635F77">
              <w:t>2.00</w:t>
            </w:r>
          </w:p>
        </w:tc>
      </w:tr>
      <w:tr w:rsidR="00F80803" w:rsidRPr="000644F2" w:rsidTr="00DE6297">
        <w:trPr>
          <w:trHeight w:val="56"/>
        </w:trPr>
        <w:tc>
          <w:tcPr>
            <w:tcW w:w="2651" w:type="dxa"/>
            <w:gridSpan w:val="2"/>
            <w:shd w:val="clear" w:color="auto" w:fill="DAEEF3" w:themeFill="accent5" w:themeFillTint="33"/>
          </w:tcPr>
          <w:p w:rsidR="00F80803" w:rsidRPr="00635F77" w:rsidRDefault="00F80803" w:rsidP="00635F77">
            <w:pPr>
              <w:pStyle w:val="NoSpacing"/>
              <w:rPr>
                <w:b/>
              </w:rPr>
            </w:pPr>
            <w:r w:rsidRPr="00635F77">
              <w:rPr>
                <w:b/>
              </w:rPr>
              <w:t>Coefficient of variation</w:t>
            </w:r>
          </w:p>
        </w:tc>
        <w:tc>
          <w:tcPr>
            <w:tcW w:w="2159" w:type="dxa"/>
          </w:tcPr>
          <w:p w:rsidR="00F80803" w:rsidRPr="00635F77" w:rsidRDefault="00F80803" w:rsidP="00635F77">
            <w:pPr>
              <w:pStyle w:val="NoSpacing"/>
              <w:jc w:val="right"/>
            </w:pPr>
            <w:r w:rsidRPr="00635F77">
              <w:t>5.00</w:t>
            </w:r>
          </w:p>
        </w:tc>
        <w:tc>
          <w:tcPr>
            <w:tcW w:w="2201" w:type="dxa"/>
          </w:tcPr>
          <w:p w:rsidR="00F80803" w:rsidRPr="00635F77" w:rsidRDefault="00F80803" w:rsidP="00635F77">
            <w:pPr>
              <w:pStyle w:val="NoSpacing"/>
              <w:jc w:val="right"/>
            </w:pPr>
            <w:r w:rsidRPr="00635F77">
              <w:t>5.00</w:t>
            </w:r>
          </w:p>
        </w:tc>
        <w:tc>
          <w:tcPr>
            <w:tcW w:w="1851" w:type="dxa"/>
          </w:tcPr>
          <w:p w:rsidR="00F80803" w:rsidRPr="00635F77" w:rsidRDefault="00F80803" w:rsidP="00635F77">
            <w:pPr>
              <w:pStyle w:val="NoSpacing"/>
              <w:jc w:val="right"/>
            </w:pPr>
            <w:r w:rsidRPr="00635F77">
              <w:t>5.00</w:t>
            </w:r>
          </w:p>
        </w:tc>
      </w:tr>
      <w:tr w:rsidR="00F80803" w:rsidRPr="000644F2" w:rsidTr="00DE6297">
        <w:tc>
          <w:tcPr>
            <w:tcW w:w="2651" w:type="dxa"/>
            <w:gridSpan w:val="2"/>
            <w:shd w:val="clear" w:color="auto" w:fill="DAEEF3" w:themeFill="accent5" w:themeFillTint="33"/>
          </w:tcPr>
          <w:p w:rsidR="00F80803" w:rsidRPr="00635F77" w:rsidRDefault="00F80803" w:rsidP="00635F77">
            <w:pPr>
              <w:pStyle w:val="NoSpacing"/>
              <w:rPr>
                <w:b/>
              </w:rPr>
            </w:pPr>
            <w:r w:rsidRPr="00635F77">
              <w:rPr>
                <w:b/>
              </w:rPr>
              <w:t>Arithmetic mean</w:t>
            </w:r>
          </w:p>
        </w:tc>
        <w:tc>
          <w:tcPr>
            <w:tcW w:w="2159" w:type="dxa"/>
          </w:tcPr>
          <w:p w:rsidR="00F80803" w:rsidRPr="00635F77" w:rsidRDefault="00F80803" w:rsidP="00635F77">
            <w:pPr>
              <w:pStyle w:val="NoSpacing"/>
              <w:jc w:val="right"/>
            </w:pPr>
            <w:r w:rsidRPr="00635F77">
              <w:t>0, 16</w:t>
            </w:r>
          </w:p>
        </w:tc>
        <w:tc>
          <w:tcPr>
            <w:tcW w:w="2201" w:type="dxa"/>
          </w:tcPr>
          <w:p w:rsidR="00F80803" w:rsidRPr="00635F77" w:rsidRDefault="00F80803" w:rsidP="00635F77">
            <w:pPr>
              <w:pStyle w:val="NoSpacing"/>
              <w:jc w:val="right"/>
            </w:pPr>
            <w:r w:rsidRPr="00635F77">
              <w:t>0, 35</w:t>
            </w:r>
          </w:p>
        </w:tc>
        <w:tc>
          <w:tcPr>
            <w:tcW w:w="1851" w:type="dxa"/>
          </w:tcPr>
          <w:p w:rsidR="00F80803" w:rsidRPr="00635F77" w:rsidRDefault="00F80803" w:rsidP="00635F77">
            <w:pPr>
              <w:pStyle w:val="NoSpacing"/>
              <w:jc w:val="right"/>
            </w:pPr>
            <w:r w:rsidRPr="00635F77">
              <w:t>0,24</w:t>
            </w:r>
          </w:p>
        </w:tc>
      </w:tr>
    </w:tbl>
    <w:p w:rsidR="00F80803" w:rsidRDefault="00F80803" w:rsidP="00635F77">
      <w:pPr>
        <w:pStyle w:val="NoSpacing"/>
        <w:rPr>
          <w:sz w:val="20"/>
        </w:rPr>
      </w:pPr>
      <w:r>
        <w:rPr>
          <w:sz w:val="20"/>
        </w:rPr>
        <w:t xml:space="preserve">Source: Author analysis in statistical program SPSS 20. </w:t>
      </w:r>
    </w:p>
    <w:p w:rsidR="00F80803" w:rsidRDefault="00F80803" w:rsidP="00635F77">
      <w:pPr>
        <w:pStyle w:val="NoSpacing"/>
        <w:rPr>
          <w:sz w:val="20"/>
        </w:rPr>
      </w:pPr>
    </w:p>
    <w:p w:rsidR="00E6065E" w:rsidRDefault="00F80803" w:rsidP="00DE6297">
      <w:pPr>
        <w:pStyle w:val="NoSpacing"/>
        <w:ind w:firstLine="720"/>
      </w:pPr>
      <w:r>
        <w:t>Analysing data collected has shown that</w:t>
      </w:r>
      <w:r w:rsidRPr="00B62B7A">
        <w:t xml:space="preserve"> mana</w:t>
      </w:r>
      <w:r>
        <w:t>gers and owners of production enterprises engaged in exporting strongly agree that the Cost leadership strategy is largely increasing export capacity of BH enterprises. The average survey response rate is high 4,5135, and</w:t>
      </w:r>
      <w:r w:rsidRPr="008D4604">
        <w:t xml:space="preserve"> </w:t>
      </w:r>
      <w:r>
        <w:t xml:space="preserve">the most common response is 5- strongly agree. </w:t>
      </w:r>
    </w:p>
    <w:p w:rsidR="00F80803" w:rsidRDefault="00F80803" w:rsidP="00DE6297">
      <w:pPr>
        <w:pStyle w:val="NoSpacing"/>
        <w:ind w:firstLine="720"/>
        <w:rPr>
          <w:rFonts w:cs="Times New Roman"/>
        </w:rPr>
      </w:pPr>
      <w:r>
        <w:t>Standard deviation shows a minor deviation from arithmetic mean, and t</w:t>
      </w:r>
      <w:r w:rsidRPr="00861F6E">
        <w:t>he coefficient of variation</w:t>
      </w:r>
      <w:r>
        <w:t xml:space="preserve"> proofs that this is a</w:t>
      </w:r>
      <w:r w:rsidRPr="00861F6E">
        <w:t xml:space="preserve"> homogeneous group response.</w:t>
      </w:r>
      <w:r w:rsidR="00635F77">
        <w:tab/>
      </w:r>
      <w:r w:rsidR="00635F77">
        <w:tab/>
      </w:r>
      <w:r w:rsidR="00635F77">
        <w:tab/>
      </w:r>
      <w:r w:rsidR="00635F77">
        <w:tab/>
      </w:r>
      <w:r>
        <w:rPr>
          <w:rFonts w:cs="Times New Roman"/>
        </w:rPr>
        <w:t>Participants agree to a small extent that Differentiation strategy is increasing export capacity of enterprises. The average survey response rate is 3, 108, and</w:t>
      </w:r>
      <w:r w:rsidRPr="008D4604">
        <w:rPr>
          <w:rFonts w:cs="Times New Roman"/>
        </w:rPr>
        <w:t xml:space="preserve"> </w:t>
      </w:r>
      <w:r>
        <w:rPr>
          <w:rFonts w:cs="Times New Roman"/>
        </w:rPr>
        <w:t>the most common response is 4 – I agree. Standard deviation is 1, 173</w:t>
      </w:r>
      <w:r w:rsidRPr="003E534D">
        <w:rPr>
          <w:rFonts w:cs="Times New Roman"/>
        </w:rPr>
        <w:t xml:space="preserve"> </w:t>
      </w:r>
      <w:r>
        <w:rPr>
          <w:rFonts w:cs="Times New Roman"/>
        </w:rPr>
        <w:t xml:space="preserve">which represent an acceptable deviation from arithmetic mean. Coefficient of variation shows that this is a </w:t>
      </w:r>
      <w:r w:rsidRPr="00861F6E">
        <w:rPr>
          <w:rFonts w:cs="Times New Roman"/>
        </w:rPr>
        <w:t>homogeneous group response.</w:t>
      </w:r>
      <w:r w:rsidR="00635F77">
        <w:rPr>
          <w:rFonts w:cs="Times New Roman"/>
        </w:rPr>
        <w:tab/>
      </w:r>
      <w:r w:rsidR="00635F77">
        <w:rPr>
          <w:rFonts w:cs="Times New Roman"/>
        </w:rPr>
        <w:tab/>
      </w:r>
      <w:r w:rsidR="00635F77">
        <w:rPr>
          <w:rFonts w:cs="Times New Roman"/>
        </w:rPr>
        <w:tab/>
      </w:r>
      <w:r w:rsidR="00635F77">
        <w:rPr>
          <w:rFonts w:cs="Times New Roman"/>
        </w:rPr>
        <w:tab/>
      </w:r>
      <w:r w:rsidR="00635F77">
        <w:rPr>
          <w:rFonts w:cs="Times New Roman"/>
        </w:rPr>
        <w:tab/>
      </w:r>
      <w:r w:rsidR="00635F77">
        <w:rPr>
          <w:rFonts w:cs="Times New Roman"/>
        </w:rPr>
        <w:tab/>
      </w:r>
      <w:r w:rsidR="00635F77">
        <w:rPr>
          <w:rFonts w:cs="Times New Roman"/>
        </w:rPr>
        <w:tab/>
      </w:r>
      <w:r w:rsidR="00635F77">
        <w:rPr>
          <w:rFonts w:cs="Times New Roman"/>
        </w:rPr>
        <w:tab/>
      </w:r>
      <w:r>
        <w:rPr>
          <w:rFonts w:cs="Times New Roman"/>
        </w:rPr>
        <w:t xml:space="preserve">Participants agree that Focus strategy is largely increasing export capacity of BH enterprises. The average survey response rate is 3, 7838, which is less than cost leadership but more than Differentiation strategy. The most common response is 4 – I agree with the statement which largely confirms the statement itself. Standard deviation is minimum and has not got a negative influence on arithmetic mean as well as coefficient of variation which shows that this is a </w:t>
      </w:r>
      <w:r w:rsidRPr="00861F6E">
        <w:rPr>
          <w:rFonts w:cs="Times New Roman"/>
        </w:rPr>
        <w:t>homogeneous group response.</w:t>
      </w:r>
      <w:r w:rsidR="00DE6297">
        <w:rPr>
          <w:rFonts w:cs="Times New Roman"/>
        </w:rPr>
        <w:tab/>
      </w:r>
      <w:r w:rsidR="00DE6297">
        <w:rPr>
          <w:rFonts w:cs="Times New Roman"/>
        </w:rPr>
        <w:tab/>
      </w:r>
      <w:r w:rsidR="00DE6297">
        <w:rPr>
          <w:rFonts w:cs="Times New Roman"/>
        </w:rPr>
        <w:tab/>
      </w:r>
      <w:r w:rsidR="00DE6297">
        <w:rPr>
          <w:rFonts w:cs="Times New Roman"/>
        </w:rPr>
        <w:tab/>
      </w:r>
      <w:r>
        <w:rPr>
          <w:rFonts w:cs="Times New Roman"/>
        </w:rPr>
        <w:t xml:space="preserve">In the following part, by applying the t-test, it is analysed whether exists significant statistic difference in generic strategies, and which of the mentioned strategies is increasing export capacity of BH enterprises. </w:t>
      </w:r>
    </w:p>
    <w:p w:rsidR="00102F1E" w:rsidRDefault="00102F1E" w:rsidP="00DE6297">
      <w:pPr>
        <w:pStyle w:val="NoSpacing"/>
        <w:ind w:firstLine="720"/>
        <w:rPr>
          <w:rFonts w:cs="Times New Roman"/>
        </w:rPr>
      </w:pPr>
    </w:p>
    <w:p w:rsidR="00102F1E" w:rsidRPr="00DE6297" w:rsidRDefault="00102F1E" w:rsidP="00DE6297">
      <w:pPr>
        <w:pStyle w:val="NoSpacing"/>
        <w:ind w:firstLine="720"/>
      </w:pPr>
    </w:p>
    <w:p w:rsidR="00DE6297" w:rsidRDefault="00DE6297" w:rsidP="00DE6297">
      <w:pPr>
        <w:pStyle w:val="NoSpacing"/>
        <w:rPr>
          <w:sz w:val="22"/>
          <w:szCs w:val="22"/>
        </w:rPr>
      </w:pPr>
    </w:p>
    <w:p w:rsidR="001F1F8D" w:rsidRDefault="001F1F8D" w:rsidP="00DE6297">
      <w:pPr>
        <w:pStyle w:val="NoSpacing"/>
        <w:rPr>
          <w:b/>
          <w:sz w:val="22"/>
          <w:szCs w:val="22"/>
        </w:rPr>
      </w:pPr>
    </w:p>
    <w:p w:rsidR="001F1F8D" w:rsidRDefault="001F1F8D" w:rsidP="00DE6297">
      <w:pPr>
        <w:pStyle w:val="NoSpacing"/>
        <w:rPr>
          <w:b/>
          <w:sz w:val="22"/>
          <w:szCs w:val="22"/>
        </w:rPr>
      </w:pPr>
    </w:p>
    <w:p w:rsidR="00F80803" w:rsidRPr="001F1F8D" w:rsidRDefault="00F80803" w:rsidP="00DE6297">
      <w:pPr>
        <w:pStyle w:val="NoSpacing"/>
        <w:rPr>
          <w:sz w:val="22"/>
          <w:szCs w:val="22"/>
        </w:rPr>
      </w:pPr>
      <w:r w:rsidRPr="00DE6297">
        <w:rPr>
          <w:b/>
          <w:sz w:val="22"/>
          <w:szCs w:val="22"/>
        </w:rPr>
        <w:t xml:space="preserve">Table 6. </w:t>
      </w:r>
      <w:r w:rsidRPr="001F1F8D">
        <w:rPr>
          <w:sz w:val="22"/>
          <w:szCs w:val="22"/>
        </w:rPr>
        <w:t>Comparing the existence of differences using t - test Focus and Cost leadership strategy</w:t>
      </w:r>
    </w:p>
    <w:tbl>
      <w:tblPr>
        <w:tblStyle w:val="TableGrid"/>
        <w:tblW w:w="0" w:type="auto"/>
        <w:tblLook w:val="04A0"/>
      </w:tblPr>
      <w:tblGrid>
        <w:gridCol w:w="660"/>
        <w:gridCol w:w="1848"/>
        <w:gridCol w:w="1711"/>
        <w:gridCol w:w="1418"/>
        <w:gridCol w:w="992"/>
        <w:gridCol w:w="1276"/>
        <w:gridCol w:w="957"/>
      </w:tblGrid>
      <w:tr w:rsidR="00F80803" w:rsidRPr="00DE6297" w:rsidTr="00DE6297">
        <w:trPr>
          <w:trHeight w:val="240"/>
        </w:trPr>
        <w:tc>
          <w:tcPr>
            <w:tcW w:w="2508" w:type="dxa"/>
            <w:gridSpan w:val="2"/>
            <w:vMerge w:val="restart"/>
          </w:tcPr>
          <w:p w:rsidR="00F80803" w:rsidRPr="00DE6297" w:rsidRDefault="00F80803" w:rsidP="00DE6297">
            <w:pPr>
              <w:pStyle w:val="NoSpacing"/>
            </w:pPr>
          </w:p>
          <w:p w:rsidR="00F80803" w:rsidRPr="00DE6297" w:rsidRDefault="00F80803" w:rsidP="00DE6297">
            <w:pPr>
              <w:pStyle w:val="NoSpacing"/>
            </w:pPr>
          </w:p>
          <w:p w:rsidR="00F80803" w:rsidRPr="00DE6297" w:rsidRDefault="00F80803" w:rsidP="00DE6297">
            <w:pPr>
              <w:pStyle w:val="NoSpacing"/>
            </w:pPr>
          </w:p>
        </w:tc>
        <w:tc>
          <w:tcPr>
            <w:tcW w:w="3129" w:type="dxa"/>
            <w:gridSpan w:val="2"/>
            <w:tcBorders>
              <w:bottom w:val="single" w:sz="4" w:space="0" w:color="auto"/>
            </w:tcBorders>
            <w:shd w:val="clear" w:color="auto" w:fill="DAEEF3" w:themeFill="accent5" w:themeFillTint="33"/>
          </w:tcPr>
          <w:p w:rsidR="00F80803" w:rsidRPr="00DE6297" w:rsidRDefault="00F80803" w:rsidP="00DE6297">
            <w:pPr>
              <w:pStyle w:val="NoSpacing"/>
              <w:jc w:val="center"/>
              <w:rPr>
                <w:b/>
              </w:rPr>
            </w:pPr>
            <w:r w:rsidRPr="00DE6297">
              <w:rPr>
                <w:b/>
              </w:rPr>
              <w:t>Difference compared</w:t>
            </w:r>
          </w:p>
        </w:tc>
        <w:tc>
          <w:tcPr>
            <w:tcW w:w="992" w:type="dxa"/>
            <w:vMerge w:val="restart"/>
            <w:shd w:val="clear" w:color="auto" w:fill="DAEEF3" w:themeFill="accent5" w:themeFillTint="33"/>
          </w:tcPr>
          <w:p w:rsidR="00F80803" w:rsidRPr="00DE6297" w:rsidRDefault="00F80803" w:rsidP="00DE6297">
            <w:pPr>
              <w:pStyle w:val="NoSpacing"/>
              <w:jc w:val="center"/>
              <w:rPr>
                <w:b/>
              </w:rPr>
            </w:pPr>
            <w:r w:rsidRPr="00DE6297">
              <w:rPr>
                <w:b/>
              </w:rPr>
              <w:t>Test</w:t>
            </w:r>
          </w:p>
        </w:tc>
        <w:tc>
          <w:tcPr>
            <w:tcW w:w="1276" w:type="dxa"/>
            <w:vMerge w:val="restart"/>
            <w:shd w:val="clear" w:color="auto" w:fill="DAEEF3" w:themeFill="accent5" w:themeFillTint="33"/>
          </w:tcPr>
          <w:p w:rsidR="00F80803" w:rsidRPr="00DE6297" w:rsidRDefault="00F80803" w:rsidP="00DE6297">
            <w:pPr>
              <w:pStyle w:val="NoSpacing"/>
              <w:jc w:val="center"/>
              <w:rPr>
                <w:b/>
              </w:rPr>
            </w:pPr>
            <w:r w:rsidRPr="00DE6297">
              <w:rPr>
                <w:b/>
              </w:rPr>
              <w:t>difference</w:t>
            </w:r>
          </w:p>
        </w:tc>
        <w:tc>
          <w:tcPr>
            <w:tcW w:w="957" w:type="dxa"/>
            <w:vMerge w:val="restart"/>
            <w:shd w:val="clear" w:color="auto" w:fill="DAEEF3" w:themeFill="accent5" w:themeFillTint="33"/>
          </w:tcPr>
          <w:p w:rsidR="00F80803" w:rsidRPr="00DE6297" w:rsidRDefault="00F80803" w:rsidP="00DE6297">
            <w:pPr>
              <w:pStyle w:val="NoSpacing"/>
              <w:jc w:val="center"/>
              <w:rPr>
                <w:b/>
              </w:rPr>
            </w:pPr>
            <w:r w:rsidRPr="00DE6297">
              <w:rPr>
                <w:b/>
              </w:rPr>
              <w:t>Sig.</w:t>
            </w:r>
          </w:p>
          <w:p w:rsidR="00F80803" w:rsidRPr="00DE6297" w:rsidRDefault="00F80803" w:rsidP="00DE6297">
            <w:pPr>
              <w:pStyle w:val="NoSpacing"/>
              <w:jc w:val="center"/>
              <w:rPr>
                <w:b/>
              </w:rPr>
            </w:pPr>
            <w:r w:rsidRPr="00DE6297">
              <w:rPr>
                <w:b/>
              </w:rPr>
              <w:t>(2-way)</w:t>
            </w:r>
          </w:p>
        </w:tc>
      </w:tr>
      <w:tr w:rsidR="00F80803" w:rsidRPr="00DE6297" w:rsidTr="00DE6297">
        <w:trPr>
          <w:trHeight w:val="525"/>
        </w:trPr>
        <w:tc>
          <w:tcPr>
            <w:tcW w:w="2508" w:type="dxa"/>
            <w:gridSpan w:val="2"/>
            <w:vMerge/>
          </w:tcPr>
          <w:p w:rsidR="00F80803" w:rsidRPr="00DE6297" w:rsidRDefault="00F80803" w:rsidP="00DE6297">
            <w:pPr>
              <w:pStyle w:val="NoSpacing"/>
            </w:pPr>
          </w:p>
        </w:tc>
        <w:tc>
          <w:tcPr>
            <w:tcW w:w="1711" w:type="dxa"/>
            <w:tcBorders>
              <w:top w:val="single" w:sz="4" w:space="0" w:color="auto"/>
            </w:tcBorders>
          </w:tcPr>
          <w:p w:rsidR="00F80803" w:rsidRPr="00DE6297" w:rsidRDefault="00F80803" w:rsidP="00DE6297">
            <w:pPr>
              <w:pStyle w:val="NoSpacing"/>
              <w:rPr>
                <w:b/>
                <w:sz w:val="20"/>
                <w:szCs w:val="20"/>
              </w:rPr>
            </w:pPr>
            <w:r w:rsidRPr="00DE6297">
              <w:rPr>
                <w:b/>
                <w:sz w:val="20"/>
                <w:szCs w:val="20"/>
              </w:rPr>
              <w:t>Difference of arithmetic mean</w:t>
            </w:r>
          </w:p>
        </w:tc>
        <w:tc>
          <w:tcPr>
            <w:tcW w:w="1418" w:type="dxa"/>
            <w:tcBorders>
              <w:top w:val="single" w:sz="4" w:space="0" w:color="auto"/>
            </w:tcBorders>
          </w:tcPr>
          <w:p w:rsidR="00F80803" w:rsidRPr="00DE6297" w:rsidRDefault="00F80803" w:rsidP="00DE6297">
            <w:pPr>
              <w:pStyle w:val="NoSpacing"/>
              <w:jc w:val="center"/>
              <w:rPr>
                <w:b/>
                <w:sz w:val="20"/>
                <w:szCs w:val="20"/>
              </w:rPr>
            </w:pPr>
            <w:r w:rsidRPr="00DE6297">
              <w:rPr>
                <w:b/>
                <w:sz w:val="20"/>
                <w:szCs w:val="20"/>
              </w:rPr>
              <w:t>Standard Deviation</w:t>
            </w:r>
          </w:p>
        </w:tc>
        <w:tc>
          <w:tcPr>
            <w:tcW w:w="992" w:type="dxa"/>
            <w:vMerge/>
          </w:tcPr>
          <w:p w:rsidR="00F80803" w:rsidRPr="00DE6297" w:rsidRDefault="00F80803" w:rsidP="00DE6297">
            <w:pPr>
              <w:pStyle w:val="NoSpacing"/>
              <w:jc w:val="center"/>
            </w:pPr>
          </w:p>
        </w:tc>
        <w:tc>
          <w:tcPr>
            <w:tcW w:w="1276" w:type="dxa"/>
            <w:vMerge/>
          </w:tcPr>
          <w:p w:rsidR="00F80803" w:rsidRPr="00DE6297" w:rsidRDefault="00F80803" w:rsidP="00DE6297">
            <w:pPr>
              <w:pStyle w:val="NoSpacing"/>
              <w:jc w:val="center"/>
            </w:pPr>
          </w:p>
        </w:tc>
        <w:tc>
          <w:tcPr>
            <w:tcW w:w="957" w:type="dxa"/>
            <w:vMerge/>
          </w:tcPr>
          <w:p w:rsidR="00F80803" w:rsidRPr="00DE6297" w:rsidRDefault="00F80803" w:rsidP="00DE6297">
            <w:pPr>
              <w:pStyle w:val="NoSpacing"/>
              <w:jc w:val="center"/>
            </w:pPr>
          </w:p>
        </w:tc>
      </w:tr>
      <w:tr w:rsidR="00F80803" w:rsidRPr="00DE6297" w:rsidTr="00DE6297">
        <w:tc>
          <w:tcPr>
            <w:tcW w:w="660" w:type="dxa"/>
          </w:tcPr>
          <w:p w:rsidR="00F80803" w:rsidRPr="00DE6297" w:rsidRDefault="00F80803" w:rsidP="00DE6297">
            <w:pPr>
              <w:pStyle w:val="NoSpacing"/>
            </w:pPr>
            <w:r w:rsidRPr="00DE6297">
              <w:t>Pair 1</w:t>
            </w:r>
          </w:p>
        </w:tc>
        <w:tc>
          <w:tcPr>
            <w:tcW w:w="1848" w:type="dxa"/>
          </w:tcPr>
          <w:p w:rsidR="00F80803" w:rsidRPr="00DE6297" w:rsidRDefault="00F80803" w:rsidP="00DE6297">
            <w:pPr>
              <w:pStyle w:val="NoSpacing"/>
            </w:pPr>
            <w:r w:rsidRPr="00DE6297">
              <w:t xml:space="preserve">Cost leadership strategy – </w:t>
            </w:r>
          </w:p>
          <w:p w:rsidR="00F80803" w:rsidRPr="00DE6297" w:rsidRDefault="00F80803" w:rsidP="00DE6297">
            <w:pPr>
              <w:pStyle w:val="NoSpacing"/>
            </w:pPr>
            <w:r w:rsidRPr="00DE6297">
              <w:t>Focus Strategy</w:t>
            </w:r>
          </w:p>
        </w:tc>
        <w:tc>
          <w:tcPr>
            <w:tcW w:w="1711" w:type="dxa"/>
          </w:tcPr>
          <w:p w:rsidR="00F80803" w:rsidRPr="00DE6297" w:rsidRDefault="00F80803" w:rsidP="00DE6297">
            <w:pPr>
              <w:pStyle w:val="NoSpacing"/>
              <w:jc w:val="right"/>
            </w:pPr>
            <w:r w:rsidRPr="00DE6297">
              <w:t>.72973</w:t>
            </w:r>
          </w:p>
        </w:tc>
        <w:tc>
          <w:tcPr>
            <w:tcW w:w="1418" w:type="dxa"/>
          </w:tcPr>
          <w:p w:rsidR="00F80803" w:rsidRPr="00DE6297" w:rsidRDefault="00F80803" w:rsidP="00DE6297">
            <w:pPr>
              <w:pStyle w:val="NoSpacing"/>
              <w:jc w:val="right"/>
            </w:pPr>
            <w:r w:rsidRPr="00DE6297">
              <w:t>.99019</w:t>
            </w:r>
          </w:p>
        </w:tc>
        <w:tc>
          <w:tcPr>
            <w:tcW w:w="992" w:type="dxa"/>
          </w:tcPr>
          <w:p w:rsidR="00F80803" w:rsidRPr="00DE6297" w:rsidRDefault="00F80803" w:rsidP="00DE6297">
            <w:pPr>
              <w:pStyle w:val="NoSpacing"/>
              <w:jc w:val="right"/>
            </w:pPr>
            <w:r w:rsidRPr="00DE6297">
              <w:t>4.483</w:t>
            </w:r>
          </w:p>
        </w:tc>
        <w:tc>
          <w:tcPr>
            <w:tcW w:w="1276" w:type="dxa"/>
          </w:tcPr>
          <w:p w:rsidR="00F80803" w:rsidRPr="00DE6297" w:rsidRDefault="00F80803" w:rsidP="00DE6297">
            <w:pPr>
              <w:pStyle w:val="NoSpacing"/>
              <w:jc w:val="right"/>
            </w:pPr>
            <w:r w:rsidRPr="00DE6297">
              <w:t>36</w:t>
            </w:r>
          </w:p>
        </w:tc>
        <w:tc>
          <w:tcPr>
            <w:tcW w:w="957" w:type="dxa"/>
          </w:tcPr>
          <w:p w:rsidR="00F80803" w:rsidRPr="00DE6297" w:rsidRDefault="00F80803" w:rsidP="00DE6297">
            <w:pPr>
              <w:pStyle w:val="NoSpacing"/>
              <w:jc w:val="right"/>
            </w:pPr>
            <w:r w:rsidRPr="00DE6297">
              <w:t>.000</w:t>
            </w:r>
          </w:p>
        </w:tc>
      </w:tr>
    </w:tbl>
    <w:p w:rsidR="00F80803" w:rsidRDefault="00F80803" w:rsidP="00DE6297">
      <w:pPr>
        <w:pStyle w:val="NoSpacing"/>
        <w:rPr>
          <w:sz w:val="20"/>
        </w:rPr>
      </w:pPr>
      <w:r w:rsidRPr="00DE6297">
        <w:rPr>
          <w:sz w:val="22"/>
          <w:szCs w:val="22"/>
        </w:rPr>
        <w:t>Source: Author analysis in statistical program SPSS 20</w:t>
      </w:r>
      <w:r>
        <w:rPr>
          <w:sz w:val="20"/>
        </w:rPr>
        <w:t xml:space="preserve">. </w:t>
      </w:r>
    </w:p>
    <w:p w:rsidR="00F80803" w:rsidRDefault="00F80803" w:rsidP="00DE6297">
      <w:pPr>
        <w:pStyle w:val="NoSpacing"/>
        <w:rPr>
          <w:sz w:val="20"/>
        </w:rPr>
      </w:pPr>
    </w:p>
    <w:p w:rsidR="00F80803" w:rsidRDefault="00F80803" w:rsidP="00DE6297">
      <w:pPr>
        <w:pStyle w:val="NoSpacing"/>
        <w:ind w:firstLine="720"/>
      </w:pPr>
      <w:r>
        <w:t xml:space="preserve">P = 0, 000 &lt; 0, 05, therefore it can be concluded that there is a significant statistic difference between the response of manager and owner regarding the differentiation strategy and cost leadership strategy, i.e. these strategies are not similar for managers and owners of production enterprises engaged in export. Managers and owners prefer Cost leadership strategy and it largely contributes to increasing export policy of BH enterprises. </w:t>
      </w:r>
    </w:p>
    <w:p w:rsidR="00102F1E" w:rsidRDefault="00102F1E" w:rsidP="00DE6297">
      <w:pPr>
        <w:pStyle w:val="NoSpacing"/>
        <w:ind w:firstLine="720"/>
      </w:pPr>
    </w:p>
    <w:p w:rsidR="00F80803" w:rsidRPr="00102F1E" w:rsidRDefault="00F80803" w:rsidP="00DE6297">
      <w:pPr>
        <w:pStyle w:val="NoSpacing"/>
        <w:rPr>
          <w:b/>
          <w:sz w:val="22"/>
          <w:szCs w:val="22"/>
        </w:rPr>
      </w:pPr>
      <w:r w:rsidRPr="00102F1E">
        <w:rPr>
          <w:b/>
          <w:sz w:val="22"/>
          <w:szCs w:val="22"/>
        </w:rPr>
        <w:t xml:space="preserve">Table 7. </w:t>
      </w:r>
      <w:r w:rsidRPr="001F1F8D">
        <w:rPr>
          <w:sz w:val="22"/>
          <w:szCs w:val="22"/>
        </w:rPr>
        <w:t>Comparing the existence of differences using t - test Differentiation and Cost leadership strategy</w:t>
      </w:r>
    </w:p>
    <w:tbl>
      <w:tblPr>
        <w:tblStyle w:val="TableGrid"/>
        <w:tblW w:w="0" w:type="auto"/>
        <w:tblLayout w:type="fixed"/>
        <w:tblLook w:val="04A0"/>
      </w:tblPr>
      <w:tblGrid>
        <w:gridCol w:w="657"/>
        <w:gridCol w:w="1900"/>
        <w:gridCol w:w="1662"/>
        <w:gridCol w:w="1276"/>
        <w:gridCol w:w="992"/>
        <w:gridCol w:w="1163"/>
        <w:gridCol w:w="1212"/>
      </w:tblGrid>
      <w:tr w:rsidR="00F80803" w:rsidRPr="00DE6297" w:rsidTr="00DE6297">
        <w:trPr>
          <w:trHeight w:val="240"/>
        </w:trPr>
        <w:tc>
          <w:tcPr>
            <w:tcW w:w="2557" w:type="dxa"/>
            <w:gridSpan w:val="2"/>
            <w:vMerge w:val="restart"/>
          </w:tcPr>
          <w:p w:rsidR="00F80803" w:rsidRPr="00DE6297" w:rsidRDefault="00F80803" w:rsidP="00DE6297">
            <w:pPr>
              <w:pStyle w:val="NoSpacing"/>
            </w:pPr>
          </w:p>
          <w:p w:rsidR="00F80803" w:rsidRPr="00DE6297" w:rsidRDefault="00F80803" w:rsidP="00DE6297">
            <w:pPr>
              <w:pStyle w:val="NoSpacing"/>
            </w:pPr>
          </w:p>
          <w:p w:rsidR="00F80803" w:rsidRPr="00DE6297" w:rsidRDefault="00F80803" w:rsidP="00DE6297">
            <w:pPr>
              <w:pStyle w:val="NoSpacing"/>
            </w:pPr>
          </w:p>
        </w:tc>
        <w:tc>
          <w:tcPr>
            <w:tcW w:w="2938" w:type="dxa"/>
            <w:gridSpan w:val="2"/>
            <w:tcBorders>
              <w:bottom w:val="single" w:sz="4" w:space="0" w:color="auto"/>
            </w:tcBorders>
            <w:shd w:val="clear" w:color="auto" w:fill="DAEEF3" w:themeFill="accent5" w:themeFillTint="33"/>
          </w:tcPr>
          <w:p w:rsidR="00F80803" w:rsidRPr="00DE6297" w:rsidRDefault="00F80803" w:rsidP="00DE6297">
            <w:pPr>
              <w:pStyle w:val="NoSpacing"/>
              <w:rPr>
                <w:b/>
              </w:rPr>
            </w:pPr>
            <w:r w:rsidRPr="00DE6297">
              <w:rPr>
                <w:b/>
              </w:rPr>
              <w:t>Difference compared</w:t>
            </w:r>
          </w:p>
        </w:tc>
        <w:tc>
          <w:tcPr>
            <w:tcW w:w="992" w:type="dxa"/>
            <w:vMerge w:val="restart"/>
            <w:shd w:val="clear" w:color="auto" w:fill="DAEEF3" w:themeFill="accent5" w:themeFillTint="33"/>
          </w:tcPr>
          <w:p w:rsidR="00F80803" w:rsidRPr="00DE6297" w:rsidRDefault="00F80803" w:rsidP="00DE6297">
            <w:pPr>
              <w:pStyle w:val="NoSpacing"/>
              <w:rPr>
                <w:b/>
              </w:rPr>
            </w:pPr>
            <w:r w:rsidRPr="00DE6297">
              <w:rPr>
                <w:b/>
              </w:rPr>
              <w:t>Test</w:t>
            </w:r>
          </w:p>
        </w:tc>
        <w:tc>
          <w:tcPr>
            <w:tcW w:w="1163" w:type="dxa"/>
            <w:vMerge w:val="restart"/>
            <w:shd w:val="clear" w:color="auto" w:fill="DAEEF3" w:themeFill="accent5" w:themeFillTint="33"/>
          </w:tcPr>
          <w:p w:rsidR="00F80803" w:rsidRPr="00DE6297" w:rsidRDefault="00F80803" w:rsidP="00DE6297">
            <w:pPr>
              <w:pStyle w:val="NoSpacing"/>
              <w:rPr>
                <w:b/>
              </w:rPr>
            </w:pPr>
            <w:r w:rsidRPr="00DE6297">
              <w:rPr>
                <w:b/>
              </w:rPr>
              <w:t>difference</w:t>
            </w:r>
          </w:p>
        </w:tc>
        <w:tc>
          <w:tcPr>
            <w:tcW w:w="1212" w:type="dxa"/>
            <w:vMerge w:val="restart"/>
            <w:shd w:val="clear" w:color="auto" w:fill="DAEEF3" w:themeFill="accent5" w:themeFillTint="33"/>
          </w:tcPr>
          <w:p w:rsidR="00F80803" w:rsidRPr="00DE6297" w:rsidRDefault="00F80803" w:rsidP="00DE6297">
            <w:pPr>
              <w:pStyle w:val="NoSpacing"/>
              <w:rPr>
                <w:b/>
              </w:rPr>
            </w:pPr>
            <w:r w:rsidRPr="00DE6297">
              <w:rPr>
                <w:b/>
              </w:rPr>
              <w:t>Sig.</w:t>
            </w:r>
          </w:p>
          <w:p w:rsidR="00F80803" w:rsidRPr="00DE6297" w:rsidRDefault="00F80803" w:rsidP="00DE6297">
            <w:pPr>
              <w:pStyle w:val="NoSpacing"/>
              <w:rPr>
                <w:b/>
              </w:rPr>
            </w:pPr>
            <w:r w:rsidRPr="00DE6297">
              <w:rPr>
                <w:b/>
              </w:rPr>
              <w:t>(2-way)</w:t>
            </w:r>
          </w:p>
        </w:tc>
      </w:tr>
      <w:tr w:rsidR="00F80803" w:rsidRPr="00DE6297" w:rsidTr="00DE6297">
        <w:trPr>
          <w:trHeight w:val="525"/>
        </w:trPr>
        <w:tc>
          <w:tcPr>
            <w:tcW w:w="2557" w:type="dxa"/>
            <w:gridSpan w:val="2"/>
            <w:vMerge/>
          </w:tcPr>
          <w:p w:rsidR="00F80803" w:rsidRPr="00DE6297" w:rsidRDefault="00F80803" w:rsidP="00DE6297">
            <w:pPr>
              <w:pStyle w:val="NoSpacing"/>
            </w:pPr>
          </w:p>
        </w:tc>
        <w:tc>
          <w:tcPr>
            <w:tcW w:w="1662" w:type="dxa"/>
            <w:tcBorders>
              <w:top w:val="single" w:sz="4" w:space="0" w:color="auto"/>
            </w:tcBorders>
          </w:tcPr>
          <w:p w:rsidR="00F80803" w:rsidRPr="00DE6297" w:rsidRDefault="00F80803" w:rsidP="00DE6297">
            <w:pPr>
              <w:pStyle w:val="NoSpacing"/>
              <w:rPr>
                <w:b/>
                <w:sz w:val="20"/>
                <w:szCs w:val="20"/>
              </w:rPr>
            </w:pPr>
            <w:r w:rsidRPr="00DE6297">
              <w:rPr>
                <w:b/>
                <w:sz w:val="20"/>
                <w:szCs w:val="20"/>
              </w:rPr>
              <w:t>Difference of arithmetic mean</w:t>
            </w:r>
          </w:p>
        </w:tc>
        <w:tc>
          <w:tcPr>
            <w:tcW w:w="1276" w:type="dxa"/>
            <w:tcBorders>
              <w:top w:val="single" w:sz="4" w:space="0" w:color="auto"/>
            </w:tcBorders>
          </w:tcPr>
          <w:p w:rsidR="00F80803" w:rsidRPr="00DE6297" w:rsidRDefault="00F80803" w:rsidP="00DE6297">
            <w:pPr>
              <w:pStyle w:val="NoSpacing"/>
              <w:rPr>
                <w:b/>
                <w:sz w:val="20"/>
                <w:szCs w:val="20"/>
              </w:rPr>
            </w:pPr>
            <w:r w:rsidRPr="00DE6297">
              <w:rPr>
                <w:b/>
                <w:sz w:val="20"/>
                <w:szCs w:val="20"/>
              </w:rPr>
              <w:t>Standard Deviation</w:t>
            </w:r>
          </w:p>
        </w:tc>
        <w:tc>
          <w:tcPr>
            <w:tcW w:w="992" w:type="dxa"/>
            <w:vMerge/>
          </w:tcPr>
          <w:p w:rsidR="00F80803" w:rsidRPr="00DE6297" w:rsidRDefault="00F80803" w:rsidP="00DE6297">
            <w:pPr>
              <w:pStyle w:val="NoSpacing"/>
            </w:pPr>
          </w:p>
        </w:tc>
        <w:tc>
          <w:tcPr>
            <w:tcW w:w="1163" w:type="dxa"/>
            <w:vMerge/>
          </w:tcPr>
          <w:p w:rsidR="00F80803" w:rsidRPr="00DE6297" w:rsidRDefault="00F80803" w:rsidP="00DE6297">
            <w:pPr>
              <w:pStyle w:val="NoSpacing"/>
            </w:pPr>
          </w:p>
        </w:tc>
        <w:tc>
          <w:tcPr>
            <w:tcW w:w="1212" w:type="dxa"/>
            <w:vMerge/>
          </w:tcPr>
          <w:p w:rsidR="00F80803" w:rsidRPr="00DE6297" w:rsidRDefault="00F80803" w:rsidP="00DE6297">
            <w:pPr>
              <w:pStyle w:val="NoSpacing"/>
            </w:pPr>
          </w:p>
        </w:tc>
      </w:tr>
      <w:tr w:rsidR="00F80803" w:rsidRPr="00DE6297" w:rsidTr="00DE6297">
        <w:tc>
          <w:tcPr>
            <w:tcW w:w="657" w:type="dxa"/>
          </w:tcPr>
          <w:p w:rsidR="00F80803" w:rsidRPr="00DE6297" w:rsidRDefault="00F80803" w:rsidP="00DE6297">
            <w:pPr>
              <w:pStyle w:val="NoSpacing"/>
            </w:pPr>
            <w:r w:rsidRPr="00DE6297">
              <w:t>Pair 1</w:t>
            </w:r>
          </w:p>
        </w:tc>
        <w:tc>
          <w:tcPr>
            <w:tcW w:w="1900" w:type="dxa"/>
          </w:tcPr>
          <w:p w:rsidR="00F80803" w:rsidRPr="00DE6297" w:rsidRDefault="00F80803" w:rsidP="00DE6297">
            <w:pPr>
              <w:pStyle w:val="NoSpacing"/>
            </w:pPr>
            <w:r w:rsidRPr="00DE6297">
              <w:t xml:space="preserve">Cost leadership strategy – </w:t>
            </w:r>
          </w:p>
          <w:p w:rsidR="00F80803" w:rsidRPr="00DE6297" w:rsidRDefault="00F80803" w:rsidP="00DE6297">
            <w:pPr>
              <w:pStyle w:val="NoSpacing"/>
            </w:pPr>
            <w:r w:rsidRPr="00DE6297">
              <w:t>Differentiation Strategy</w:t>
            </w:r>
          </w:p>
        </w:tc>
        <w:tc>
          <w:tcPr>
            <w:tcW w:w="1662" w:type="dxa"/>
          </w:tcPr>
          <w:p w:rsidR="00F80803" w:rsidRPr="00DE6297" w:rsidRDefault="00F80803" w:rsidP="00DE6297">
            <w:pPr>
              <w:pStyle w:val="NoSpacing"/>
            </w:pPr>
            <w:r w:rsidRPr="00DE6297">
              <w:t>1.40541</w:t>
            </w:r>
          </w:p>
        </w:tc>
        <w:tc>
          <w:tcPr>
            <w:tcW w:w="1276" w:type="dxa"/>
          </w:tcPr>
          <w:p w:rsidR="00F80803" w:rsidRPr="00DE6297" w:rsidRDefault="00F80803" w:rsidP="00DE6297">
            <w:pPr>
              <w:pStyle w:val="NoSpacing"/>
            </w:pPr>
            <w:r w:rsidRPr="00DE6297">
              <w:t>1.42321</w:t>
            </w:r>
          </w:p>
        </w:tc>
        <w:tc>
          <w:tcPr>
            <w:tcW w:w="992" w:type="dxa"/>
          </w:tcPr>
          <w:p w:rsidR="00F80803" w:rsidRPr="00DE6297" w:rsidRDefault="00F80803" w:rsidP="00DE6297">
            <w:pPr>
              <w:pStyle w:val="NoSpacing"/>
            </w:pPr>
            <w:r w:rsidRPr="00DE6297">
              <w:t>6.007</w:t>
            </w:r>
          </w:p>
        </w:tc>
        <w:tc>
          <w:tcPr>
            <w:tcW w:w="1163" w:type="dxa"/>
          </w:tcPr>
          <w:p w:rsidR="00F80803" w:rsidRPr="00DE6297" w:rsidRDefault="00F80803" w:rsidP="00DE6297">
            <w:pPr>
              <w:pStyle w:val="NoSpacing"/>
            </w:pPr>
            <w:r w:rsidRPr="00DE6297">
              <w:t>36</w:t>
            </w:r>
          </w:p>
        </w:tc>
        <w:tc>
          <w:tcPr>
            <w:tcW w:w="1212" w:type="dxa"/>
          </w:tcPr>
          <w:p w:rsidR="00F80803" w:rsidRPr="00DE6297" w:rsidRDefault="00F80803" w:rsidP="00DE6297">
            <w:pPr>
              <w:pStyle w:val="NoSpacing"/>
            </w:pPr>
            <w:r w:rsidRPr="00DE6297">
              <w:t>.000</w:t>
            </w:r>
          </w:p>
        </w:tc>
      </w:tr>
    </w:tbl>
    <w:p w:rsidR="00F80803" w:rsidRPr="00DE6297" w:rsidRDefault="00F80803" w:rsidP="00DE6297">
      <w:pPr>
        <w:pStyle w:val="NoSpacing"/>
        <w:rPr>
          <w:sz w:val="20"/>
          <w:szCs w:val="20"/>
        </w:rPr>
      </w:pPr>
      <w:r w:rsidRPr="00DE6297">
        <w:rPr>
          <w:sz w:val="20"/>
          <w:szCs w:val="20"/>
        </w:rPr>
        <w:t xml:space="preserve">Source: Author analysis in statistical program SPSS 20. </w:t>
      </w:r>
    </w:p>
    <w:p w:rsidR="00F80803" w:rsidRDefault="00F80803" w:rsidP="00DE6297">
      <w:pPr>
        <w:ind w:firstLine="720"/>
        <w:rPr>
          <w:rFonts w:cs="Times New Roman"/>
        </w:rPr>
      </w:pPr>
      <w:r>
        <w:rPr>
          <w:rFonts w:cs="Times New Roman"/>
        </w:rPr>
        <w:t>P = 0, 000 &lt; 0, 05, therefore it can be concluded that there is a significant statistic difference between the response of manager and owner regarding the Focus strategy and Cost leadership strategy, i.e. these strategies are not similar for managers and owners of production enterprises engaged in export and they differently contribute to</w:t>
      </w:r>
      <w:r w:rsidRPr="000644F2">
        <w:rPr>
          <w:rFonts w:cs="Times New Roman"/>
        </w:rPr>
        <w:t xml:space="preserve"> </w:t>
      </w:r>
      <w:r>
        <w:rPr>
          <w:rFonts w:cs="Times New Roman"/>
        </w:rPr>
        <w:t xml:space="preserve">increasing export policy of BH enterprises. </w:t>
      </w:r>
    </w:p>
    <w:p w:rsidR="00DE6297" w:rsidRDefault="00DE6297" w:rsidP="00DE6297">
      <w:pPr>
        <w:pStyle w:val="NoSpacing"/>
        <w:rPr>
          <w:b/>
          <w:sz w:val="22"/>
          <w:szCs w:val="22"/>
        </w:rPr>
      </w:pPr>
    </w:p>
    <w:p w:rsidR="00F80803" w:rsidRPr="001F1F8D" w:rsidRDefault="00F80803" w:rsidP="00DE6297">
      <w:pPr>
        <w:pStyle w:val="NoSpacing"/>
        <w:rPr>
          <w:sz w:val="22"/>
          <w:szCs w:val="22"/>
        </w:rPr>
      </w:pPr>
      <w:r w:rsidRPr="00DE6297">
        <w:rPr>
          <w:b/>
          <w:sz w:val="22"/>
          <w:szCs w:val="22"/>
        </w:rPr>
        <w:t xml:space="preserve">Table 8. </w:t>
      </w:r>
      <w:r w:rsidRPr="001F1F8D">
        <w:rPr>
          <w:sz w:val="22"/>
          <w:szCs w:val="22"/>
        </w:rPr>
        <w:t>Comparing the existence of differences using t - test Differentiation and Focus strategy</w:t>
      </w:r>
    </w:p>
    <w:tbl>
      <w:tblPr>
        <w:tblStyle w:val="TableGrid"/>
        <w:tblW w:w="0" w:type="auto"/>
        <w:tblLayout w:type="fixed"/>
        <w:tblLook w:val="04A0"/>
      </w:tblPr>
      <w:tblGrid>
        <w:gridCol w:w="658"/>
        <w:gridCol w:w="1901"/>
        <w:gridCol w:w="1660"/>
        <w:gridCol w:w="1276"/>
        <w:gridCol w:w="854"/>
        <w:gridCol w:w="1298"/>
        <w:gridCol w:w="1215"/>
      </w:tblGrid>
      <w:tr w:rsidR="00F80803" w:rsidTr="00DE6297">
        <w:trPr>
          <w:trHeight w:val="240"/>
        </w:trPr>
        <w:tc>
          <w:tcPr>
            <w:tcW w:w="2559" w:type="dxa"/>
            <w:gridSpan w:val="2"/>
            <w:vMerge w:val="restart"/>
          </w:tcPr>
          <w:p w:rsidR="00F80803" w:rsidRPr="000644F2" w:rsidRDefault="00F80803" w:rsidP="00DE6297">
            <w:pPr>
              <w:pStyle w:val="NoSpacing"/>
            </w:pPr>
          </w:p>
          <w:p w:rsidR="00F80803" w:rsidRPr="000644F2" w:rsidRDefault="00F80803" w:rsidP="00DE6297">
            <w:pPr>
              <w:pStyle w:val="NoSpacing"/>
            </w:pPr>
          </w:p>
          <w:p w:rsidR="00F80803" w:rsidRPr="000644F2" w:rsidRDefault="00F80803" w:rsidP="00DE6297">
            <w:pPr>
              <w:pStyle w:val="NoSpacing"/>
            </w:pPr>
          </w:p>
        </w:tc>
        <w:tc>
          <w:tcPr>
            <w:tcW w:w="2936" w:type="dxa"/>
            <w:gridSpan w:val="2"/>
            <w:tcBorders>
              <w:bottom w:val="single" w:sz="4" w:space="0" w:color="auto"/>
            </w:tcBorders>
            <w:shd w:val="clear" w:color="auto" w:fill="DAEEF3" w:themeFill="accent5" w:themeFillTint="33"/>
          </w:tcPr>
          <w:p w:rsidR="00F80803" w:rsidRPr="00DE6297" w:rsidRDefault="00F80803" w:rsidP="00DE6297">
            <w:pPr>
              <w:pStyle w:val="NoSpacing"/>
              <w:jc w:val="center"/>
              <w:rPr>
                <w:b/>
              </w:rPr>
            </w:pPr>
            <w:r w:rsidRPr="00DE6297">
              <w:rPr>
                <w:b/>
              </w:rPr>
              <w:t>Difference compared</w:t>
            </w:r>
          </w:p>
        </w:tc>
        <w:tc>
          <w:tcPr>
            <w:tcW w:w="854" w:type="dxa"/>
            <w:vMerge w:val="restart"/>
            <w:shd w:val="clear" w:color="auto" w:fill="DAEEF3" w:themeFill="accent5" w:themeFillTint="33"/>
          </w:tcPr>
          <w:p w:rsidR="00F80803" w:rsidRPr="00DE6297" w:rsidRDefault="00F80803" w:rsidP="00DE6297">
            <w:pPr>
              <w:pStyle w:val="NoSpacing"/>
              <w:jc w:val="center"/>
              <w:rPr>
                <w:b/>
              </w:rPr>
            </w:pPr>
            <w:r w:rsidRPr="00DE6297">
              <w:rPr>
                <w:b/>
              </w:rPr>
              <w:t>Test</w:t>
            </w:r>
          </w:p>
        </w:tc>
        <w:tc>
          <w:tcPr>
            <w:tcW w:w="1298" w:type="dxa"/>
            <w:vMerge w:val="restart"/>
            <w:shd w:val="clear" w:color="auto" w:fill="DAEEF3" w:themeFill="accent5" w:themeFillTint="33"/>
          </w:tcPr>
          <w:p w:rsidR="00F80803" w:rsidRPr="00DE6297" w:rsidRDefault="00F80803" w:rsidP="00DE6297">
            <w:pPr>
              <w:pStyle w:val="NoSpacing"/>
              <w:jc w:val="center"/>
              <w:rPr>
                <w:b/>
              </w:rPr>
            </w:pPr>
            <w:r w:rsidRPr="00DE6297">
              <w:rPr>
                <w:b/>
              </w:rPr>
              <w:t>difference</w:t>
            </w:r>
          </w:p>
        </w:tc>
        <w:tc>
          <w:tcPr>
            <w:tcW w:w="1215" w:type="dxa"/>
            <w:vMerge w:val="restart"/>
            <w:shd w:val="clear" w:color="auto" w:fill="DAEEF3" w:themeFill="accent5" w:themeFillTint="33"/>
          </w:tcPr>
          <w:p w:rsidR="00F80803" w:rsidRPr="00DE6297" w:rsidRDefault="00F80803" w:rsidP="00DE6297">
            <w:pPr>
              <w:pStyle w:val="NoSpacing"/>
              <w:jc w:val="center"/>
              <w:rPr>
                <w:b/>
              </w:rPr>
            </w:pPr>
            <w:r w:rsidRPr="00DE6297">
              <w:rPr>
                <w:b/>
              </w:rPr>
              <w:t>Sig.</w:t>
            </w:r>
          </w:p>
          <w:p w:rsidR="00F80803" w:rsidRPr="00DE6297" w:rsidRDefault="00F80803" w:rsidP="00DE6297">
            <w:pPr>
              <w:pStyle w:val="NoSpacing"/>
              <w:jc w:val="center"/>
              <w:rPr>
                <w:b/>
              </w:rPr>
            </w:pPr>
            <w:r w:rsidRPr="00DE6297">
              <w:rPr>
                <w:b/>
              </w:rPr>
              <w:t>(2-way)</w:t>
            </w:r>
          </w:p>
        </w:tc>
      </w:tr>
      <w:tr w:rsidR="00F80803" w:rsidTr="00DE6297">
        <w:trPr>
          <w:trHeight w:val="525"/>
        </w:trPr>
        <w:tc>
          <w:tcPr>
            <w:tcW w:w="2559" w:type="dxa"/>
            <w:gridSpan w:val="2"/>
            <w:vMerge/>
          </w:tcPr>
          <w:p w:rsidR="00F80803" w:rsidRPr="000644F2" w:rsidRDefault="00F80803" w:rsidP="00DE6297">
            <w:pPr>
              <w:pStyle w:val="NoSpacing"/>
            </w:pPr>
          </w:p>
        </w:tc>
        <w:tc>
          <w:tcPr>
            <w:tcW w:w="1660" w:type="dxa"/>
            <w:tcBorders>
              <w:top w:val="single" w:sz="4" w:space="0" w:color="auto"/>
            </w:tcBorders>
          </w:tcPr>
          <w:p w:rsidR="00F80803" w:rsidRPr="00DE6297" w:rsidRDefault="00F80803" w:rsidP="00DE6297">
            <w:pPr>
              <w:pStyle w:val="NoSpacing"/>
              <w:rPr>
                <w:b/>
                <w:sz w:val="20"/>
                <w:szCs w:val="20"/>
              </w:rPr>
            </w:pPr>
            <w:r w:rsidRPr="00DE6297">
              <w:rPr>
                <w:b/>
                <w:sz w:val="20"/>
                <w:szCs w:val="20"/>
              </w:rPr>
              <w:t>Difference of arithmetic mean</w:t>
            </w:r>
          </w:p>
        </w:tc>
        <w:tc>
          <w:tcPr>
            <w:tcW w:w="1276" w:type="dxa"/>
            <w:tcBorders>
              <w:top w:val="single" w:sz="4" w:space="0" w:color="auto"/>
            </w:tcBorders>
          </w:tcPr>
          <w:p w:rsidR="00F80803" w:rsidRPr="00DE6297" w:rsidRDefault="00F80803" w:rsidP="00DE6297">
            <w:pPr>
              <w:pStyle w:val="NoSpacing"/>
              <w:rPr>
                <w:b/>
                <w:sz w:val="20"/>
                <w:szCs w:val="20"/>
              </w:rPr>
            </w:pPr>
            <w:r w:rsidRPr="00DE6297">
              <w:rPr>
                <w:b/>
                <w:sz w:val="20"/>
                <w:szCs w:val="20"/>
              </w:rPr>
              <w:t>Standard Deviation</w:t>
            </w:r>
          </w:p>
        </w:tc>
        <w:tc>
          <w:tcPr>
            <w:tcW w:w="854" w:type="dxa"/>
            <w:vMerge/>
          </w:tcPr>
          <w:p w:rsidR="00F80803" w:rsidRPr="000644F2" w:rsidRDefault="00F80803" w:rsidP="00DE6297">
            <w:pPr>
              <w:pStyle w:val="NoSpacing"/>
            </w:pPr>
          </w:p>
        </w:tc>
        <w:tc>
          <w:tcPr>
            <w:tcW w:w="1298" w:type="dxa"/>
            <w:vMerge/>
          </w:tcPr>
          <w:p w:rsidR="00F80803" w:rsidRPr="000644F2" w:rsidRDefault="00F80803" w:rsidP="00DE6297">
            <w:pPr>
              <w:pStyle w:val="NoSpacing"/>
            </w:pPr>
          </w:p>
        </w:tc>
        <w:tc>
          <w:tcPr>
            <w:tcW w:w="1215" w:type="dxa"/>
            <w:vMerge/>
          </w:tcPr>
          <w:p w:rsidR="00F80803" w:rsidRPr="000644F2" w:rsidRDefault="00F80803" w:rsidP="00DE6297">
            <w:pPr>
              <w:pStyle w:val="NoSpacing"/>
            </w:pPr>
          </w:p>
        </w:tc>
      </w:tr>
      <w:tr w:rsidR="00F80803" w:rsidTr="00DE6297">
        <w:tc>
          <w:tcPr>
            <w:tcW w:w="658" w:type="dxa"/>
          </w:tcPr>
          <w:p w:rsidR="00F80803" w:rsidRPr="000644F2" w:rsidRDefault="00F80803" w:rsidP="00DE6297">
            <w:pPr>
              <w:pStyle w:val="NoSpacing"/>
            </w:pPr>
            <w:r w:rsidRPr="000644F2">
              <w:t>Pair 1</w:t>
            </w:r>
          </w:p>
        </w:tc>
        <w:tc>
          <w:tcPr>
            <w:tcW w:w="1901" w:type="dxa"/>
          </w:tcPr>
          <w:p w:rsidR="00F80803" w:rsidRDefault="00F80803" w:rsidP="00DE6297">
            <w:pPr>
              <w:pStyle w:val="NoSpacing"/>
            </w:pPr>
            <w:r w:rsidRPr="000644F2">
              <w:t>Differentiation Strategy</w:t>
            </w:r>
            <w:r>
              <w:t>-</w:t>
            </w:r>
          </w:p>
          <w:p w:rsidR="00F80803" w:rsidRPr="000644F2" w:rsidRDefault="00F80803" w:rsidP="00DE6297">
            <w:pPr>
              <w:pStyle w:val="NoSpacing"/>
            </w:pPr>
            <w:r>
              <w:t>Focus strategy</w:t>
            </w:r>
          </w:p>
        </w:tc>
        <w:tc>
          <w:tcPr>
            <w:tcW w:w="1660" w:type="dxa"/>
          </w:tcPr>
          <w:p w:rsidR="00F80803" w:rsidRPr="000644F2" w:rsidRDefault="00F80803" w:rsidP="00DE6297">
            <w:pPr>
              <w:pStyle w:val="NoSpacing"/>
              <w:jc w:val="right"/>
            </w:pPr>
            <w:r>
              <w:t>-.67568</w:t>
            </w:r>
          </w:p>
        </w:tc>
        <w:tc>
          <w:tcPr>
            <w:tcW w:w="1276" w:type="dxa"/>
          </w:tcPr>
          <w:p w:rsidR="00F80803" w:rsidRPr="000644F2" w:rsidRDefault="00F80803" w:rsidP="00DE6297">
            <w:pPr>
              <w:pStyle w:val="NoSpacing"/>
              <w:jc w:val="right"/>
            </w:pPr>
            <w:r>
              <w:t>1.58209</w:t>
            </w:r>
          </w:p>
        </w:tc>
        <w:tc>
          <w:tcPr>
            <w:tcW w:w="854" w:type="dxa"/>
          </w:tcPr>
          <w:p w:rsidR="00F80803" w:rsidRPr="000644F2" w:rsidRDefault="00F80803" w:rsidP="00DE6297">
            <w:pPr>
              <w:pStyle w:val="NoSpacing"/>
              <w:jc w:val="right"/>
            </w:pPr>
            <w:r>
              <w:t>-2.598</w:t>
            </w:r>
          </w:p>
        </w:tc>
        <w:tc>
          <w:tcPr>
            <w:tcW w:w="1298" w:type="dxa"/>
          </w:tcPr>
          <w:p w:rsidR="00F80803" w:rsidRPr="000644F2" w:rsidRDefault="00F80803" w:rsidP="00DE6297">
            <w:pPr>
              <w:pStyle w:val="NoSpacing"/>
              <w:jc w:val="right"/>
            </w:pPr>
            <w:r w:rsidRPr="000644F2">
              <w:t>36</w:t>
            </w:r>
          </w:p>
        </w:tc>
        <w:tc>
          <w:tcPr>
            <w:tcW w:w="1215" w:type="dxa"/>
          </w:tcPr>
          <w:p w:rsidR="00F80803" w:rsidRPr="000644F2" w:rsidRDefault="00F80803" w:rsidP="00DE6297">
            <w:pPr>
              <w:pStyle w:val="NoSpacing"/>
              <w:jc w:val="right"/>
            </w:pPr>
            <w:r>
              <w:t>.014</w:t>
            </w:r>
          </w:p>
        </w:tc>
      </w:tr>
    </w:tbl>
    <w:p w:rsidR="00F80803" w:rsidRPr="00DE6297" w:rsidRDefault="00F80803" w:rsidP="00DE6297">
      <w:pPr>
        <w:pStyle w:val="NoSpacing"/>
        <w:rPr>
          <w:rFonts w:cs="Times New Roman"/>
          <w:sz w:val="20"/>
          <w:szCs w:val="20"/>
        </w:rPr>
      </w:pPr>
      <w:r w:rsidRPr="00DE6297">
        <w:rPr>
          <w:rFonts w:cs="Times New Roman"/>
          <w:sz w:val="20"/>
          <w:szCs w:val="20"/>
        </w:rPr>
        <w:t xml:space="preserve">Source: Author analysis in statistical program SPSS 20. </w:t>
      </w:r>
    </w:p>
    <w:p w:rsidR="00F80803" w:rsidRDefault="00B72F16" w:rsidP="00F80803">
      <w:pPr>
        <w:tabs>
          <w:tab w:val="left" w:pos="7290"/>
        </w:tabs>
        <w:rPr>
          <w:rFonts w:cs="Times New Roman"/>
        </w:rPr>
      </w:pPr>
      <w:r>
        <w:rPr>
          <w:rFonts w:cs="Times New Roman"/>
        </w:rPr>
        <w:t xml:space="preserve">            </w:t>
      </w:r>
      <w:r w:rsidR="00F80803">
        <w:rPr>
          <w:rFonts w:cs="Times New Roman"/>
        </w:rPr>
        <w:t>P = 0, 014 &lt; 0, 05, therefore it can be concluded that there is a significant statistic difference between the response of manager and owner regarding the Differentiation and Focus strategy, i.e. these strategies are not similar for managers and owners of production enterprises engaged in export and they differently influence on</w:t>
      </w:r>
      <w:r w:rsidR="00F80803" w:rsidRPr="000644F2">
        <w:rPr>
          <w:rFonts w:cs="Times New Roman"/>
        </w:rPr>
        <w:t xml:space="preserve"> </w:t>
      </w:r>
      <w:r w:rsidR="00F80803">
        <w:rPr>
          <w:rFonts w:cs="Times New Roman"/>
        </w:rPr>
        <w:t xml:space="preserve">increasing export policy of BH enterprises. </w:t>
      </w:r>
    </w:p>
    <w:p w:rsidR="00DE6297" w:rsidRDefault="00DE6297" w:rsidP="00DE6297">
      <w:pPr>
        <w:pStyle w:val="NoSpacing"/>
        <w:rPr>
          <w:rFonts w:cs="Times New Roman"/>
          <w:sz w:val="22"/>
          <w:szCs w:val="22"/>
        </w:rPr>
      </w:pPr>
    </w:p>
    <w:p w:rsidR="00F80803" w:rsidRPr="00DE6297" w:rsidRDefault="00F80803" w:rsidP="00DE6297">
      <w:pPr>
        <w:pStyle w:val="NoSpacing"/>
        <w:rPr>
          <w:rFonts w:cs="Times New Roman"/>
          <w:b/>
          <w:sz w:val="22"/>
          <w:szCs w:val="22"/>
        </w:rPr>
      </w:pPr>
      <w:r w:rsidRPr="00DE6297">
        <w:rPr>
          <w:rFonts w:cs="Times New Roman"/>
          <w:b/>
          <w:sz w:val="22"/>
          <w:szCs w:val="22"/>
        </w:rPr>
        <w:t xml:space="preserve">Table 9. </w:t>
      </w:r>
      <w:r w:rsidRPr="001F1F8D">
        <w:rPr>
          <w:rFonts w:cs="Times New Roman"/>
          <w:sz w:val="22"/>
          <w:szCs w:val="22"/>
        </w:rPr>
        <w:t>Rate which of the three possible generic strategies largely contributes to a better competitive position in the international market of enterprises engaged in the export of products from B</w:t>
      </w:r>
      <w:r w:rsidR="00AF20B7" w:rsidRPr="001F1F8D">
        <w:rPr>
          <w:rFonts w:cs="Times New Roman"/>
          <w:sz w:val="22"/>
          <w:szCs w:val="22"/>
        </w:rPr>
        <w:t>iH</w:t>
      </w:r>
    </w:p>
    <w:tbl>
      <w:tblPr>
        <w:tblStyle w:val="TableGrid"/>
        <w:tblW w:w="0" w:type="auto"/>
        <w:tblLook w:val="04A0"/>
      </w:tblPr>
      <w:tblGrid>
        <w:gridCol w:w="1144"/>
        <w:gridCol w:w="1507"/>
        <w:gridCol w:w="2159"/>
        <w:gridCol w:w="2201"/>
        <w:gridCol w:w="1851"/>
      </w:tblGrid>
      <w:tr w:rsidR="00F80803" w:rsidRPr="00DE6297" w:rsidTr="00DE6297">
        <w:trPr>
          <w:trHeight w:val="639"/>
        </w:trPr>
        <w:tc>
          <w:tcPr>
            <w:tcW w:w="2802" w:type="dxa"/>
            <w:gridSpan w:val="2"/>
          </w:tcPr>
          <w:p w:rsidR="00F80803" w:rsidRPr="00DE6297" w:rsidRDefault="00F80803" w:rsidP="00DE6297">
            <w:pPr>
              <w:pStyle w:val="NoSpacing"/>
              <w:rPr>
                <w:rFonts w:cs="Times New Roman"/>
              </w:rPr>
            </w:pPr>
          </w:p>
          <w:p w:rsidR="00F80803" w:rsidRPr="00DE6297" w:rsidRDefault="00F80803" w:rsidP="00DE6297">
            <w:pPr>
              <w:pStyle w:val="NoSpacing"/>
              <w:rPr>
                <w:rFonts w:cs="Times New Roman"/>
              </w:rPr>
            </w:pPr>
          </w:p>
        </w:tc>
        <w:tc>
          <w:tcPr>
            <w:tcW w:w="2268" w:type="dxa"/>
            <w:shd w:val="clear" w:color="auto" w:fill="DAEEF3" w:themeFill="accent5" w:themeFillTint="33"/>
          </w:tcPr>
          <w:p w:rsidR="00F80803" w:rsidRPr="00DE6297" w:rsidRDefault="00F80803" w:rsidP="00DE6297">
            <w:pPr>
              <w:pStyle w:val="NoSpacing"/>
              <w:jc w:val="center"/>
              <w:rPr>
                <w:rFonts w:cs="Times New Roman"/>
                <w:b/>
              </w:rPr>
            </w:pPr>
            <w:r w:rsidRPr="00DE6297">
              <w:rPr>
                <w:rFonts w:cs="Times New Roman"/>
                <w:b/>
              </w:rPr>
              <w:t>Cost leadership strategy</w:t>
            </w:r>
          </w:p>
        </w:tc>
        <w:tc>
          <w:tcPr>
            <w:tcW w:w="2268" w:type="dxa"/>
            <w:shd w:val="clear" w:color="auto" w:fill="DAEEF3" w:themeFill="accent5" w:themeFillTint="33"/>
          </w:tcPr>
          <w:p w:rsidR="00F80803" w:rsidRPr="00DE6297" w:rsidRDefault="00F80803" w:rsidP="00DE6297">
            <w:pPr>
              <w:pStyle w:val="NoSpacing"/>
              <w:jc w:val="center"/>
              <w:rPr>
                <w:rFonts w:cs="Times New Roman"/>
                <w:b/>
              </w:rPr>
            </w:pPr>
            <w:r w:rsidRPr="00DE6297">
              <w:rPr>
                <w:rFonts w:cs="Times New Roman"/>
                <w:b/>
              </w:rPr>
              <w:t>Differentiation strategy</w:t>
            </w:r>
          </w:p>
        </w:tc>
        <w:tc>
          <w:tcPr>
            <w:tcW w:w="1950" w:type="dxa"/>
            <w:shd w:val="clear" w:color="auto" w:fill="DAEEF3" w:themeFill="accent5" w:themeFillTint="33"/>
          </w:tcPr>
          <w:p w:rsidR="00F80803" w:rsidRPr="00DE6297" w:rsidRDefault="00F80803" w:rsidP="00DE6297">
            <w:pPr>
              <w:pStyle w:val="NoSpacing"/>
              <w:jc w:val="center"/>
              <w:rPr>
                <w:rFonts w:cs="Times New Roman"/>
                <w:b/>
              </w:rPr>
            </w:pPr>
            <w:r w:rsidRPr="00DE6297">
              <w:rPr>
                <w:rFonts w:cs="Times New Roman"/>
                <w:b/>
              </w:rPr>
              <w:t>Focus strategy</w:t>
            </w:r>
          </w:p>
        </w:tc>
      </w:tr>
      <w:tr w:rsidR="00F80803" w:rsidRPr="00DE6297" w:rsidTr="00223870">
        <w:tc>
          <w:tcPr>
            <w:tcW w:w="1230" w:type="dxa"/>
            <w:vMerge w:val="restart"/>
            <w:tcBorders>
              <w:right w:val="single" w:sz="4" w:space="0" w:color="auto"/>
            </w:tcBorders>
          </w:tcPr>
          <w:p w:rsidR="00F80803" w:rsidRPr="00DE6297" w:rsidRDefault="00F80803" w:rsidP="00DE6297">
            <w:pPr>
              <w:pStyle w:val="NoSpacing"/>
              <w:rPr>
                <w:rFonts w:cs="Times New Roman"/>
              </w:rPr>
            </w:pPr>
            <w:r w:rsidRPr="00DE6297">
              <w:rPr>
                <w:rFonts w:cs="Times New Roman"/>
              </w:rPr>
              <w:t>N</w:t>
            </w:r>
          </w:p>
        </w:tc>
        <w:tc>
          <w:tcPr>
            <w:tcW w:w="1572" w:type="dxa"/>
            <w:tcBorders>
              <w:left w:val="single" w:sz="4" w:space="0" w:color="auto"/>
            </w:tcBorders>
          </w:tcPr>
          <w:p w:rsidR="00F80803" w:rsidRPr="00DE6297" w:rsidRDefault="00F80803" w:rsidP="00DE6297">
            <w:pPr>
              <w:pStyle w:val="NoSpacing"/>
              <w:rPr>
                <w:rFonts w:cs="Times New Roman"/>
              </w:rPr>
            </w:pPr>
            <w:r w:rsidRPr="00DE6297">
              <w:rPr>
                <w:rFonts w:cs="Times New Roman"/>
              </w:rPr>
              <w:t>Valid</w:t>
            </w:r>
          </w:p>
        </w:tc>
        <w:tc>
          <w:tcPr>
            <w:tcW w:w="2268" w:type="dxa"/>
          </w:tcPr>
          <w:p w:rsidR="00F80803" w:rsidRPr="00DE6297" w:rsidRDefault="00F80803" w:rsidP="00DE6297">
            <w:pPr>
              <w:pStyle w:val="NoSpacing"/>
              <w:jc w:val="right"/>
              <w:rPr>
                <w:rFonts w:cs="Times New Roman"/>
              </w:rPr>
            </w:pPr>
            <w:r w:rsidRPr="00DE6297">
              <w:rPr>
                <w:rFonts w:cs="Times New Roman"/>
              </w:rPr>
              <w:t>37</w:t>
            </w:r>
          </w:p>
        </w:tc>
        <w:tc>
          <w:tcPr>
            <w:tcW w:w="2268" w:type="dxa"/>
          </w:tcPr>
          <w:p w:rsidR="00F80803" w:rsidRPr="00DE6297" w:rsidRDefault="00F80803" w:rsidP="00DE6297">
            <w:pPr>
              <w:pStyle w:val="NoSpacing"/>
              <w:jc w:val="right"/>
              <w:rPr>
                <w:rFonts w:cs="Times New Roman"/>
              </w:rPr>
            </w:pPr>
            <w:r w:rsidRPr="00DE6297">
              <w:rPr>
                <w:rFonts w:cs="Times New Roman"/>
              </w:rPr>
              <w:t>37</w:t>
            </w:r>
          </w:p>
        </w:tc>
        <w:tc>
          <w:tcPr>
            <w:tcW w:w="1950" w:type="dxa"/>
          </w:tcPr>
          <w:p w:rsidR="00F80803" w:rsidRPr="00DE6297" w:rsidRDefault="00F80803" w:rsidP="00DE6297">
            <w:pPr>
              <w:pStyle w:val="NoSpacing"/>
              <w:jc w:val="right"/>
              <w:rPr>
                <w:rFonts w:cs="Times New Roman"/>
              </w:rPr>
            </w:pPr>
            <w:r w:rsidRPr="00DE6297">
              <w:rPr>
                <w:rFonts w:cs="Times New Roman"/>
              </w:rPr>
              <w:t>37</w:t>
            </w:r>
          </w:p>
        </w:tc>
      </w:tr>
      <w:tr w:rsidR="00F80803" w:rsidRPr="00DE6297" w:rsidTr="00223870">
        <w:tc>
          <w:tcPr>
            <w:tcW w:w="1230" w:type="dxa"/>
            <w:vMerge/>
            <w:tcBorders>
              <w:right w:val="single" w:sz="4" w:space="0" w:color="auto"/>
            </w:tcBorders>
          </w:tcPr>
          <w:p w:rsidR="00F80803" w:rsidRPr="00DE6297" w:rsidRDefault="00F80803" w:rsidP="00DE6297">
            <w:pPr>
              <w:pStyle w:val="NoSpacing"/>
              <w:rPr>
                <w:rFonts w:cs="Times New Roman"/>
              </w:rPr>
            </w:pPr>
          </w:p>
        </w:tc>
        <w:tc>
          <w:tcPr>
            <w:tcW w:w="1572" w:type="dxa"/>
            <w:tcBorders>
              <w:left w:val="single" w:sz="4" w:space="0" w:color="auto"/>
            </w:tcBorders>
          </w:tcPr>
          <w:p w:rsidR="00F80803" w:rsidRPr="00DE6297" w:rsidRDefault="00F80803" w:rsidP="00DE6297">
            <w:pPr>
              <w:pStyle w:val="NoSpacing"/>
              <w:rPr>
                <w:rFonts w:cs="Times New Roman"/>
              </w:rPr>
            </w:pPr>
            <w:r w:rsidRPr="00DE6297">
              <w:rPr>
                <w:rFonts w:cs="Times New Roman"/>
              </w:rPr>
              <w:t>Missing</w:t>
            </w:r>
          </w:p>
        </w:tc>
        <w:tc>
          <w:tcPr>
            <w:tcW w:w="2268" w:type="dxa"/>
          </w:tcPr>
          <w:p w:rsidR="00F80803" w:rsidRPr="00DE6297" w:rsidRDefault="00F80803" w:rsidP="00DE6297">
            <w:pPr>
              <w:pStyle w:val="NoSpacing"/>
              <w:jc w:val="right"/>
              <w:rPr>
                <w:rFonts w:cs="Times New Roman"/>
              </w:rPr>
            </w:pPr>
            <w:r w:rsidRPr="00DE6297">
              <w:rPr>
                <w:rFonts w:cs="Times New Roman"/>
              </w:rPr>
              <w:t>0</w:t>
            </w:r>
          </w:p>
        </w:tc>
        <w:tc>
          <w:tcPr>
            <w:tcW w:w="2268" w:type="dxa"/>
          </w:tcPr>
          <w:p w:rsidR="00F80803" w:rsidRPr="00DE6297" w:rsidRDefault="00F80803" w:rsidP="00DE6297">
            <w:pPr>
              <w:pStyle w:val="NoSpacing"/>
              <w:jc w:val="right"/>
              <w:rPr>
                <w:rFonts w:cs="Times New Roman"/>
              </w:rPr>
            </w:pPr>
            <w:r w:rsidRPr="00DE6297">
              <w:rPr>
                <w:rFonts w:cs="Times New Roman"/>
              </w:rPr>
              <w:t>0</w:t>
            </w:r>
          </w:p>
        </w:tc>
        <w:tc>
          <w:tcPr>
            <w:tcW w:w="1950" w:type="dxa"/>
          </w:tcPr>
          <w:p w:rsidR="00F80803" w:rsidRPr="00DE6297" w:rsidRDefault="00F80803" w:rsidP="00DE6297">
            <w:pPr>
              <w:pStyle w:val="NoSpacing"/>
              <w:jc w:val="right"/>
              <w:rPr>
                <w:rFonts w:cs="Times New Roman"/>
              </w:rPr>
            </w:pPr>
            <w:r w:rsidRPr="00DE6297">
              <w:rPr>
                <w:rFonts w:cs="Times New Roman"/>
              </w:rPr>
              <w:t>0</w:t>
            </w:r>
          </w:p>
        </w:tc>
      </w:tr>
      <w:tr w:rsidR="00F80803" w:rsidRPr="00DE6297" w:rsidTr="00DE6297">
        <w:tc>
          <w:tcPr>
            <w:tcW w:w="2802" w:type="dxa"/>
            <w:gridSpan w:val="2"/>
            <w:shd w:val="clear" w:color="auto" w:fill="DAEEF3" w:themeFill="accent5" w:themeFillTint="33"/>
          </w:tcPr>
          <w:p w:rsidR="00F80803" w:rsidRPr="00DE6297" w:rsidRDefault="00F80803" w:rsidP="00DE6297">
            <w:pPr>
              <w:pStyle w:val="NoSpacing"/>
              <w:rPr>
                <w:rFonts w:cs="Times New Roman"/>
                <w:b/>
              </w:rPr>
            </w:pPr>
            <w:r w:rsidRPr="00DE6297">
              <w:rPr>
                <w:rFonts w:cs="Times New Roman"/>
                <w:b/>
              </w:rPr>
              <w:t>Arithmetic mean</w:t>
            </w:r>
          </w:p>
        </w:tc>
        <w:tc>
          <w:tcPr>
            <w:tcW w:w="2268" w:type="dxa"/>
          </w:tcPr>
          <w:p w:rsidR="00F80803" w:rsidRPr="00DE6297" w:rsidRDefault="00F80803" w:rsidP="00DE6297">
            <w:pPr>
              <w:pStyle w:val="NoSpacing"/>
              <w:jc w:val="right"/>
              <w:rPr>
                <w:rFonts w:cs="Times New Roman"/>
              </w:rPr>
            </w:pPr>
            <w:r w:rsidRPr="00DE6297">
              <w:rPr>
                <w:rFonts w:cs="Times New Roman"/>
              </w:rPr>
              <w:t>4.3784</w:t>
            </w:r>
          </w:p>
        </w:tc>
        <w:tc>
          <w:tcPr>
            <w:tcW w:w="2268" w:type="dxa"/>
          </w:tcPr>
          <w:p w:rsidR="00F80803" w:rsidRPr="00DE6297" w:rsidRDefault="00F80803" w:rsidP="00DE6297">
            <w:pPr>
              <w:pStyle w:val="NoSpacing"/>
              <w:jc w:val="right"/>
              <w:rPr>
                <w:rFonts w:cs="Times New Roman"/>
              </w:rPr>
            </w:pPr>
            <w:r w:rsidRPr="00DE6297">
              <w:rPr>
                <w:rFonts w:cs="Times New Roman"/>
              </w:rPr>
              <w:t>2.4865</w:t>
            </w:r>
          </w:p>
        </w:tc>
        <w:tc>
          <w:tcPr>
            <w:tcW w:w="1950" w:type="dxa"/>
          </w:tcPr>
          <w:p w:rsidR="00F80803" w:rsidRPr="00DE6297" w:rsidRDefault="00F80803" w:rsidP="00DE6297">
            <w:pPr>
              <w:pStyle w:val="NoSpacing"/>
              <w:jc w:val="right"/>
              <w:rPr>
                <w:rFonts w:cs="Times New Roman"/>
              </w:rPr>
            </w:pPr>
            <w:r w:rsidRPr="00DE6297">
              <w:rPr>
                <w:rFonts w:cs="Times New Roman"/>
              </w:rPr>
              <w:t>3.8108</w:t>
            </w:r>
          </w:p>
        </w:tc>
      </w:tr>
      <w:tr w:rsidR="00F80803" w:rsidRPr="00DE6297" w:rsidTr="00DE6297">
        <w:tc>
          <w:tcPr>
            <w:tcW w:w="2802" w:type="dxa"/>
            <w:gridSpan w:val="2"/>
            <w:shd w:val="clear" w:color="auto" w:fill="DAEEF3" w:themeFill="accent5" w:themeFillTint="33"/>
          </w:tcPr>
          <w:p w:rsidR="00F80803" w:rsidRPr="00DE6297" w:rsidRDefault="00F80803" w:rsidP="00DE6297">
            <w:pPr>
              <w:pStyle w:val="NoSpacing"/>
              <w:rPr>
                <w:rFonts w:cs="Times New Roman"/>
                <w:b/>
              </w:rPr>
            </w:pPr>
            <w:r w:rsidRPr="00DE6297">
              <w:rPr>
                <w:rFonts w:cs="Times New Roman"/>
                <w:b/>
              </w:rPr>
              <w:t>Median</w:t>
            </w:r>
          </w:p>
        </w:tc>
        <w:tc>
          <w:tcPr>
            <w:tcW w:w="2268" w:type="dxa"/>
          </w:tcPr>
          <w:p w:rsidR="00F80803" w:rsidRPr="00DE6297" w:rsidRDefault="00F80803" w:rsidP="00DE6297">
            <w:pPr>
              <w:pStyle w:val="NoSpacing"/>
              <w:jc w:val="right"/>
              <w:rPr>
                <w:rFonts w:cs="Times New Roman"/>
              </w:rPr>
            </w:pPr>
            <w:r w:rsidRPr="00DE6297">
              <w:rPr>
                <w:rFonts w:cs="Times New Roman"/>
              </w:rPr>
              <w:t>4.0000</w:t>
            </w:r>
          </w:p>
        </w:tc>
        <w:tc>
          <w:tcPr>
            <w:tcW w:w="2268" w:type="dxa"/>
          </w:tcPr>
          <w:p w:rsidR="00F80803" w:rsidRPr="00DE6297" w:rsidRDefault="00F80803" w:rsidP="00DE6297">
            <w:pPr>
              <w:pStyle w:val="NoSpacing"/>
              <w:jc w:val="right"/>
              <w:rPr>
                <w:rFonts w:cs="Times New Roman"/>
              </w:rPr>
            </w:pPr>
            <w:r w:rsidRPr="00DE6297">
              <w:rPr>
                <w:rFonts w:cs="Times New Roman"/>
              </w:rPr>
              <w:t>2.0000</w:t>
            </w:r>
          </w:p>
        </w:tc>
        <w:tc>
          <w:tcPr>
            <w:tcW w:w="1950" w:type="dxa"/>
          </w:tcPr>
          <w:p w:rsidR="00F80803" w:rsidRPr="00DE6297" w:rsidRDefault="00F80803" w:rsidP="00DE6297">
            <w:pPr>
              <w:pStyle w:val="NoSpacing"/>
              <w:jc w:val="right"/>
              <w:rPr>
                <w:rFonts w:cs="Times New Roman"/>
              </w:rPr>
            </w:pPr>
            <w:r w:rsidRPr="00DE6297">
              <w:rPr>
                <w:rFonts w:cs="Times New Roman"/>
              </w:rPr>
              <w:t>4.000</w:t>
            </w:r>
          </w:p>
        </w:tc>
      </w:tr>
      <w:tr w:rsidR="00F80803" w:rsidRPr="00DE6297" w:rsidTr="00DE6297">
        <w:tc>
          <w:tcPr>
            <w:tcW w:w="2802" w:type="dxa"/>
            <w:gridSpan w:val="2"/>
            <w:shd w:val="clear" w:color="auto" w:fill="DAEEF3" w:themeFill="accent5" w:themeFillTint="33"/>
          </w:tcPr>
          <w:p w:rsidR="00F80803" w:rsidRPr="00DE6297" w:rsidRDefault="00F80803" w:rsidP="00DE6297">
            <w:pPr>
              <w:pStyle w:val="NoSpacing"/>
              <w:rPr>
                <w:rFonts w:cs="Times New Roman"/>
                <w:b/>
              </w:rPr>
            </w:pPr>
            <w:r w:rsidRPr="00DE6297">
              <w:rPr>
                <w:rFonts w:cs="Times New Roman"/>
                <w:b/>
              </w:rPr>
              <w:t>Mode</w:t>
            </w:r>
          </w:p>
        </w:tc>
        <w:tc>
          <w:tcPr>
            <w:tcW w:w="2268" w:type="dxa"/>
          </w:tcPr>
          <w:p w:rsidR="00F80803" w:rsidRPr="00DE6297" w:rsidRDefault="00F80803" w:rsidP="00DE6297">
            <w:pPr>
              <w:pStyle w:val="NoSpacing"/>
              <w:jc w:val="right"/>
              <w:rPr>
                <w:rFonts w:cs="Times New Roman"/>
              </w:rPr>
            </w:pPr>
            <w:r w:rsidRPr="00DE6297">
              <w:rPr>
                <w:rFonts w:cs="Times New Roman"/>
              </w:rPr>
              <w:t>5.00</w:t>
            </w:r>
          </w:p>
        </w:tc>
        <w:tc>
          <w:tcPr>
            <w:tcW w:w="2268" w:type="dxa"/>
          </w:tcPr>
          <w:p w:rsidR="00F80803" w:rsidRPr="00DE6297" w:rsidRDefault="00F80803" w:rsidP="00DE6297">
            <w:pPr>
              <w:pStyle w:val="NoSpacing"/>
              <w:jc w:val="right"/>
              <w:rPr>
                <w:rFonts w:cs="Times New Roman"/>
              </w:rPr>
            </w:pPr>
            <w:r w:rsidRPr="00DE6297">
              <w:rPr>
                <w:rFonts w:cs="Times New Roman"/>
              </w:rPr>
              <w:t>2.00</w:t>
            </w:r>
          </w:p>
        </w:tc>
        <w:tc>
          <w:tcPr>
            <w:tcW w:w="1950" w:type="dxa"/>
          </w:tcPr>
          <w:p w:rsidR="00F80803" w:rsidRPr="00DE6297" w:rsidRDefault="00F80803" w:rsidP="00DE6297">
            <w:pPr>
              <w:pStyle w:val="NoSpacing"/>
              <w:jc w:val="right"/>
              <w:rPr>
                <w:rFonts w:cs="Times New Roman"/>
              </w:rPr>
            </w:pPr>
            <w:r w:rsidRPr="00DE6297">
              <w:rPr>
                <w:rFonts w:cs="Times New Roman"/>
              </w:rPr>
              <w:t>4.00</w:t>
            </w:r>
          </w:p>
        </w:tc>
      </w:tr>
      <w:tr w:rsidR="00F80803" w:rsidRPr="00DE6297" w:rsidTr="00DE6297">
        <w:tc>
          <w:tcPr>
            <w:tcW w:w="2802" w:type="dxa"/>
            <w:gridSpan w:val="2"/>
            <w:shd w:val="clear" w:color="auto" w:fill="DAEEF3" w:themeFill="accent5" w:themeFillTint="33"/>
          </w:tcPr>
          <w:p w:rsidR="00F80803" w:rsidRPr="00DE6297" w:rsidRDefault="00F80803" w:rsidP="00DE6297">
            <w:pPr>
              <w:pStyle w:val="NoSpacing"/>
              <w:rPr>
                <w:rFonts w:cs="Times New Roman"/>
                <w:b/>
              </w:rPr>
            </w:pPr>
            <w:r w:rsidRPr="00DE6297">
              <w:rPr>
                <w:rFonts w:cs="Times New Roman"/>
                <w:b/>
              </w:rPr>
              <w:t xml:space="preserve">Standard deviations </w:t>
            </w:r>
          </w:p>
        </w:tc>
        <w:tc>
          <w:tcPr>
            <w:tcW w:w="2268" w:type="dxa"/>
          </w:tcPr>
          <w:p w:rsidR="00F80803" w:rsidRPr="00DE6297" w:rsidRDefault="00F80803" w:rsidP="00DE6297">
            <w:pPr>
              <w:pStyle w:val="NoSpacing"/>
              <w:jc w:val="right"/>
              <w:rPr>
                <w:rFonts w:cs="Times New Roman"/>
              </w:rPr>
            </w:pPr>
            <w:r w:rsidRPr="00DE6297">
              <w:rPr>
                <w:rFonts w:cs="Times New Roman"/>
              </w:rPr>
              <w:t>.68115</w:t>
            </w:r>
          </w:p>
        </w:tc>
        <w:tc>
          <w:tcPr>
            <w:tcW w:w="2268" w:type="dxa"/>
          </w:tcPr>
          <w:p w:rsidR="00F80803" w:rsidRPr="00DE6297" w:rsidRDefault="00F80803" w:rsidP="00DE6297">
            <w:pPr>
              <w:pStyle w:val="NoSpacing"/>
              <w:jc w:val="right"/>
              <w:rPr>
                <w:rFonts w:cs="Times New Roman"/>
              </w:rPr>
            </w:pPr>
            <w:r w:rsidRPr="00DE6297">
              <w:rPr>
                <w:rFonts w:cs="Times New Roman"/>
              </w:rPr>
              <w:t>1.16956</w:t>
            </w:r>
          </w:p>
        </w:tc>
        <w:tc>
          <w:tcPr>
            <w:tcW w:w="1950" w:type="dxa"/>
          </w:tcPr>
          <w:p w:rsidR="00F80803" w:rsidRPr="00DE6297" w:rsidRDefault="00F80803" w:rsidP="00DE6297">
            <w:pPr>
              <w:pStyle w:val="NoSpacing"/>
              <w:jc w:val="right"/>
              <w:rPr>
                <w:rFonts w:cs="Times New Roman"/>
              </w:rPr>
            </w:pPr>
            <w:r w:rsidRPr="00DE6297">
              <w:rPr>
                <w:rFonts w:cs="Times New Roman"/>
              </w:rPr>
              <w:t>.84452</w:t>
            </w:r>
          </w:p>
        </w:tc>
      </w:tr>
      <w:tr w:rsidR="00F80803" w:rsidRPr="00DE6297" w:rsidTr="00DE6297">
        <w:tc>
          <w:tcPr>
            <w:tcW w:w="2802" w:type="dxa"/>
            <w:gridSpan w:val="2"/>
            <w:shd w:val="clear" w:color="auto" w:fill="DAEEF3" w:themeFill="accent5" w:themeFillTint="33"/>
          </w:tcPr>
          <w:p w:rsidR="00F80803" w:rsidRPr="00DE6297" w:rsidRDefault="00F80803" w:rsidP="00DE6297">
            <w:pPr>
              <w:pStyle w:val="NoSpacing"/>
              <w:rPr>
                <w:rFonts w:cs="Times New Roman"/>
                <w:b/>
              </w:rPr>
            </w:pPr>
            <w:r w:rsidRPr="00DE6297">
              <w:rPr>
                <w:rFonts w:cs="Times New Roman"/>
                <w:b/>
              </w:rPr>
              <w:t>Minimum</w:t>
            </w:r>
          </w:p>
        </w:tc>
        <w:tc>
          <w:tcPr>
            <w:tcW w:w="2268" w:type="dxa"/>
          </w:tcPr>
          <w:p w:rsidR="00F80803" w:rsidRPr="00DE6297" w:rsidRDefault="00F80803" w:rsidP="00DE6297">
            <w:pPr>
              <w:pStyle w:val="NoSpacing"/>
              <w:jc w:val="right"/>
              <w:rPr>
                <w:rFonts w:cs="Times New Roman"/>
              </w:rPr>
            </w:pPr>
            <w:r w:rsidRPr="00DE6297">
              <w:rPr>
                <w:rFonts w:cs="Times New Roman"/>
              </w:rPr>
              <w:t>2.00</w:t>
            </w:r>
          </w:p>
        </w:tc>
        <w:tc>
          <w:tcPr>
            <w:tcW w:w="2268" w:type="dxa"/>
          </w:tcPr>
          <w:p w:rsidR="00F80803" w:rsidRPr="00DE6297" w:rsidRDefault="00F80803" w:rsidP="00DE6297">
            <w:pPr>
              <w:pStyle w:val="NoSpacing"/>
              <w:jc w:val="right"/>
              <w:rPr>
                <w:rFonts w:cs="Times New Roman"/>
              </w:rPr>
            </w:pPr>
            <w:r w:rsidRPr="00DE6297">
              <w:rPr>
                <w:rFonts w:cs="Times New Roman"/>
              </w:rPr>
              <w:t>4.00</w:t>
            </w:r>
          </w:p>
        </w:tc>
        <w:tc>
          <w:tcPr>
            <w:tcW w:w="1950" w:type="dxa"/>
          </w:tcPr>
          <w:p w:rsidR="00F80803" w:rsidRPr="00DE6297" w:rsidRDefault="00F80803" w:rsidP="00DE6297">
            <w:pPr>
              <w:pStyle w:val="NoSpacing"/>
              <w:jc w:val="right"/>
              <w:rPr>
                <w:rFonts w:cs="Times New Roman"/>
              </w:rPr>
            </w:pPr>
            <w:r w:rsidRPr="00DE6297">
              <w:rPr>
                <w:rFonts w:cs="Times New Roman"/>
              </w:rPr>
              <w:t>4.00</w:t>
            </w:r>
          </w:p>
        </w:tc>
      </w:tr>
      <w:tr w:rsidR="00F80803" w:rsidRPr="00DE6297" w:rsidTr="00DE6297">
        <w:tc>
          <w:tcPr>
            <w:tcW w:w="2802" w:type="dxa"/>
            <w:gridSpan w:val="2"/>
            <w:shd w:val="clear" w:color="auto" w:fill="DAEEF3" w:themeFill="accent5" w:themeFillTint="33"/>
          </w:tcPr>
          <w:p w:rsidR="00F80803" w:rsidRPr="00DE6297" w:rsidRDefault="00F80803" w:rsidP="00DE6297">
            <w:pPr>
              <w:pStyle w:val="NoSpacing"/>
              <w:rPr>
                <w:rFonts w:cs="Times New Roman"/>
                <w:b/>
              </w:rPr>
            </w:pPr>
            <w:r w:rsidRPr="00DE6297">
              <w:rPr>
                <w:rFonts w:cs="Times New Roman"/>
                <w:b/>
              </w:rPr>
              <w:t>Maximum</w:t>
            </w:r>
          </w:p>
        </w:tc>
        <w:tc>
          <w:tcPr>
            <w:tcW w:w="2268" w:type="dxa"/>
          </w:tcPr>
          <w:p w:rsidR="00F80803" w:rsidRPr="00DE6297" w:rsidRDefault="00F80803" w:rsidP="00DE6297">
            <w:pPr>
              <w:pStyle w:val="NoSpacing"/>
              <w:jc w:val="right"/>
              <w:rPr>
                <w:rFonts w:cs="Times New Roman"/>
              </w:rPr>
            </w:pPr>
            <w:r w:rsidRPr="00DE6297">
              <w:rPr>
                <w:rFonts w:cs="Times New Roman"/>
              </w:rPr>
              <w:t>3.00</w:t>
            </w:r>
          </w:p>
        </w:tc>
        <w:tc>
          <w:tcPr>
            <w:tcW w:w="2268" w:type="dxa"/>
          </w:tcPr>
          <w:p w:rsidR="00F80803" w:rsidRPr="00DE6297" w:rsidRDefault="00F80803" w:rsidP="00DE6297">
            <w:pPr>
              <w:pStyle w:val="NoSpacing"/>
              <w:jc w:val="right"/>
              <w:rPr>
                <w:rFonts w:cs="Times New Roman"/>
              </w:rPr>
            </w:pPr>
            <w:r w:rsidRPr="00DE6297">
              <w:rPr>
                <w:rFonts w:cs="Times New Roman"/>
              </w:rPr>
              <w:t>1.00</w:t>
            </w:r>
          </w:p>
        </w:tc>
        <w:tc>
          <w:tcPr>
            <w:tcW w:w="1950" w:type="dxa"/>
          </w:tcPr>
          <w:p w:rsidR="00F80803" w:rsidRPr="00DE6297" w:rsidRDefault="00F80803" w:rsidP="00DE6297">
            <w:pPr>
              <w:pStyle w:val="NoSpacing"/>
              <w:jc w:val="right"/>
              <w:rPr>
                <w:rFonts w:cs="Times New Roman"/>
              </w:rPr>
            </w:pPr>
            <w:r w:rsidRPr="00DE6297">
              <w:rPr>
                <w:rFonts w:cs="Times New Roman"/>
              </w:rPr>
              <w:t>1.00</w:t>
            </w:r>
          </w:p>
        </w:tc>
      </w:tr>
      <w:tr w:rsidR="00F80803" w:rsidRPr="00DE6297" w:rsidTr="00DE6297">
        <w:tc>
          <w:tcPr>
            <w:tcW w:w="2802" w:type="dxa"/>
            <w:gridSpan w:val="2"/>
            <w:shd w:val="clear" w:color="auto" w:fill="DAEEF3" w:themeFill="accent5" w:themeFillTint="33"/>
          </w:tcPr>
          <w:p w:rsidR="00F80803" w:rsidRPr="00DE6297" w:rsidRDefault="00F80803" w:rsidP="00DE6297">
            <w:pPr>
              <w:pStyle w:val="NoSpacing"/>
              <w:rPr>
                <w:rFonts w:cs="Times New Roman"/>
                <w:b/>
              </w:rPr>
            </w:pPr>
            <w:r w:rsidRPr="00DE6297">
              <w:rPr>
                <w:rFonts w:cs="Times New Roman"/>
                <w:b/>
              </w:rPr>
              <w:t>Coefficient of variation</w:t>
            </w:r>
          </w:p>
        </w:tc>
        <w:tc>
          <w:tcPr>
            <w:tcW w:w="2268" w:type="dxa"/>
          </w:tcPr>
          <w:p w:rsidR="00F80803" w:rsidRPr="00DE6297" w:rsidRDefault="00F80803" w:rsidP="00DE6297">
            <w:pPr>
              <w:pStyle w:val="NoSpacing"/>
              <w:jc w:val="right"/>
              <w:rPr>
                <w:rFonts w:cs="Times New Roman"/>
              </w:rPr>
            </w:pPr>
            <w:r w:rsidRPr="00DE6297">
              <w:rPr>
                <w:rFonts w:cs="Times New Roman"/>
              </w:rPr>
              <w:t>5.00</w:t>
            </w:r>
          </w:p>
        </w:tc>
        <w:tc>
          <w:tcPr>
            <w:tcW w:w="2268" w:type="dxa"/>
          </w:tcPr>
          <w:p w:rsidR="00F80803" w:rsidRPr="00DE6297" w:rsidRDefault="00F80803" w:rsidP="00DE6297">
            <w:pPr>
              <w:pStyle w:val="NoSpacing"/>
              <w:jc w:val="right"/>
              <w:rPr>
                <w:rFonts w:cs="Times New Roman"/>
              </w:rPr>
            </w:pPr>
            <w:r w:rsidRPr="00DE6297">
              <w:rPr>
                <w:rFonts w:cs="Times New Roman"/>
              </w:rPr>
              <w:t>5.00</w:t>
            </w:r>
          </w:p>
        </w:tc>
        <w:tc>
          <w:tcPr>
            <w:tcW w:w="1950" w:type="dxa"/>
          </w:tcPr>
          <w:p w:rsidR="00F80803" w:rsidRPr="00DE6297" w:rsidRDefault="00F80803" w:rsidP="00DE6297">
            <w:pPr>
              <w:pStyle w:val="NoSpacing"/>
              <w:jc w:val="right"/>
              <w:rPr>
                <w:rFonts w:cs="Times New Roman"/>
              </w:rPr>
            </w:pPr>
            <w:r w:rsidRPr="00DE6297">
              <w:rPr>
                <w:rFonts w:cs="Times New Roman"/>
              </w:rPr>
              <w:t>5.00</w:t>
            </w:r>
          </w:p>
        </w:tc>
      </w:tr>
      <w:tr w:rsidR="00F80803" w:rsidRPr="00DE6297" w:rsidTr="00DE6297">
        <w:tc>
          <w:tcPr>
            <w:tcW w:w="2802" w:type="dxa"/>
            <w:gridSpan w:val="2"/>
            <w:shd w:val="clear" w:color="auto" w:fill="DAEEF3" w:themeFill="accent5" w:themeFillTint="33"/>
          </w:tcPr>
          <w:p w:rsidR="00F80803" w:rsidRPr="00DE6297" w:rsidRDefault="00F80803" w:rsidP="00DE6297">
            <w:pPr>
              <w:pStyle w:val="NoSpacing"/>
              <w:rPr>
                <w:rFonts w:cs="Times New Roman"/>
                <w:b/>
              </w:rPr>
            </w:pPr>
            <w:r w:rsidRPr="00DE6297">
              <w:rPr>
                <w:rFonts w:cs="Times New Roman"/>
                <w:b/>
              </w:rPr>
              <w:t>Arithmetic mean</w:t>
            </w:r>
          </w:p>
        </w:tc>
        <w:tc>
          <w:tcPr>
            <w:tcW w:w="2268" w:type="dxa"/>
          </w:tcPr>
          <w:p w:rsidR="00F80803" w:rsidRPr="00DE6297" w:rsidRDefault="00F80803" w:rsidP="00DE6297">
            <w:pPr>
              <w:pStyle w:val="NoSpacing"/>
              <w:jc w:val="right"/>
              <w:rPr>
                <w:rFonts w:cs="Times New Roman"/>
              </w:rPr>
            </w:pPr>
            <w:r w:rsidRPr="00DE6297">
              <w:rPr>
                <w:rFonts w:cs="Times New Roman"/>
              </w:rPr>
              <w:t>0, 15</w:t>
            </w:r>
          </w:p>
        </w:tc>
        <w:tc>
          <w:tcPr>
            <w:tcW w:w="2268" w:type="dxa"/>
          </w:tcPr>
          <w:p w:rsidR="00F80803" w:rsidRPr="00DE6297" w:rsidRDefault="00F80803" w:rsidP="00DE6297">
            <w:pPr>
              <w:pStyle w:val="NoSpacing"/>
              <w:jc w:val="right"/>
              <w:rPr>
                <w:rFonts w:cs="Times New Roman"/>
              </w:rPr>
            </w:pPr>
            <w:r w:rsidRPr="00DE6297">
              <w:rPr>
                <w:rFonts w:cs="Times New Roman"/>
              </w:rPr>
              <w:t>0, 46</w:t>
            </w:r>
          </w:p>
        </w:tc>
        <w:tc>
          <w:tcPr>
            <w:tcW w:w="1950" w:type="dxa"/>
          </w:tcPr>
          <w:p w:rsidR="00F80803" w:rsidRPr="00DE6297" w:rsidRDefault="00F80803" w:rsidP="00DE6297">
            <w:pPr>
              <w:pStyle w:val="NoSpacing"/>
              <w:jc w:val="right"/>
              <w:rPr>
                <w:rFonts w:cs="Times New Roman"/>
              </w:rPr>
            </w:pPr>
            <w:r w:rsidRPr="00DE6297">
              <w:rPr>
                <w:rFonts w:cs="Times New Roman"/>
              </w:rPr>
              <w:t>0,22</w:t>
            </w:r>
          </w:p>
        </w:tc>
      </w:tr>
    </w:tbl>
    <w:p w:rsidR="00F80803" w:rsidRPr="00DE6297" w:rsidRDefault="00F80803" w:rsidP="00DE6297">
      <w:pPr>
        <w:pStyle w:val="NoSpacing"/>
        <w:rPr>
          <w:rFonts w:cs="Times New Roman"/>
          <w:sz w:val="20"/>
          <w:szCs w:val="20"/>
        </w:rPr>
      </w:pPr>
      <w:r w:rsidRPr="00DE6297">
        <w:rPr>
          <w:rFonts w:cs="Times New Roman"/>
          <w:sz w:val="20"/>
          <w:szCs w:val="20"/>
        </w:rPr>
        <w:t xml:space="preserve">Source: Author analysis in statistical program SPSS 20. </w:t>
      </w:r>
    </w:p>
    <w:p w:rsidR="00F80803" w:rsidRDefault="00F80803" w:rsidP="00DE6297">
      <w:pPr>
        <w:pStyle w:val="NoSpacing"/>
        <w:rPr>
          <w:rFonts w:cs="Times New Roman"/>
          <w:sz w:val="22"/>
          <w:szCs w:val="22"/>
        </w:rPr>
      </w:pPr>
    </w:p>
    <w:p w:rsidR="00F80803" w:rsidRPr="008121E3" w:rsidRDefault="00F80803" w:rsidP="008121E3">
      <w:pPr>
        <w:pStyle w:val="NoSpacing"/>
        <w:ind w:firstLine="720"/>
      </w:pPr>
      <w:r>
        <w:t xml:space="preserve">Analysing data collected it </w:t>
      </w:r>
      <w:r w:rsidRPr="00B62B7A">
        <w:t xml:space="preserve">can </w:t>
      </w:r>
      <w:r>
        <w:t xml:space="preserve">be </w:t>
      </w:r>
      <w:r w:rsidRPr="00B62B7A">
        <w:t>conclude</w:t>
      </w:r>
      <w:r>
        <w:t>d</w:t>
      </w:r>
      <w:r w:rsidRPr="00B62B7A">
        <w:t xml:space="preserve"> that </w:t>
      </w:r>
      <w:r>
        <w:t xml:space="preserve">participants largely use Cost leadership strategy which </w:t>
      </w:r>
      <w:r w:rsidRPr="008B72AB">
        <w:t>contributes to a better competitiv</w:t>
      </w:r>
      <w:r>
        <w:t xml:space="preserve">e position in the international market. The average survey response rate was 4,3784, therefore, participants strongly agree that Cost leadership strategy </w:t>
      </w:r>
      <w:r w:rsidRPr="008B72AB">
        <w:t>contributes to a better competitive position in the international market of enterprises engaged in the export of products from Bosnia and Herzegovina</w:t>
      </w:r>
      <w:r>
        <w:t>. In addition, this attitude is confirmed by mode as</w:t>
      </w:r>
      <w:r w:rsidRPr="000163E9">
        <w:t xml:space="preserve"> </w:t>
      </w:r>
      <w:r>
        <w:t>the most common response rate, which is 5 – strongly contributes. Standard deviation of arithmetic mean is 0,68115, a minor deviation and has not got negative effect on the result obtained, as well as coefficient of variation which shows that this</w:t>
      </w:r>
      <w:r w:rsidRPr="00861F6E">
        <w:t xml:space="preserve"> is a very homogeneous group response.</w:t>
      </w:r>
      <w:r w:rsidR="00DE6297">
        <w:tab/>
      </w:r>
      <w:r>
        <w:rPr>
          <w:rFonts w:cs="Times New Roman"/>
        </w:rPr>
        <w:t xml:space="preserve">Participants agree to a small extent that Differentiation strategy is contributing </w:t>
      </w:r>
      <w:r w:rsidRPr="008B72AB">
        <w:rPr>
          <w:rFonts w:cs="Times New Roman"/>
        </w:rPr>
        <w:t>to a better competitiv</w:t>
      </w:r>
      <w:r>
        <w:rPr>
          <w:rFonts w:cs="Times New Roman"/>
        </w:rPr>
        <w:t>e position in the international market The average survey response rate is, just, 2,4865. Considering the small sample (under 50 participants), it is preferable to find mode as well, which, in this case,  confirms the arithmetic mean, which is 2 – strongly not contributes. Standard deviation is 1, 16956,</w:t>
      </w:r>
      <w:r w:rsidRPr="003E534D">
        <w:rPr>
          <w:rFonts w:cs="Times New Roman"/>
        </w:rPr>
        <w:t xml:space="preserve"> </w:t>
      </w:r>
      <w:r>
        <w:rPr>
          <w:rFonts w:cs="Times New Roman"/>
        </w:rPr>
        <w:t xml:space="preserve">which represent an acceptable deviation. Coefficient of variation shows that this is to some extent, a </w:t>
      </w:r>
      <w:r w:rsidRPr="00861F6E">
        <w:rPr>
          <w:rFonts w:cs="Times New Roman"/>
        </w:rPr>
        <w:t>homogeneous group response.</w:t>
      </w:r>
      <w:r w:rsidR="00DE6297">
        <w:rPr>
          <w:rFonts w:cs="Times New Roman"/>
        </w:rPr>
        <w:tab/>
      </w:r>
      <w:r w:rsidR="00DE6297">
        <w:rPr>
          <w:rFonts w:cs="Times New Roman"/>
        </w:rPr>
        <w:tab/>
      </w:r>
      <w:r w:rsidR="00DE6297">
        <w:rPr>
          <w:rFonts w:cs="Times New Roman"/>
        </w:rPr>
        <w:tab/>
      </w:r>
      <w:r w:rsidR="00DE6297">
        <w:rPr>
          <w:rFonts w:cs="Times New Roman"/>
        </w:rPr>
        <w:tab/>
      </w:r>
      <w:r w:rsidR="00DE6297">
        <w:rPr>
          <w:rFonts w:cs="Times New Roman"/>
        </w:rPr>
        <w:tab/>
      </w:r>
      <w:r w:rsidR="00DE6297">
        <w:rPr>
          <w:rFonts w:cs="Times New Roman"/>
        </w:rPr>
        <w:tab/>
      </w:r>
      <w:r w:rsidR="00DE6297">
        <w:rPr>
          <w:rFonts w:cs="Times New Roman"/>
        </w:rPr>
        <w:tab/>
      </w:r>
      <w:r w:rsidR="00DE6297">
        <w:rPr>
          <w:rFonts w:cs="Times New Roman"/>
        </w:rPr>
        <w:tab/>
      </w:r>
      <w:r w:rsidR="00DE6297">
        <w:rPr>
          <w:rFonts w:cs="Times New Roman"/>
        </w:rPr>
        <w:tab/>
      </w:r>
      <w:r w:rsidR="00DE6297">
        <w:rPr>
          <w:rFonts w:cs="Times New Roman"/>
        </w:rPr>
        <w:tab/>
      </w:r>
      <w:r>
        <w:rPr>
          <w:rFonts w:cs="Times New Roman"/>
        </w:rPr>
        <w:t>Data obtained and analysed show that participants agree with the statement that Focus strategy contributes to some extent creating</w:t>
      </w:r>
      <w:r w:rsidRPr="00B66040">
        <w:rPr>
          <w:rFonts w:cs="Times New Roman"/>
        </w:rPr>
        <w:t xml:space="preserve"> </w:t>
      </w:r>
      <w:r w:rsidRPr="008B72AB">
        <w:rPr>
          <w:rFonts w:cs="Times New Roman"/>
        </w:rPr>
        <w:t>a better competitiv</w:t>
      </w:r>
      <w:r>
        <w:rPr>
          <w:rFonts w:cs="Times New Roman"/>
        </w:rPr>
        <w:t xml:space="preserve">e position of BH enterprises in the international market. The average response is 3, 8108, and the mode as the most common response rate is 4- I agree it contributes. Standard deviation is minimum, and has not got a negative effect on result obtained, as well as the coefficient of variation which shows that this is a </w:t>
      </w:r>
      <w:r w:rsidRPr="00861F6E">
        <w:rPr>
          <w:rFonts w:cs="Times New Roman"/>
        </w:rPr>
        <w:t>homogeneous group response.</w:t>
      </w:r>
      <w:r w:rsidR="008121E3">
        <w:rPr>
          <w:rFonts w:cs="Times New Roman"/>
        </w:rPr>
        <w:tab/>
      </w:r>
      <w:r w:rsidR="008121E3">
        <w:rPr>
          <w:rFonts w:cs="Times New Roman"/>
        </w:rPr>
        <w:tab/>
      </w:r>
      <w:r w:rsidR="008121E3">
        <w:rPr>
          <w:rFonts w:cs="Times New Roman"/>
        </w:rPr>
        <w:tab/>
      </w:r>
      <w:r>
        <w:rPr>
          <w:rFonts w:cs="Times New Roman"/>
        </w:rPr>
        <w:t xml:space="preserve">In the following part, by applying the t-test, it is analysed whether exists significant statistic difference in generic strategies, and which of the mentioned strategies is largely contributing to creating a better competitive position of BH enterprises.  </w:t>
      </w:r>
    </w:p>
    <w:p w:rsidR="00DE6297" w:rsidRDefault="00DE6297" w:rsidP="00DE6297">
      <w:pPr>
        <w:pStyle w:val="NoSpacing"/>
      </w:pPr>
    </w:p>
    <w:p w:rsidR="00AF20B7" w:rsidRDefault="00AF20B7" w:rsidP="00DE6297">
      <w:pPr>
        <w:pStyle w:val="NoSpacing"/>
        <w:rPr>
          <w:b/>
          <w:sz w:val="22"/>
          <w:szCs w:val="22"/>
        </w:rPr>
      </w:pPr>
    </w:p>
    <w:p w:rsidR="001F1F8D" w:rsidRDefault="001F1F8D" w:rsidP="00DE6297">
      <w:pPr>
        <w:pStyle w:val="NoSpacing"/>
        <w:rPr>
          <w:b/>
          <w:sz w:val="22"/>
          <w:szCs w:val="22"/>
        </w:rPr>
      </w:pPr>
    </w:p>
    <w:p w:rsidR="001F1F8D" w:rsidRDefault="001F1F8D" w:rsidP="00DE6297">
      <w:pPr>
        <w:pStyle w:val="NoSpacing"/>
        <w:rPr>
          <w:b/>
          <w:sz w:val="22"/>
          <w:szCs w:val="22"/>
        </w:rPr>
      </w:pPr>
    </w:p>
    <w:p w:rsidR="00F80803" w:rsidRPr="00DE6297" w:rsidRDefault="00F80803" w:rsidP="00DE6297">
      <w:pPr>
        <w:pStyle w:val="NoSpacing"/>
        <w:rPr>
          <w:b/>
          <w:sz w:val="22"/>
          <w:szCs w:val="22"/>
        </w:rPr>
      </w:pPr>
      <w:r w:rsidRPr="00DE6297">
        <w:rPr>
          <w:b/>
          <w:sz w:val="22"/>
          <w:szCs w:val="22"/>
        </w:rPr>
        <w:t xml:space="preserve">Table 10. </w:t>
      </w:r>
      <w:r w:rsidRPr="001F1F8D">
        <w:rPr>
          <w:sz w:val="22"/>
          <w:szCs w:val="22"/>
        </w:rPr>
        <w:t>Comparing the existence of differences using t - test Differentiation and Cost leadership strategy</w:t>
      </w:r>
    </w:p>
    <w:tbl>
      <w:tblPr>
        <w:tblStyle w:val="TableGrid"/>
        <w:tblW w:w="0" w:type="auto"/>
        <w:tblLook w:val="04A0"/>
      </w:tblPr>
      <w:tblGrid>
        <w:gridCol w:w="658"/>
        <w:gridCol w:w="1901"/>
        <w:gridCol w:w="1897"/>
        <w:gridCol w:w="1039"/>
        <w:gridCol w:w="992"/>
        <w:gridCol w:w="1160"/>
        <w:gridCol w:w="1215"/>
      </w:tblGrid>
      <w:tr w:rsidR="00F80803" w:rsidTr="00DE6297">
        <w:trPr>
          <w:trHeight w:val="240"/>
        </w:trPr>
        <w:tc>
          <w:tcPr>
            <w:tcW w:w="2559" w:type="dxa"/>
            <w:gridSpan w:val="2"/>
            <w:vMerge w:val="restart"/>
          </w:tcPr>
          <w:p w:rsidR="00F80803" w:rsidRPr="00DE6297" w:rsidRDefault="00F80803" w:rsidP="00DE6297">
            <w:pPr>
              <w:pStyle w:val="NoSpacing"/>
            </w:pPr>
          </w:p>
          <w:p w:rsidR="00F80803" w:rsidRPr="00DE6297" w:rsidRDefault="00F80803" w:rsidP="00DE6297">
            <w:pPr>
              <w:pStyle w:val="NoSpacing"/>
            </w:pPr>
          </w:p>
          <w:p w:rsidR="00F80803" w:rsidRPr="00DE6297" w:rsidRDefault="00F80803" w:rsidP="00DE6297">
            <w:pPr>
              <w:pStyle w:val="NoSpacing"/>
            </w:pPr>
          </w:p>
        </w:tc>
        <w:tc>
          <w:tcPr>
            <w:tcW w:w="2936" w:type="dxa"/>
            <w:gridSpan w:val="2"/>
            <w:tcBorders>
              <w:bottom w:val="single" w:sz="4" w:space="0" w:color="auto"/>
            </w:tcBorders>
            <w:shd w:val="clear" w:color="auto" w:fill="DAEEF3" w:themeFill="accent5" w:themeFillTint="33"/>
          </w:tcPr>
          <w:p w:rsidR="00F80803" w:rsidRPr="00DE6297" w:rsidRDefault="00F80803" w:rsidP="001F1F8D">
            <w:pPr>
              <w:pStyle w:val="NoSpacing"/>
              <w:jc w:val="center"/>
              <w:rPr>
                <w:b/>
              </w:rPr>
            </w:pPr>
            <w:r w:rsidRPr="00DE6297">
              <w:rPr>
                <w:b/>
              </w:rPr>
              <w:t>Difference compared</w:t>
            </w:r>
          </w:p>
        </w:tc>
        <w:tc>
          <w:tcPr>
            <w:tcW w:w="992" w:type="dxa"/>
            <w:vMerge w:val="restart"/>
            <w:shd w:val="clear" w:color="auto" w:fill="DAEEF3" w:themeFill="accent5" w:themeFillTint="33"/>
          </w:tcPr>
          <w:p w:rsidR="001F1F8D" w:rsidRDefault="001F1F8D" w:rsidP="001F1F8D">
            <w:pPr>
              <w:pStyle w:val="NoSpacing"/>
              <w:jc w:val="center"/>
              <w:rPr>
                <w:b/>
              </w:rPr>
            </w:pPr>
          </w:p>
          <w:p w:rsidR="00F80803" w:rsidRPr="00DE6297" w:rsidRDefault="00F80803" w:rsidP="001F1F8D">
            <w:pPr>
              <w:pStyle w:val="NoSpacing"/>
              <w:jc w:val="center"/>
              <w:rPr>
                <w:b/>
              </w:rPr>
            </w:pPr>
            <w:r w:rsidRPr="00DE6297">
              <w:rPr>
                <w:b/>
              </w:rPr>
              <w:t>Test</w:t>
            </w:r>
          </w:p>
        </w:tc>
        <w:tc>
          <w:tcPr>
            <w:tcW w:w="1160" w:type="dxa"/>
            <w:vMerge w:val="restart"/>
            <w:shd w:val="clear" w:color="auto" w:fill="DAEEF3" w:themeFill="accent5" w:themeFillTint="33"/>
          </w:tcPr>
          <w:p w:rsidR="001F1F8D" w:rsidRDefault="001F1F8D" w:rsidP="001F1F8D">
            <w:pPr>
              <w:pStyle w:val="NoSpacing"/>
              <w:jc w:val="center"/>
              <w:rPr>
                <w:b/>
              </w:rPr>
            </w:pPr>
          </w:p>
          <w:p w:rsidR="00F80803" w:rsidRPr="00DE6297" w:rsidRDefault="00F80803" w:rsidP="001F1F8D">
            <w:pPr>
              <w:pStyle w:val="NoSpacing"/>
              <w:jc w:val="center"/>
              <w:rPr>
                <w:b/>
              </w:rPr>
            </w:pPr>
            <w:r w:rsidRPr="00DE6297">
              <w:rPr>
                <w:b/>
              </w:rPr>
              <w:t>difference</w:t>
            </w:r>
          </w:p>
        </w:tc>
        <w:tc>
          <w:tcPr>
            <w:tcW w:w="1215" w:type="dxa"/>
            <w:vMerge w:val="restart"/>
            <w:shd w:val="clear" w:color="auto" w:fill="DAEEF3" w:themeFill="accent5" w:themeFillTint="33"/>
          </w:tcPr>
          <w:p w:rsidR="001F1F8D" w:rsidRDefault="001F1F8D" w:rsidP="001F1F8D">
            <w:pPr>
              <w:pStyle w:val="NoSpacing"/>
              <w:jc w:val="center"/>
              <w:rPr>
                <w:b/>
              </w:rPr>
            </w:pPr>
          </w:p>
          <w:p w:rsidR="00F80803" w:rsidRPr="00DE6297" w:rsidRDefault="00F80803" w:rsidP="001F1F8D">
            <w:pPr>
              <w:pStyle w:val="NoSpacing"/>
              <w:jc w:val="center"/>
              <w:rPr>
                <w:b/>
              </w:rPr>
            </w:pPr>
            <w:r w:rsidRPr="00DE6297">
              <w:rPr>
                <w:b/>
              </w:rPr>
              <w:t>Sig.</w:t>
            </w:r>
          </w:p>
          <w:p w:rsidR="00F80803" w:rsidRPr="00DE6297" w:rsidRDefault="00F80803" w:rsidP="001F1F8D">
            <w:pPr>
              <w:pStyle w:val="NoSpacing"/>
              <w:jc w:val="center"/>
              <w:rPr>
                <w:b/>
              </w:rPr>
            </w:pPr>
            <w:r w:rsidRPr="00DE6297">
              <w:rPr>
                <w:b/>
              </w:rPr>
              <w:t>(2-way)</w:t>
            </w:r>
          </w:p>
        </w:tc>
      </w:tr>
      <w:tr w:rsidR="00F80803" w:rsidTr="00DE6297">
        <w:trPr>
          <w:trHeight w:val="525"/>
        </w:trPr>
        <w:tc>
          <w:tcPr>
            <w:tcW w:w="2559" w:type="dxa"/>
            <w:gridSpan w:val="2"/>
            <w:vMerge/>
          </w:tcPr>
          <w:p w:rsidR="00F80803" w:rsidRPr="00DE6297" w:rsidRDefault="00F80803" w:rsidP="00DE6297">
            <w:pPr>
              <w:pStyle w:val="NoSpacing"/>
            </w:pPr>
          </w:p>
        </w:tc>
        <w:tc>
          <w:tcPr>
            <w:tcW w:w="1897" w:type="dxa"/>
            <w:tcBorders>
              <w:top w:val="single" w:sz="4" w:space="0" w:color="auto"/>
            </w:tcBorders>
          </w:tcPr>
          <w:p w:rsidR="00F80803" w:rsidRPr="00DE6297" w:rsidRDefault="00F80803" w:rsidP="001F1F8D">
            <w:pPr>
              <w:pStyle w:val="NoSpacing"/>
              <w:jc w:val="center"/>
              <w:rPr>
                <w:b/>
                <w:sz w:val="20"/>
                <w:szCs w:val="20"/>
              </w:rPr>
            </w:pPr>
            <w:r w:rsidRPr="00DE6297">
              <w:rPr>
                <w:b/>
                <w:sz w:val="20"/>
                <w:szCs w:val="20"/>
              </w:rPr>
              <w:t>Difference of arithmetic mean</w:t>
            </w:r>
          </w:p>
        </w:tc>
        <w:tc>
          <w:tcPr>
            <w:tcW w:w="1039" w:type="dxa"/>
            <w:tcBorders>
              <w:top w:val="single" w:sz="4" w:space="0" w:color="auto"/>
            </w:tcBorders>
          </w:tcPr>
          <w:p w:rsidR="00F80803" w:rsidRPr="00DE6297" w:rsidRDefault="00F80803" w:rsidP="001F1F8D">
            <w:pPr>
              <w:pStyle w:val="NoSpacing"/>
              <w:jc w:val="center"/>
              <w:rPr>
                <w:b/>
                <w:sz w:val="20"/>
                <w:szCs w:val="20"/>
              </w:rPr>
            </w:pPr>
            <w:r w:rsidRPr="00DE6297">
              <w:rPr>
                <w:b/>
                <w:sz w:val="20"/>
                <w:szCs w:val="20"/>
              </w:rPr>
              <w:t>Standard Deviation</w:t>
            </w:r>
          </w:p>
        </w:tc>
        <w:tc>
          <w:tcPr>
            <w:tcW w:w="992" w:type="dxa"/>
            <w:vMerge/>
          </w:tcPr>
          <w:p w:rsidR="00F80803" w:rsidRPr="00DE6297" w:rsidRDefault="00F80803" w:rsidP="001F1F8D">
            <w:pPr>
              <w:pStyle w:val="NoSpacing"/>
              <w:jc w:val="center"/>
            </w:pPr>
          </w:p>
        </w:tc>
        <w:tc>
          <w:tcPr>
            <w:tcW w:w="1160" w:type="dxa"/>
            <w:vMerge/>
          </w:tcPr>
          <w:p w:rsidR="00F80803" w:rsidRPr="00DE6297" w:rsidRDefault="00F80803" w:rsidP="001F1F8D">
            <w:pPr>
              <w:pStyle w:val="NoSpacing"/>
              <w:jc w:val="center"/>
            </w:pPr>
          </w:p>
        </w:tc>
        <w:tc>
          <w:tcPr>
            <w:tcW w:w="1215" w:type="dxa"/>
            <w:vMerge/>
          </w:tcPr>
          <w:p w:rsidR="00F80803" w:rsidRPr="00DE6297" w:rsidRDefault="00F80803" w:rsidP="001F1F8D">
            <w:pPr>
              <w:pStyle w:val="NoSpacing"/>
              <w:jc w:val="center"/>
            </w:pPr>
          </w:p>
        </w:tc>
      </w:tr>
      <w:tr w:rsidR="00F80803" w:rsidTr="00DE6297">
        <w:tc>
          <w:tcPr>
            <w:tcW w:w="658" w:type="dxa"/>
          </w:tcPr>
          <w:p w:rsidR="00F80803" w:rsidRPr="00DE6297" w:rsidRDefault="00F80803" w:rsidP="00DE6297">
            <w:pPr>
              <w:pStyle w:val="NoSpacing"/>
            </w:pPr>
            <w:r w:rsidRPr="00DE6297">
              <w:t>Pair 1</w:t>
            </w:r>
          </w:p>
        </w:tc>
        <w:tc>
          <w:tcPr>
            <w:tcW w:w="1901" w:type="dxa"/>
          </w:tcPr>
          <w:p w:rsidR="00F80803" w:rsidRPr="00DE6297" w:rsidRDefault="00F80803" w:rsidP="00DE6297">
            <w:pPr>
              <w:pStyle w:val="NoSpacing"/>
            </w:pPr>
            <w:r w:rsidRPr="00DE6297">
              <w:t xml:space="preserve">Cost leadership strategy – </w:t>
            </w:r>
          </w:p>
          <w:p w:rsidR="00F80803" w:rsidRPr="00DE6297" w:rsidRDefault="00F80803" w:rsidP="00DE6297">
            <w:pPr>
              <w:pStyle w:val="NoSpacing"/>
            </w:pPr>
            <w:r w:rsidRPr="00DE6297">
              <w:t>Differentiation Strategy</w:t>
            </w:r>
          </w:p>
        </w:tc>
        <w:tc>
          <w:tcPr>
            <w:tcW w:w="1897" w:type="dxa"/>
          </w:tcPr>
          <w:p w:rsidR="00F80803" w:rsidRPr="00DE6297" w:rsidRDefault="00F80803" w:rsidP="00DE6297">
            <w:pPr>
              <w:pStyle w:val="NoSpacing"/>
              <w:jc w:val="right"/>
            </w:pPr>
            <w:r w:rsidRPr="00DE6297">
              <w:t>1.89189</w:t>
            </w:r>
          </w:p>
        </w:tc>
        <w:tc>
          <w:tcPr>
            <w:tcW w:w="1039" w:type="dxa"/>
          </w:tcPr>
          <w:p w:rsidR="00F80803" w:rsidRPr="00DE6297" w:rsidRDefault="00F80803" w:rsidP="00DE6297">
            <w:pPr>
              <w:pStyle w:val="NoSpacing"/>
              <w:jc w:val="right"/>
            </w:pPr>
            <w:r w:rsidRPr="00DE6297">
              <w:t>1.28633</w:t>
            </w:r>
          </w:p>
        </w:tc>
        <w:tc>
          <w:tcPr>
            <w:tcW w:w="992" w:type="dxa"/>
          </w:tcPr>
          <w:p w:rsidR="00F80803" w:rsidRPr="00DE6297" w:rsidRDefault="00F80803" w:rsidP="00DE6297">
            <w:pPr>
              <w:pStyle w:val="NoSpacing"/>
              <w:jc w:val="right"/>
            </w:pPr>
            <w:r w:rsidRPr="00DE6297">
              <w:t>8.946</w:t>
            </w:r>
          </w:p>
        </w:tc>
        <w:tc>
          <w:tcPr>
            <w:tcW w:w="1160" w:type="dxa"/>
          </w:tcPr>
          <w:p w:rsidR="00F80803" w:rsidRPr="00DE6297" w:rsidRDefault="00F80803" w:rsidP="00DE6297">
            <w:pPr>
              <w:pStyle w:val="NoSpacing"/>
              <w:jc w:val="right"/>
            </w:pPr>
            <w:r w:rsidRPr="00DE6297">
              <w:t>36</w:t>
            </w:r>
          </w:p>
        </w:tc>
        <w:tc>
          <w:tcPr>
            <w:tcW w:w="1215" w:type="dxa"/>
          </w:tcPr>
          <w:p w:rsidR="00F80803" w:rsidRPr="00DE6297" w:rsidRDefault="00F80803" w:rsidP="00DE6297">
            <w:pPr>
              <w:pStyle w:val="NoSpacing"/>
              <w:jc w:val="right"/>
            </w:pPr>
            <w:r w:rsidRPr="00DE6297">
              <w:t>.000</w:t>
            </w:r>
          </w:p>
        </w:tc>
      </w:tr>
    </w:tbl>
    <w:p w:rsidR="00F80803" w:rsidRDefault="00F80803" w:rsidP="00DE6297">
      <w:pPr>
        <w:pStyle w:val="NoSpacing"/>
        <w:rPr>
          <w:sz w:val="20"/>
        </w:rPr>
      </w:pPr>
      <w:r>
        <w:rPr>
          <w:sz w:val="20"/>
        </w:rPr>
        <w:t xml:space="preserve">Source: Author analysis in statistical program SPSS 20. </w:t>
      </w:r>
    </w:p>
    <w:p w:rsidR="00F80803" w:rsidRDefault="00F80803" w:rsidP="00DE6297">
      <w:pPr>
        <w:pStyle w:val="NoSpacing"/>
        <w:rPr>
          <w:sz w:val="20"/>
        </w:rPr>
      </w:pPr>
    </w:p>
    <w:p w:rsidR="00F80803" w:rsidRDefault="00F80803" w:rsidP="00DE6297">
      <w:pPr>
        <w:pStyle w:val="NoSpacing"/>
        <w:ind w:firstLine="720"/>
      </w:pPr>
      <w:r>
        <w:t>P = 0, 000 &lt; 0, 05, therefore it can be concluded that there is a significant statistic difference between the response of manager and owner regarding the Differentiation strategy and Cost leadership strategy, i.e. there is a statistic difference in contributing to creating a better competitive position of BH enterprises in the international market.</w:t>
      </w:r>
      <w:r w:rsidRPr="00982F6A">
        <w:t xml:space="preserve"> </w:t>
      </w:r>
      <w:r>
        <w:t>Managers and owners prefer Cost leadership strategy and believe that it largely contributes to</w:t>
      </w:r>
      <w:r w:rsidRPr="00982F6A">
        <w:t xml:space="preserve"> </w:t>
      </w:r>
      <w:r>
        <w:t xml:space="preserve">creating a better competitive position.   </w:t>
      </w:r>
    </w:p>
    <w:p w:rsidR="00DE6297" w:rsidRDefault="00DE6297" w:rsidP="00DE6297">
      <w:pPr>
        <w:pStyle w:val="NoSpacing"/>
      </w:pPr>
    </w:p>
    <w:p w:rsidR="00F80803" w:rsidRPr="001F1F8D" w:rsidRDefault="00F80803" w:rsidP="00DE6297">
      <w:pPr>
        <w:pStyle w:val="NoSpacing"/>
        <w:rPr>
          <w:sz w:val="22"/>
          <w:szCs w:val="22"/>
        </w:rPr>
      </w:pPr>
      <w:r w:rsidRPr="00DE6297">
        <w:rPr>
          <w:b/>
          <w:sz w:val="22"/>
          <w:szCs w:val="22"/>
        </w:rPr>
        <w:t xml:space="preserve">Table 11. </w:t>
      </w:r>
      <w:r w:rsidRPr="001F1F8D">
        <w:rPr>
          <w:sz w:val="22"/>
          <w:szCs w:val="22"/>
        </w:rPr>
        <w:t>Comparing the existence of differences using t - test Focus and Cost leadership strategy</w:t>
      </w:r>
    </w:p>
    <w:tbl>
      <w:tblPr>
        <w:tblStyle w:val="TableGrid"/>
        <w:tblW w:w="0" w:type="auto"/>
        <w:tblLook w:val="04A0"/>
      </w:tblPr>
      <w:tblGrid>
        <w:gridCol w:w="659"/>
        <w:gridCol w:w="1853"/>
        <w:gridCol w:w="1707"/>
        <w:gridCol w:w="1276"/>
        <w:gridCol w:w="979"/>
        <w:gridCol w:w="1157"/>
        <w:gridCol w:w="1231"/>
      </w:tblGrid>
      <w:tr w:rsidR="00F80803" w:rsidRPr="00DE6297" w:rsidTr="000B29A6">
        <w:trPr>
          <w:trHeight w:val="240"/>
        </w:trPr>
        <w:tc>
          <w:tcPr>
            <w:tcW w:w="2512" w:type="dxa"/>
            <w:gridSpan w:val="2"/>
            <w:vMerge w:val="restart"/>
          </w:tcPr>
          <w:p w:rsidR="00F80803" w:rsidRPr="00DE6297" w:rsidRDefault="00F80803" w:rsidP="00DE6297">
            <w:pPr>
              <w:pStyle w:val="NoSpacing"/>
            </w:pPr>
          </w:p>
          <w:p w:rsidR="00F80803" w:rsidRPr="00DE6297" w:rsidRDefault="00F80803" w:rsidP="00DE6297">
            <w:pPr>
              <w:pStyle w:val="NoSpacing"/>
            </w:pPr>
          </w:p>
          <w:p w:rsidR="00F80803" w:rsidRPr="00DE6297" w:rsidRDefault="00F80803" w:rsidP="00DE6297">
            <w:pPr>
              <w:pStyle w:val="NoSpacing"/>
            </w:pPr>
          </w:p>
        </w:tc>
        <w:tc>
          <w:tcPr>
            <w:tcW w:w="2983" w:type="dxa"/>
            <w:gridSpan w:val="2"/>
            <w:tcBorders>
              <w:bottom w:val="single" w:sz="4" w:space="0" w:color="auto"/>
            </w:tcBorders>
            <w:shd w:val="clear" w:color="auto" w:fill="DAEEF3" w:themeFill="accent5" w:themeFillTint="33"/>
          </w:tcPr>
          <w:p w:rsidR="00F80803" w:rsidRPr="00DE6297" w:rsidRDefault="00F80803" w:rsidP="000B29A6">
            <w:pPr>
              <w:pStyle w:val="NoSpacing"/>
              <w:jc w:val="center"/>
              <w:rPr>
                <w:b/>
              </w:rPr>
            </w:pPr>
            <w:r w:rsidRPr="00DE6297">
              <w:rPr>
                <w:b/>
              </w:rPr>
              <w:t>Difference compared</w:t>
            </w:r>
          </w:p>
        </w:tc>
        <w:tc>
          <w:tcPr>
            <w:tcW w:w="979" w:type="dxa"/>
            <w:vMerge w:val="restart"/>
            <w:shd w:val="clear" w:color="auto" w:fill="DAEEF3" w:themeFill="accent5" w:themeFillTint="33"/>
          </w:tcPr>
          <w:p w:rsidR="001F1F8D" w:rsidRDefault="001F1F8D" w:rsidP="000B29A6">
            <w:pPr>
              <w:pStyle w:val="NoSpacing"/>
              <w:jc w:val="center"/>
              <w:rPr>
                <w:b/>
              </w:rPr>
            </w:pPr>
          </w:p>
          <w:p w:rsidR="00F80803" w:rsidRPr="00DE6297" w:rsidRDefault="00F80803" w:rsidP="000B29A6">
            <w:pPr>
              <w:pStyle w:val="NoSpacing"/>
              <w:jc w:val="center"/>
              <w:rPr>
                <w:b/>
              </w:rPr>
            </w:pPr>
            <w:r w:rsidRPr="00DE6297">
              <w:rPr>
                <w:b/>
              </w:rPr>
              <w:t>Test</w:t>
            </w:r>
          </w:p>
        </w:tc>
        <w:tc>
          <w:tcPr>
            <w:tcW w:w="1157" w:type="dxa"/>
            <w:vMerge w:val="restart"/>
            <w:shd w:val="clear" w:color="auto" w:fill="DAEEF3" w:themeFill="accent5" w:themeFillTint="33"/>
          </w:tcPr>
          <w:p w:rsidR="001F1F8D" w:rsidRDefault="001F1F8D" w:rsidP="000B29A6">
            <w:pPr>
              <w:pStyle w:val="NoSpacing"/>
              <w:jc w:val="center"/>
              <w:rPr>
                <w:b/>
              </w:rPr>
            </w:pPr>
          </w:p>
          <w:p w:rsidR="00F80803" w:rsidRPr="00DE6297" w:rsidRDefault="00F80803" w:rsidP="000B29A6">
            <w:pPr>
              <w:pStyle w:val="NoSpacing"/>
              <w:jc w:val="center"/>
              <w:rPr>
                <w:b/>
              </w:rPr>
            </w:pPr>
            <w:r w:rsidRPr="00DE6297">
              <w:rPr>
                <w:b/>
              </w:rPr>
              <w:t>difference</w:t>
            </w:r>
          </w:p>
        </w:tc>
        <w:tc>
          <w:tcPr>
            <w:tcW w:w="1231" w:type="dxa"/>
            <w:vMerge w:val="restart"/>
            <w:shd w:val="clear" w:color="auto" w:fill="DAEEF3" w:themeFill="accent5" w:themeFillTint="33"/>
          </w:tcPr>
          <w:p w:rsidR="00F80803" w:rsidRPr="00DE6297" w:rsidRDefault="00F80803" w:rsidP="000B29A6">
            <w:pPr>
              <w:pStyle w:val="NoSpacing"/>
              <w:jc w:val="center"/>
              <w:rPr>
                <w:b/>
              </w:rPr>
            </w:pPr>
            <w:r w:rsidRPr="00DE6297">
              <w:rPr>
                <w:b/>
              </w:rPr>
              <w:t>Sig.</w:t>
            </w:r>
          </w:p>
          <w:p w:rsidR="00F80803" w:rsidRPr="00DE6297" w:rsidRDefault="00F80803" w:rsidP="000B29A6">
            <w:pPr>
              <w:pStyle w:val="NoSpacing"/>
              <w:jc w:val="center"/>
              <w:rPr>
                <w:b/>
              </w:rPr>
            </w:pPr>
            <w:r w:rsidRPr="00DE6297">
              <w:rPr>
                <w:b/>
              </w:rPr>
              <w:t>(2-way)</w:t>
            </w:r>
          </w:p>
        </w:tc>
      </w:tr>
      <w:tr w:rsidR="00F80803" w:rsidRPr="00DE6297" w:rsidTr="000B29A6">
        <w:trPr>
          <w:trHeight w:val="525"/>
        </w:trPr>
        <w:tc>
          <w:tcPr>
            <w:tcW w:w="2512" w:type="dxa"/>
            <w:gridSpan w:val="2"/>
            <w:vMerge/>
          </w:tcPr>
          <w:p w:rsidR="00F80803" w:rsidRPr="00DE6297" w:rsidRDefault="00F80803" w:rsidP="00DE6297">
            <w:pPr>
              <w:pStyle w:val="NoSpacing"/>
            </w:pPr>
          </w:p>
        </w:tc>
        <w:tc>
          <w:tcPr>
            <w:tcW w:w="1707" w:type="dxa"/>
            <w:tcBorders>
              <w:top w:val="single" w:sz="4" w:space="0" w:color="auto"/>
            </w:tcBorders>
          </w:tcPr>
          <w:p w:rsidR="00F80803" w:rsidRPr="000B29A6" w:rsidRDefault="00F80803" w:rsidP="000B29A6">
            <w:pPr>
              <w:pStyle w:val="NoSpacing"/>
              <w:jc w:val="center"/>
              <w:rPr>
                <w:b/>
                <w:sz w:val="20"/>
                <w:szCs w:val="20"/>
              </w:rPr>
            </w:pPr>
            <w:r w:rsidRPr="000B29A6">
              <w:rPr>
                <w:b/>
                <w:sz w:val="20"/>
                <w:szCs w:val="20"/>
              </w:rPr>
              <w:t>Difference of arithmetic mean</w:t>
            </w:r>
          </w:p>
        </w:tc>
        <w:tc>
          <w:tcPr>
            <w:tcW w:w="1276" w:type="dxa"/>
            <w:tcBorders>
              <w:top w:val="single" w:sz="4" w:space="0" w:color="auto"/>
            </w:tcBorders>
          </w:tcPr>
          <w:p w:rsidR="00F80803" w:rsidRPr="000B29A6" w:rsidRDefault="00F80803" w:rsidP="000B29A6">
            <w:pPr>
              <w:pStyle w:val="NoSpacing"/>
              <w:jc w:val="center"/>
              <w:rPr>
                <w:b/>
                <w:sz w:val="20"/>
                <w:szCs w:val="20"/>
              </w:rPr>
            </w:pPr>
            <w:r w:rsidRPr="000B29A6">
              <w:rPr>
                <w:b/>
                <w:sz w:val="20"/>
                <w:szCs w:val="20"/>
              </w:rPr>
              <w:t>Standard Deviation</w:t>
            </w:r>
          </w:p>
        </w:tc>
        <w:tc>
          <w:tcPr>
            <w:tcW w:w="979" w:type="dxa"/>
            <w:vMerge/>
          </w:tcPr>
          <w:p w:rsidR="00F80803" w:rsidRPr="00DE6297" w:rsidRDefault="00F80803" w:rsidP="000B29A6">
            <w:pPr>
              <w:pStyle w:val="NoSpacing"/>
              <w:jc w:val="center"/>
            </w:pPr>
          </w:p>
        </w:tc>
        <w:tc>
          <w:tcPr>
            <w:tcW w:w="1157" w:type="dxa"/>
            <w:vMerge/>
          </w:tcPr>
          <w:p w:rsidR="00F80803" w:rsidRPr="00DE6297" w:rsidRDefault="00F80803" w:rsidP="000B29A6">
            <w:pPr>
              <w:pStyle w:val="NoSpacing"/>
              <w:jc w:val="center"/>
            </w:pPr>
          </w:p>
        </w:tc>
        <w:tc>
          <w:tcPr>
            <w:tcW w:w="1231" w:type="dxa"/>
            <w:vMerge/>
          </w:tcPr>
          <w:p w:rsidR="00F80803" w:rsidRPr="00DE6297" w:rsidRDefault="00F80803" w:rsidP="000B29A6">
            <w:pPr>
              <w:pStyle w:val="NoSpacing"/>
              <w:jc w:val="center"/>
            </w:pPr>
          </w:p>
        </w:tc>
      </w:tr>
      <w:tr w:rsidR="00F80803" w:rsidRPr="00DE6297" w:rsidTr="000B29A6">
        <w:tc>
          <w:tcPr>
            <w:tcW w:w="659" w:type="dxa"/>
          </w:tcPr>
          <w:p w:rsidR="00F80803" w:rsidRPr="00DE6297" w:rsidRDefault="00F80803" w:rsidP="00DE6297">
            <w:pPr>
              <w:pStyle w:val="NoSpacing"/>
            </w:pPr>
            <w:r w:rsidRPr="00DE6297">
              <w:t>Pair 1</w:t>
            </w:r>
          </w:p>
        </w:tc>
        <w:tc>
          <w:tcPr>
            <w:tcW w:w="1853" w:type="dxa"/>
          </w:tcPr>
          <w:p w:rsidR="00F80803" w:rsidRPr="00DE6297" w:rsidRDefault="00F80803" w:rsidP="00DE6297">
            <w:pPr>
              <w:pStyle w:val="NoSpacing"/>
            </w:pPr>
            <w:r w:rsidRPr="00DE6297">
              <w:t xml:space="preserve">Cost leadership strategy – </w:t>
            </w:r>
          </w:p>
          <w:p w:rsidR="00F80803" w:rsidRPr="00DE6297" w:rsidRDefault="00F80803" w:rsidP="000B29A6">
            <w:pPr>
              <w:pStyle w:val="NoSpacing"/>
            </w:pPr>
            <w:r w:rsidRPr="00DE6297">
              <w:t>Focus</w:t>
            </w:r>
            <w:r w:rsidR="000B29A6">
              <w:t xml:space="preserve"> </w:t>
            </w:r>
            <w:r w:rsidRPr="00DE6297">
              <w:t>Strategy</w:t>
            </w:r>
          </w:p>
        </w:tc>
        <w:tc>
          <w:tcPr>
            <w:tcW w:w="1707" w:type="dxa"/>
          </w:tcPr>
          <w:p w:rsidR="00F80803" w:rsidRPr="00DE6297" w:rsidRDefault="00F80803" w:rsidP="00DE6297">
            <w:pPr>
              <w:pStyle w:val="NoSpacing"/>
            </w:pPr>
            <w:r w:rsidRPr="00DE6297">
              <w:t>.56757</w:t>
            </w:r>
          </w:p>
        </w:tc>
        <w:tc>
          <w:tcPr>
            <w:tcW w:w="1276" w:type="dxa"/>
          </w:tcPr>
          <w:p w:rsidR="00F80803" w:rsidRPr="00DE6297" w:rsidRDefault="00F80803" w:rsidP="00DE6297">
            <w:pPr>
              <w:pStyle w:val="NoSpacing"/>
            </w:pPr>
            <w:r w:rsidRPr="00DE6297">
              <w:t>1.01490</w:t>
            </w:r>
          </w:p>
        </w:tc>
        <w:tc>
          <w:tcPr>
            <w:tcW w:w="979" w:type="dxa"/>
          </w:tcPr>
          <w:p w:rsidR="00F80803" w:rsidRPr="00DE6297" w:rsidRDefault="00F80803" w:rsidP="00DE6297">
            <w:pPr>
              <w:pStyle w:val="NoSpacing"/>
            </w:pPr>
            <w:r w:rsidRPr="00DE6297">
              <w:t>3.402</w:t>
            </w:r>
          </w:p>
        </w:tc>
        <w:tc>
          <w:tcPr>
            <w:tcW w:w="1157" w:type="dxa"/>
          </w:tcPr>
          <w:p w:rsidR="00F80803" w:rsidRPr="00DE6297" w:rsidRDefault="00F80803" w:rsidP="00DE6297">
            <w:pPr>
              <w:pStyle w:val="NoSpacing"/>
            </w:pPr>
            <w:r w:rsidRPr="00DE6297">
              <w:t>36</w:t>
            </w:r>
          </w:p>
        </w:tc>
        <w:tc>
          <w:tcPr>
            <w:tcW w:w="1231" w:type="dxa"/>
          </w:tcPr>
          <w:p w:rsidR="00F80803" w:rsidRPr="00DE6297" w:rsidRDefault="00F80803" w:rsidP="00DE6297">
            <w:pPr>
              <w:pStyle w:val="NoSpacing"/>
            </w:pPr>
            <w:r w:rsidRPr="00DE6297">
              <w:t>.002</w:t>
            </w:r>
          </w:p>
        </w:tc>
      </w:tr>
    </w:tbl>
    <w:p w:rsidR="00F80803" w:rsidRPr="000B29A6" w:rsidRDefault="00F80803" w:rsidP="00DE6297">
      <w:pPr>
        <w:pStyle w:val="NoSpacing"/>
        <w:rPr>
          <w:sz w:val="20"/>
          <w:szCs w:val="20"/>
        </w:rPr>
      </w:pPr>
      <w:r w:rsidRPr="000B29A6">
        <w:rPr>
          <w:sz w:val="20"/>
          <w:szCs w:val="20"/>
        </w:rPr>
        <w:t xml:space="preserve">Source: Author analysis in statistical program SPSS 20. </w:t>
      </w:r>
    </w:p>
    <w:p w:rsidR="00F80803" w:rsidRPr="00DE6297" w:rsidRDefault="00F80803" w:rsidP="00DE6297">
      <w:pPr>
        <w:pStyle w:val="NoSpacing"/>
      </w:pPr>
    </w:p>
    <w:p w:rsidR="00F80803" w:rsidRDefault="00F80803" w:rsidP="000B29A6">
      <w:pPr>
        <w:pStyle w:val="NoSpacing"/>
        <w:ind w:firstLine="720"/>
      </w:pPr>
      <w:r>
        <w:t>P = 0, 000 &lt; 0, 05, therefore it can be concluded that there is a significant statistic difference between the response of manager and owner regarding the Focus strategy and Cost leadership strategy, i.e. these strategies are not similar for managers and owners of production enterprises engaged in export. Managers and the owners share the opinion that Cost leadership strategy largely contributes to</w:t>
      </w:r>
      <w:r w:rsidRPr="00982F6A">
        <w:t xml:space="preserve"> </w:t>
      </w:r>
      <w:r>
        <w:t>creating a better competitive position of BH enterprises in the international market.</w:t>
      </w:r>
    </w:p>
    <w:p w:rsidR="000B29A6" w:rsidRPr="008121E3" w:rsidRDefault="000B29A6" w:rsidP="000B29A6">
      <w:pPr>
        <w:pStyle w:val="NoSpacing"/>
        <w:ind w:firstLine="720"/>
        <w:rPr>
          <w:b/>
        </w:rPr>
      </w:pPr>
    </w:p>
    <w:p w:rsidR="00F80803" w:rsidRPr="001F1F8D" w:rsidRDefault="00F80803" w:rsidP="000B29A6">
      <w:pPr>
        <w:pStyle w:val="NoSpacing"/>
        <w:rPr>
          <w:sz w:val="22"/>
          <w:szCs w:val="22"/>
        </w:rPr>
      </w:pPr>
      <w:r w:rsidRPr="008121E3">
        <w:rPr>
          <w:b/>
          <w:sz w:val="22"/>
          <w:szCs w:val="22"/>
        </w:rPr>
        <w:t xml:space="preserve">Table 12. </w:t>
      </w:r>
      <w:r w:rsidRPr="001F1F8D">
        <w:rPr>
          <w:sz w:val="22"/>
          <w:szCs w:val="22"/>
        </w:rPr>
        <w:t>Comparing the existence of differences using t - test Differentiation and Focus strategy</w:t>
      </w:r>
    </w:p>
    <w:tbl>
      <w:tblPr>
        <w:tblStyle w:val="TableGrid"/>
        <w:tblW w:w="0" w:type="auto"/>
        <w:tblLook w:val="04A0"/>
      </w:tblPr>
      <w:tblGrid>
        <w:gridCol w:w="657"/>
        <w:gridCol w:w="1896"/>
        <w:gridCol w:w="1808"/>
        <w:gridCol w:w="1134"/>
        <w:gridCol w:w="992"/>
        <w:gridCol w:w="1169"/>
        <w:gridCol w:w="1206"/>
      </w:tblGrid>
      <w:tr w:rsidR="00F80803" w:rsidRPr="000B29A6" w:rsidTr="000B29A6">
        <w:trPr>
          <w:trHeight w:val="240"/>
        </w:trPr>
        <w:tc>
          <w:tcPr>
            <w:tcW w:w="2553" w:type="dxa"/>
            <w:gridSpan w:val="2"/>
            <w:vMerge w:val="restart"/>
          </w:tcPr>
          <w:p w:rsidR="00F80803" w:rsidRPr="000B29A6" w:rsidRDefault="00F80803" w:rsidP="000B29A6">
            <w:pPr>
              <w:pStyle w:val="NoSpacing"/>
            </w:pPr>
          </w:p>
          <w:p w:rsidR="00F80803" w:rsidRPr="000B29A6" w:rsidRDefault="00F80803" w:rsidP="000B29A6">
            <w:pPr>
              <w:pStyle w:val="NoSpacing"/>
            </w:pPr>
          </w:p>
          <w:p w:rsidR="00F80803" w:rsidRPr="000B29A6" w:rsidRDefault="00F80803" w:rsidP="000B29A6">
            <w:pPr>
              <w:pStyle w:val="NoSpacing"/>
            </w:pPr>
          </w:p>
        </w:tc>
        <w:tc>
          <w:tcPr>
            <w:tcW w:w="2942" w:type="dxa"/>
            <w:gridSpan w:val="2"/>
            <w:tcBorders>
              <w:bottom w:val="single" w:sz="4" w:space="0" w:color="auto"/>
            </w:tcBorders>
            <w:shd w:val="clear" w:color="auto" w:fill="DAEEF3" w:themeFill="accent5" w:themeFillTint="33"/>
          </w:tcPr>
          <w:p w:rsidR="00F80803" w:rsidRPr="000B29A6" w:rsidRDefault="00F80803" w:rsidP="000B29A6">
            <w:pPr>
              <w:pStyle w:val="NoSpacing"/>
              <w:rPr>
                <w:b/>
              </w:rPr>
            </w:pPr>
            <w:r w:rsidRPr="000B29A6">
              <w:rPr>
                <w:b/>
              </w:rPr>
              <w:t>Difference compared</w:t>
            </w:r>
          </w:p>
        </w:tc>
        <w:tc>
          <w:tcPr>
            <w:tcW w:w="992" w:type="dxa"/>
            <w:vMerge w:val="restart"/>
            <w:shd w:val="clear" w:color="auto" w:fill="DAEEF3" w:themeFill="accent5" w:themeFillTint="33"/>
          </w:tcPr>
          <w:p w:rsidR="00F80803" w:rsidRPr="000B29A6" w:rsidRDefault="00F80803" w:rsidP="000B29A6">
            <w:pPr>
              <w:pStyle w:val="NoSpacing"/>
              <w:rPr>
                <w:b/>
              </w:rPr>
            </w:pPr>
            <w:r w:rsidRPr="000B29A6">
              <w:rPr>
                <w:b/>
              </w:rPr>
              <w:t>Test</w:t>
            </w:r>
          </w:p>
        </w:tc>
        <w:tc>
          <w:tcPr>
            <w:tcW w:w="1169" w:type="dxa"/>
            <w:vMerge w:val="restart"/>
            <w:shd w:val="clear" w:color="auto" w:fill="DAEEF3" w:themeFill="accent5" w:themeFillTint="33"/>
          </w:tcPr>
          <w:p w:rsidR="00F80803" w:rsidRPr="000B29A6" w:rsidRDefault="00F80803" w:rsidP="000B29A6">
            <w:pPr>
              <w:pStyle w:val="NoSpacing"/>
              <w:rPr>
                <w:b/>
              </w:rPr>
            </w:pPr>
            <w:r w:rsidRPr="000B29A6">
              <w:rPr>
                <w:b/>
              </w:rPr>
              <w:t>difference</w:t>
            </w:r>
          </w:p>
        </w:tc>
        <w:tc>
          <w:tcPr>
            <w:tcW w:w="1206" w:type="dxa"/>
            <w:vMerge w:val="restart"/>
            <w:shd w:val="clear" w:color="auto" w:fill="DAEEF3" w:themeFill="accent5" w:themeFillTint="33"/>
          </w:tcPr>
          <w:p w:rsidR="00F80803" w:rsidRPr="000B29A6" w:rsidRDefault="00F80803" w:rsidP="000B29A6">
            <w:pPr>
              <w:pStyle w:val="NoSpacing"/>
              <w:rPr>
                <w:b/>
              </w:rPr>
            </w:pPr>
            <w:r w:rsidRPr="000B29A6">
              <w:rPr>
                <w:b/>
              </w:rPr>
              <w:t>Sig.</w:t>
            </w:r>
          </w:p>
          <w:p w:rsidR="00F80803" w:rsidRPr="000B29A6" w:rsidRDefault="00F80803" w:rsidP="000B29A6">
            <w:pPr>
              <w:pStyle w:val="NoSpacing"/>
              <w:rPr>
                <w:b/>
              </w:rPr>
            </w:pPr>
            <w:r w:rsidRPr="000B29A6">
              <w:rPr>
                <w:b/>
              </w:rPr>
              <w:t>(2-way)</w:t>
            </w:r>
          </w:p>
        </w:tc>
      </w:tr>
      <w:tr w:rsidR="00F80803" w:rsidRPr="000B29A6" w:rsidTr="000B29A6">
        <w:trPr>
          <w:trHeight w:val="525"/>
        </w:trPr>
        <w:tc>
          <w:tcPr>
            <w:tcW w:w="2553" w:type="dxa"/>
            <w:gridSpan w:val="2"/>
            <w:vMerge/>
          </w:tcPr>
          <w:p w:rsidR="00F80803" w:rsidRPr="000B29A6" w:rsidRDefault="00F80803" w:rsidP="000B29A6">
            <w:pPr>
              <w:pStyle w:val="NoSpacing"/>
            </w:pPr>
          </w:p>
        </w:tc>
        <w:tc>
          <w:tcPr>
            <w:tcW w:w="1808" w:type="dxa"/>
            <w:tcBorders>
              <w:top w:val="single" w:sz="4" w:space="0" w:color="auto"/>
            </w:tcBorders>
          </w:tcPr>
          <w:p w:rsidR="00F80803" w:rsidRPr="000B29A6" w:rsidRDefault="00F80803" w:rsidP="000B29A6">
            <w:pPr>
              <w:pStyle w:val="NoSpacing"/>
              <w:rPr>
                <w:b/>
              </w:rPr>
            </w:pPr>
            <w:r w:rsidRPr="000B29A6">
              <w:rPr>
                <w:b/>
              </w:rPr>
              <w:t>Difference of arithmetic mean</w:t>
            </w:r>
          </w:p>
        </w:tc>
        <w:tc>
          <w:tcPr>
            <w:tcW w:w="1134" w:type="dxa"/>
            <w:tcBorders>
              <w:top w:val="single" w:sz="4" w:space="0" w:color="auto"/>
            </w:tcBorders>
          </w:tcPr>
          <w:p w:rsidR="00F80803" w:rsidRPr="000B29A6" w:rsidRDefault="00F80803" w:rsidP="000B29A6">
            <w:pPr>
              <w:pStyle w:val="NoSpacing"/>
              <w:rPr>
                <w:b/>
              </w:rPr>
            </w:pPr>
            <w:r w:rsidRPr="000B29A6">
              <w:rPr>
                <w:b/>
              </w:rPr>
              <w:t>Standard Deviation</w:t>
            </w:r>
          </w:p>
        </w:tc>
        <w:tc>
          <w:tcPr>
            <w:tcW w:w="992" w:type="dxa"/>
            <w:vMerge/>
          </w:tcPr>
          <w:p w:rsidR="00F80803" w:rsidRPr="000B29A6" w:rsidRDefault="00F80803" w:rsidP="000B29A6">
            <w:pPr>
              <w:pStyle w:val="NoSpacing"/>
              <w:rPr>
                <w:b/>
              </w:rPr>
            </w:pPr>
          </w:p>
        </w:tc>
        <w:tc>
          <w:tcPr>
            <w:tcW w:w="1169" w:type="dxa"/>
            <w:vMerge/>
          </w:tcPr>
          <w:p w:rsidR="00F80803" w:rsidRPr="000B29A6" w:rsidRDefault="00F80803" w:rsidP="000B29A6">
            <w:pPr>
              <w:pStyle w:val="NoSpacing"/>
              <w:rPr>
                <w:b/>
              </w:rPr>
            </w:pPr>
          </w:p>
        </w:tc>
        <w:tc>
          <w:tcPr>
            <w:tcW w:w="1206" w:type="dxa"/>
            <w:vMerge/>
          </w:tcPr>
          <w:p w:rsidR="00F80803" w:rsidRPr="000B29A6" w:rsidRDefault="00F80803" w:rsidP="000B29A6">
            <w:pPr>
              <w:pStyle w:val="NoSpacing"/>
              <w:rPr>
                <w:b/>
              </w:rPr>
            </w:pPr>
          </w:p>
        </w:tc>
      </w:tr>
      <w:tr w:rsidR="00F80803" w:rsidRPr="000B29A6" w:rsidTr="000B29A6">
        <w:tc>
          <w:tcPr>
            <w:tcW w:w="657" w:type="dxa"/>
          </w:tcPr>
          <w:p w:rsidR="00F80803" w:rsidRPr="000B29A6" w:rsidRDefault="00F80803" w:rsidP="000B29A6">
            <w:pPr>
              <w:pStyle w:val="NoSpacing"/>
            </w:pPr>
            <w:r w:rsidRPr="000B29A6">
              <w:t>Pair 1</w:t>
            </w:r>
          </w:p>
        </w:tc>
        <w:tc>
          <w:tcPr>
            <w:tcW w:w="1896" w:type="dxa"/>
          </w:tcPr>
          <w:p w:rsidR="00F80803" w:rsidRPr="000B29A6" w:rsidRDefault="00F80803" w:rsidP="000B29A6">
            <w:pPr>
              <w:pStyle w:val="NoSpacing"/>
            </w:pPr>
            <w:r w:rsidRPr="000B29A6">
              <w:t xml:space="preserve">Differentiation strategy – </w:t>
            </w:r>
          </w:p>
          <w:p w:rsidR="00F80803" w:rsidRPr="000B29A6" w:rsidRDefault="00F80803" w:rsidP="000B29A6">
            <w:pPr>
              <w:pStyle w:val="NoSpacing"/>
            </w:pPr>
            <w:r w:rsidRPr="000B29A6">
              <w:t>Focus</w:t>
            </w:r>
            <w:r w:rsidR="000B29A6">
              <w:t xml:space="preserve"> </w:t>
            </w:r>
            <w:r w:rsidRPr="000B29A6">
              <w:t>Strategy</w:t>
            </w:r>
          </w:p>
        </w:tc>
        <w:tc>
          <w:tcPr>
            <w:tcW w:w="1808" w:type="dxa"/>
          </w:tcPr>
          <w:p w:rsidR="00F80803" w:rsidRPr="000B29A6" w:rsidRDefault="00F80803" w:rsidP="000B29A6">
            <w:pPr>
              <w:pStyle w:val="NoSpacing"/>
              <w:jc w:val="right"/>
            </w:pPr>
            <w:r w:rsidRPr="000B29A6">
              <w:t>-1.32432</w:t>
            </w:r>
          </w:p>
        </w:tc>
        <w:tc>
          <w:tcPr>
            <w:tcW w:w="1134" w:type="dxa"/>
          </w:tcPr>
          <w:p w:rsidR="00F80803" w:rsidRPr="000B29A6" w:rsidRDefault="00F80803" w:rsidP="000B29A6">
            <w:pPr>
              <w:pStyle w:val="NoSpacing"/>
              <w:jc w:val="right"/>
            </w:pPr>
            <w:r w:rsidRPr="000B29A6">
              <w:t>1.29216</w:t>
            </w:r>
          </w:p>
        </w:tc>
        <w:tc>
          <w:tcPr>
            <w:tcW w:w="992" w:type="dxa"/>
          </w:tcPr>
          <w:p w:rsidR="00F80803" w:rsidRPr="000B29A6" w:rsidRDefault="00F80803" w:rsidP="000B29A6">
            <w:pPr>
              <w:pStyle w:val="NoSpacing"/>
              <w:jc w:val="right"/>
            </w:pPr>
            <w:r w:rsidRPr="000B29A6">
              <w:t>-6.2324</w:t>
            </w:r>
          </w:p>
        </w:tc>
        <w:tc>
          <w:tcPr>
            <w:tcW w:w="1169" w:type="dxa"/>
          </w:tcPr>
          <w:p w:rsidR="00F80803" w:rsidRPr="000B29A6" w:rsidRDefault="00F80803" w:rsidP="000B29A6">
            <w:pPr>
              <w:pStyle w:val="NoSpacing"/>
              <w:jc w:val="right"/>
            </w:pPr>
            <w:r w:rsidRPr="000B29A6">
              <w:t>36</w:t>
            </w:r>
          </w:p>
        </w:tc>
        <w:tc>
          <w:tcPr>
            <w:tcW w:w="1206" w:type="dxa"/>
          </w:tcPr>
          <w:p w:rsidR="00F80803" w:rsidRPr="000B29A6" w:rsidRDefault="00F80803" w:rsidP="000B29A6">
            <w:pPr>
              <w:pStyle w:val="NoSpacing"/>
              <w:jc w:val="right"/>
            </w:pPr>
            <w:r w:rsidRPr="000B29A6">
              <w:t>.000</w:t>
            </w:r>
          </w:p>
        </w:tc>
      </w:tr>
    </w:tbl>
    <w:p w:rsidR="00F80803" w:rsidRPr="000B29A6" w:rsidRDefault="00F80803" w:rsidP="000B29A6">
      <w:pPr>
        <w:pStyle w:val="NoSpacing"/>
        <w:rPr>
          <w:sz w:val="20"/>
          <w:szCs w:val="20"/>
        </w:rPr>
      </w:pPr>
      <w:r w:rsidRPr="000B29A6">
        <w:rPr>
          <w:sz w:val="20"/>
          <w:szCs w:val="20"/>
        </w:rPr>
        <w:t xml:space="preserve">Source: Author analysis in statistical program SPSS 20. </w:t>
      </w:r>
    </w:p>
    <w:p w:rsidR="00F80803" w:rsidRDefault="00F80803" w:rsidP="000B29A6">
      <w:pPr>
        <w:ind w:firstLine="720"/>
        <w:rPr>
          <w:rFonts w:cs="Times New Roman"/>
        </w:rPr>
      </w:pPr>
      <w:r>
        <w:rPr>
          <w:rFonts w:cs="Times New Roman"/>
        </w:rPr>
        <w:t xml:space="preserve">P = 0, 000 &lt; 0, 05, therefore it can be concluded that there is a significant statistic difference between the response of manager and owner regarding the Differentiation and Focus strategy, i.e. these strategies are not similar for managers and owners of production </w:t>
      </w:r>
      <w:r>
        <w:rPr>
          <w:rFonts w:cs="Times New Roman"/>
        </w:rPr>
        <w:lastRenderedPageBreak/>
        <w:t>enterprises engaged in export, and they are not contributing to the same extent to creating a better competitive position of BH enterprises in the international market.</w:t>
      </w:r>
    </w:p>
    <w:p w:rsidR="000B29A6" w:rsidRPr="000B29A6" w:rsidRDefault="000B29A6" w:rsidP="000B29A6">
      <w:pPr>
        <w:pStyle w:val="NoSpacing"/>
        <w:rPr>
          <w:b/>
          <w:sz w:val="22"/>
          <w:szCs w:val="22"/>
        </w:rPr>
      </w:pPr>
    </w:p>
    <w:p w:rsidR="00F80803" w:rsidRPr="000B29A6" w:rsidRDefault="00F80803" w:rsidP="000B29A6">
      <w:pPr>
        <w:pStyle w:val="NoSpacing"/>
        <w:rPr>
          <w:b/>
          <w:sz w:val="22"/>
          <w:szCs w:val="22"/>
        </w:rPr>
      </w:pPr>
      <w:r w:rsidRPr="000B29A6">
        <w:rPr>
          <w:b/>
          <w:sz w:val="22"/>
          <w:szCs w:val="22"/>
        </w:rPr>
        <w:t xml:space="preserve">Table 13. </w:t>
      </w:r>
      <w:r w:rsidRPr="00B72F16">
        <w:rPr>
          <w:sz w:val="22"/>
          <w:szCs w:val="22"/>
        </w:rPr>
        <w:t>Rate which of the three possible generic strategies is mostly used for positioning in the international market</w:t>
      </w:r>
      <w:r w:rsidRPr="000B29A6">
        <w:rPr>
          <w:b/>
          <w:sz w:val="22"/>
          <w:szCs w:val="22"/>
        </w:rPr>
        <w:t xml:space="preserve"> </w:t>
      </w:r>
    </w:p>
    <w:tbl>
      <w:tblPr>
        <w:tblStyle w:val="TableGrid"/>
        <w:tblW w:w="0" w:type="auto"/>
        <w:tblLook w:val="04A0"/>
      </w:tblPr>
      <w:tblGrid>
        <w:gridCol w:w="1144"/>
        <w:gridCol w:w="1507"/>
        <w:gridCol w:w="2159"/>
        <w:gridCol w:w="2201"/>
        <w:gridCol w:w="1851"/>
      </w:tblGrid>
      <w:tr w:rsidR="00F80803" w:rsidRPr="000B29A6" w:rsidTr="000B29A6">
        <w:trPr>
          <w:trHeight w:val="639"/>
        </w:trPr>
        <w:tc>
          <w:tcPr>
            <w:tcW w:w="2802" w:type="dxa"/>
            <w:gridSpan w:val="2"/>
          </w:tcPr>
          <w:p w:rsidR="00F80803" w:rsidRPr="000B29A6" w:rsidRDefault="00F80803" w:rsidP="000B29A6">
            <w:pPr>
              <w:pStyle w:val="NoSpacing"/>
            </w:pPr>
          </w:p>
          <w:p w:rsidR="00F80803" w:rsidRPr="000B29A6" w:rsidRDefault="00F80803" w:rsidP="000B29A6">
            <w:pPr>
              <w:pStyle w:val="NoSpacing"/>
            </w:pPr>
          </w:p>
        </w:tc>
        <w:tc>
          <w:tcPr>
            <w:tcW w:w="2268" w:type="dxa"/>
            <w:shd w:val="clear" w:color="auto" w:fill="DAEEF3" w:themeFill="accent5" w:themeFillTint="33"/>
          </w:tcPr>
          <w:p w:rsidR="00F80803" w:rsidRPr="000B29A6" w:rsidRDefault="00F80803" w:rsidP="000B29A6">
            <w:pPr>
              <w:pStyle w:val="NoSpacing"/>
              <w:jc w:val="center"/>
              <w:rPr>
                <w:b/>
              </w:rPr>
            </w:pPr>
            <w:r w:rsidRPr="000B29A6">
              <w:rPr>
                <w:b/>
              </w:rPr>
              <w:t>Cost leadership strategy</w:t>
            </w:r>
          </w:p>
        </w:tc>
        <w:tc>
          <w:tcPr>
            <w:tcW w:w="2268" w:type="dxa"/>
            <w:shd w:val="clear" w:color="auto" w:fill="DAEEF3" w:themeFill="accent5" w:themeFillTint="33"/>
          </w:tcPr>
          <w:p w:rsidR="00F80803" w:rsidRPr="000B29A6" w:rsidRDefault="00F80803" w:rsidP="000B29A6">
            <w:pPr>
              <w:pStyle w:val="NoSpacing"/>
              <w:jc w:val="center"/>
              <w:rPr>
                <w:b/>
              </w:rPr>
            </w:pPr>
            <w:r w:rsidRPr="000B29A6">
              <w:rPr>
                <w:b/>
              </w:rPr>
              <w:t>Differentiation strategy</w:t>
            </w:r>
          </w:p>
        </w:tc>
        <w:tc>
          <w:tcPr>
            <w:tcW w:w="1950" w:type="dxa"/>
            <w:shd w:val="clear" w:color="auto" w:fill="DAEEF3" w:themeFill="accent5" w:themeFillTint="33"/>
          </w:tcPr>
          <w:p w:rsidR="00F80803" w:rsidRPr="000B29A6" w:rsidRDefault="00F80803" w:rsidP="000B29A6">
            <w:pPr>
              <w:pStyle w:val="NoSpacing"/>
              <w:jc w:val="center"/>
              <w:rPr>
                <w:b/>
              </w:rPr>
            </w:pPr>
            <w:r w:rsidRPr="000B29A6">
              <w:rPr>
                <w:b/>
              </w:rPr>
              <w:t>Focus strategy</w:t>
            </w:r>
          </w:p>
        </w:tc>
      </w:tr>
      <w:tr w:rsidR="00F80803" w:rsidRPr="000B29A6" w:rsidTr="00223870">
        <w:tc>
          <w:tcPr>
            <w:tcW w:w="1230" w:type="dxa"/>
            <w:vMerge w:val="restart"/>
            <w:tcBorders>
              <w:right w:val="single" w:sz="4" w:space="0" w:color="auto"/>
            </w:tcBorders>
          </w:tcPr>
          <w:p w:rsidR="00F80803" w:rsidRPr="000B29A6" w:rsidRDefault="00F80803" w:rsidP="000B29A6">
            <w:pPr>
              <w:pStyle w:val="NoSpacing"/>
            </w:pPr>
            <w:r w:rsidRPr="000B29A6">
              <w:t>N</w:t>
            </w:r>
          </w:p>
        </w:tc>
        <w:tc>
          <w:tcPr>
            <w:tcW w:w="1572" w:type="dxa"/>
            <w:tcBorders>
              <w:left w:val="single" w:sz="4" w:space="0" w:color="auto"/>
            </w:tcBorders>
          </w:tcPr>
          <w:p w:rsidR="00F80803" w:rsidRPr="000B29A6" w:rsidRDefault="00F80803" w:rsidP="000B29A6">
            <w:pPr>
              <w:pStyle w:val="NoSpacing"/>
            </w:pPr>
            <w:r w:rsidRPr="000B29A6">
              <w:t>Valid</w:t>
            </w:r>
          </w:p>
        </w:tc>
        <w:tc>
          <w:tcPr>
            <w:tcW w:w="2268" w:type="dxa"/>
          </w:tcPr>
          <w:p w:rsidR="00F80803" w:rsidRPr="000B29A6" w:rsidRDefault="00F80803" w:rsidP="000B29A6">
            <w:pPr>
              <w:pStyle w:val="NoSpacing"/>
              <w:jc w:val="right"/>
            </w:pPr>
            <w:r w:rsidRPr="000B29A6">
              <w:t>37</w:t>
            </w:r>
          </w:p>
        </w:tc>
        <w:tc>
          <w:tcPr>
            <w:tcW w:w="2268" w:type="dxa"/>
          </w:tcPr>
          <w:p w:rsidR="00F80803" w:rsidRPr="000B29A6" w:rsidRDefault="00F80803" w:rsidP="000B29A6">
            <w:pPr>
              <w:pStyle w:val="NoSpacing"/>
              <w:jc w:val="right"/>
            </w:pPr>
            <w:r w:rsidRPr="000B29A6">
              <w:t>37</w:t>
            </w:r>
          </w:p>
        </w:tc>
        <w:tc>
          <w:tcPr>
            <w:tcW w:w="1950" w:type="dxa"/>
          </w:tcPr>
          <w:p w:rsidR="00F80803" w:rsidRPr="000B29A6" w:rsidRDefault="00F80803" w:rsidP="000B29A6">
            <w:pPr>
              <w:pStyle w:val="NoSpacing"/>
              <w:jc w:val="right"/>
            </w:pPr>
            <w:r w:rsidRPr="000B29A6">
              <w:t>37</w:t>
            </w:r>
          </w:p>
        </w:tc>
      </w:tr>
      <w:tr w:rsidR="00F80803" w:rsidRPr="000B29A6" w:rsidTr="00223870">
        <w:tc>
          <w:tcPr>
            <w:tcW w:w="1230" w:type="dxa"/>
            <w:vMerge/>
            <w:tcBorders>
              <w:right w:val="single" w:sz="4" w:space="0" w:color="auto"/>
            </w:tcBorders>
          </w:tcPr>
          <w:p w:rsidR="00F80803" w:rsidRPr="000B29A6" w:rsidRDefault="00F80803" w:rsidP="000B29A6">
            <w:pPr>
              <w:pStyle w:val="NoSpacing"/>
            </w:pPr>
          </w:p>
        </w:tc>
        <w:tc>
          <w:tcPr>
            <w:tcW w:w="1572" w:type="dxa"/>
            <w:tcBorders>
              <w:left w:val="single" w:sz="4" w:space="0" w:color="auto"/>
            </w:tcBorders>
          </w:tcPr>
          <w:p w:rsidR="00F80803" w:rsidRPr="000B29A6" w:rsidRDefault="00F80803" w:rsidP="000B29A6">
            <w:pPr>
              <w:pStyle w:val="NoSpacing"/>
            </w:pPr>
            <w:r w:rsidRPr="000B29A6">
              <w:t>Missing</w:t>
            </w:r>
          </w:p>
        </w:tc>
        <w:tc>
          <w:tcPr>
            <w:tcW w:w="2268" w:type="dxa"/>
          </w:tcPr>
          <w:p w:rsidR="00F80803" w:rsidRPr="000B29A6" w:rsidRDefault="00F80803" w:rsidP="000B29A6">
            <w:pPr>
              <w:pStyle w:val="NoSpacing"/>
              <w:jc w:val="right"/>
            </w:pPr>
            <w:r w:rsidRPr="000B29A6">
              <w:t>0</w:t>
            </w:r>
          </w:p>
        </w:tc>
        <w:tc>
          <w:tcPr>
            <w:tcW w:w="2268" w:type="dxa"/>
          </w:tcPr>
          <w:p w:rsidR="00F80803" w:rsidRPr="000B29A6" w:rsidRDefault="00F80803" w:rsidP="000B29A6">
            <w:pPr>
              <w:pStyle w:val="NoSpacing"/>
              <w:jc w:val="right"/>
            </w:pPr>
            <w:r w:rsidRPr="000B29A6">
              <w:t>0</w:t>
            </w:r>
          </w:p>
        </w:tc>
        <w:tc>
          <w:tcPr>
            <w:tcW w:w="1950" w:type="dxa"/>
          </w:tcPr>
          <w:p w:rsidR="00F80803" w:rsidRPr="000B29A6" w:rsidRDefault="00F80803" w:rsidP="000B29A6">
            <w:pPr>
              <w:pStyle w:val="NoSpacing"/>
              <w:jc w:val="right"/>
            </w:pPr>
            <w:r w:rsidRPr="000B29A6">
              <w:t>0</w:t>
            </w:r>
          </w:p>
        </w:tc>
      </w:tr>
      <w:tr w:rsidR="00F80803" w:rsidRPr="000B29A6" w:rsidTr="000B29A6">
        <w:tc>
          <w:tcPr>
            <w:tcW w:w="2802" w:type="dxa"/>
            <w:gridSpan w:val="2"/>
            <w:shd w:val="clear" w:color="auto" w:fill="DAEEF3" w:themeFill="accent5" w:themeFillTint="33"/>
          </w:tcPr>
          <w:p w:rsidR="00F80803" w:rsidRPr="000B29A6" w:rsidRDefault="00F80803" w:rsidP="000B29A6">
            <w:pPr>
              <w:pStyle w:val="NoSpacing"/>
              <w:rPr>
                <w:b/>
              </w:rPr>
            </w:pPr>
            <w:r w:rsidRPr="000B29A6">
              <w:rPr>
                <w:b/>
              </w:rPr>
              <w:t>Arithmetic mean</w:t>
            </w:r>
          </w:p>
        </w:tc>
        <w:tc>
          <w:tcPr>
            <w:tcW w:w="2268" w:type="dxa"/>
          </w:tcPr>
          <w:p w:rsidR="00F80803" w:rsidRPr="000B29A6" w:rsidRDefault="00F80803" w:rsidP="000B29A6">
            <w:pPr>
              <w:pStyle w:val="NoSpacing"/>
              <w:jc w:val="right"/>
            </w:pPr>
            <w:r w:rsidRPr="000B29A6">
              <w:t>4.2973</w:t>
            </w:r>
          </w:p>
        </w:tc>
        <w:tc>
          <w:tcPr>
            <w:tcW w:w="2268" w:type="dxa"/>
          </w:tcPr>
          <w:p w:rsidR="00F80803" w:rsidRPr="000B29A6" w:rsidRDefault="00F80803" w:rsidP="000B29A6">
            <w:pPr>
              <w:pStyle w:val="NoSpacing"/>
              <w:jc w:val="right"/>
            </w:pPr>
            <w:r w:rsidRPr="000B29A6">
              <w:t>2.6486</w:t>
            </w:r>
          </w:p>
        </w:tc>
        <w:tc>
          <w:tcPr>
            <w:tcW w:w="1950" w:type="dxa"/>
          </w:tcPr>
          <w:p w:rsidR="00F80803" w:rsidRPr="000B29A6" w:rsidRDefault="00F80803" w:rsidP="000B29A6">
            <w:pPr>
              <w:pStyle w:val="NoSpacing"/>
              <w:jc w:val="right"/>
            </w:pPr>
            <w:r w:rsidRPr="000B29A6">
              <w:t>3.7027</w:t>
            </w:r>
          </w:p>
        </w:tc>
      </w:tr>
      <w:tr w:rsidR="00F80803" w:rsidRPr="000B29A6" w:rsidTr="000B29A6">
        <w:tc>
          <w:tcPr>
            <w:tcW w:w="2802" w:type="dxa"/>
            <w:gridSpan w:val="2"/>
            <w:shd w:val="clear" w:color="auto" w:fill="DAEEF3" w:themeFill="accent5" w:themeFillTint="33"/>
          </w:tcPr>
          <w:p w:rsidR="00F80803" w:rsidRPr="000B29A6" w:rsidRDefault="00F80803" w:rsidP="000B29A6">
            <w:pPr>
              <w:pStyle w:val="NoSpacing"/>
              <w:rPr>
                <w:b/>
              </w:rPr>
            </w:pPr>
            <w:r w:rsidRPr="000B29A6">
              <w:rPr>
                <w:b/>
              </w:rPr>
              <w:t>Median</w:t>
            </w:r>
          </w:p>
        </w:tc>
        <w:tc>
          <w:tcPr>
            <w:tcW w:w="2268" w:type="dxa"/>
          </w:tcPr>
          <w:p w:rsidR="00F80803" w:rsidRPr="000B29A6" w:rsidRDefault="00F80803" w:rsidP="000B29A6">
            <w:pPr>
              <w:pStyle w:val="NoSpacing"/>
              <w:jc w:val="right"/>
            </w:pPr>
            <w:r w:rsidRPr="000B29A6">
              <w:t>5.0000</w:t>
            </w:r>
          </w:p>
        </w:tc>
        <w:tc>
          <w:tcPr>
            <w:tcW w:w="2268" w:type="dxa"/>
          </w:tcPr>
          <w:p w:rsidR="00F80803" w:rsidRPr="000B29A6" w:rsidRDefault="00F80803" w:rsidP="000B29A6">
            <w:pPr>
              <w:pStyle w:val="NoSpacing"/>
              <w:jc w:val="right"/>
            </w:pPr>
            <w:r w:rsidRPr="000B29A6">
              <w:t>2.0000</w:t>
            </w:r>
          </w:p>
        </w:tc>
        <w:tc>
          <w:tcPr>
            <w:tcW w:w="1950" w:type="dxa"/>
          </w:tcPr>
          <w:p w:rsidR="00F80803" w:rsidRPr="000B29A6" w:rsidRDefault="00F80803" w:rsidP="000B29A6">
            <w:pPr>
              <w:pStyle w:val="NoSpacing"/>
              <w:jc w:val="right"/>
            </w:pPr>
            <w:r w:rsidRPr="000B29A6">
              <w:t>4.000</w:t>
            </w:r>
          </w:p>
        </w:tc>
      </w:tr>
      <w:tr w:rsidR="00F80803" w:rsidRPr="000B29A6" w:rsidTr="000B29A6">
        <w:tc>
          <w:tcPr>
            <w:tcW w:w="2802" w:type="dxa"/>
            <w:gridSpan w:val="2"/>
            <w:shd w:val="clear" w:color="auto" w:fill="DAEEF3" w:themeFill="accent5" w:themeFillTint="33"/>
          </w:tcPr>
          <w:p w:rsidR="00F80803" w:rsidRPr="000B29A6" w:rsidRDefault="00F80803" w:rsidP="000B29A6">
            <w:pPr>
              <w:pStyle w:val="NoSpacing"/>
              <w:rPr>
                <w:b/>
              </w:rPr>
            </w:pPr>
            <w:r w:rsidRPr="000B29A6">
              <w:rPr>
                <w:b/>
              </w:rPr>
              <w:t>Mode</w:t>
            </w:r>
          </w:p>
        </w:tc>
        <w:tc>
          <w:tcPr>
            <w:tcW w:w="2268" w:type="dxa"/>
          </w:tcPr>
          <w:p w:rsidR="00F80803" w:rsidRPr="000B29A6" w:rsidRDefault="00F80803" w:rsidP="000B29A6">
            <w:pPr>
              <w:pStyle w:val="NoSpacing"/>
              <w:jc w:val="right"/>
            </w:pPr>
            <w:r w:rsidRPr="000B29A6">
              <w:t>5.00</w:t>
            </w:r>
          </w:p>
        </w:tc>
        <w:tc>
          <w:tcPr>
            <w:tcW w:w="2268" w:type="dxa"/>
          </w:tcPr>
          <w:p w:rsidR="00F80803" w:rsidRPr="000B29A6" w:rsidRDefault="00F80803" w:rsidP="000B29A6">
            <w:pPr>
              <w:pStyle w:val="NoSpacing"/>
              <w:jc w:val="right"/>
            </w:pPr>
            <w:r w:rsidRPr="000B29A6">
              <w:t>2.00</w:t>
            </w:r>
          </w:p>
        </w:tc>
        <w:tc>
          <w:tcPr>
            <w:tcW w:w="1950" w:type="dxa"/>
          </w:tcPr>
          <w:p w:rsidR="00F80803" w:rsidRPr="000B29A6" w:rsidRDefault="00F80803" w:rsidP="000B29A6">
            <w:pPr>
              <w:pStyle w:val="NoSpacing"/>
              <w:jc w:val="right"/>
            </w:pPr>
            <w:r w:rsidRPr="000B29A6">
              <w:t>4.00</w:t>
            </w:r>
          </w:p>
        </w:tc>
      </w:tr>
      <w:tr w:rsidR="00F80803" w:rsidRPr="000B29A6" w:rsidTr="000B29A6">
        <w:tc>
          <w:tcPr>
            <w:tcW w:w="2802" w:type="dxa"/>
            <w:gridSpan w:val="2"/>
            <w:shd w:val="clear" w:color="auto" w:fill="DAEEF3" w:themeFill="accent5" w:themeFillTint="33"/>
          </w:tcPr>
          <w:p w:rsidR="00F80803" w:rsidRPr="000B29A6" w:rsidRDefault="00F80803" w:rsidP="000B29A6">
            <w:pPr>
              <w:pStyle w:val="NoSpacing"/>
              <w:rPr>
                <w:b/>
              </w:rPr>
            </w:pPr>
            <w:r w:rsidRPr="000B29A6">
              <w:rPr>
                <w:b/>
              </w:rPr>
              <w:t xml:space="preserve">Standard deviations </w:t>
            </w:r>
          </w:p>
        </w:tc>
        <w:tc>
          <w:tcPr>
            <w:tcW w:w="2268" w:type="dxa"/>
          </w:tcPr>
          <w:p w:rsidR="00F80803" w:rsidRPr="000B29A6" w:rsidRDefault="00F80803" w:rsidP="000B29A6">
            <w:pPr>
              <w:pStyle w:val="NoSpacing"/>
              <w:jc w:val="right"/>
            </w:pPr>
            <w:r w:rsidRPr="000B29A6">
              <w:t>.93882</w:t>
            </w:r>
          </w:p>
        </w:tc>
        <w:tc>
          <w:tcPr>
            <w:tcW w:w="2268" w:type="dxa"/>
          </w:tcPr>
          <w:p w:rsidR="00F80803" w:rsidRPr="000B29A6" w:rsidRDefault="00F80803" w:rsidP="000B29A6">
            <w:pPr>
              <w:pStyle w:val="NoSpacing"/>
              <w:jc w:val="right"/>
            </w:pPr>
            <w:r w:rsidRPr="000B29A6">
              <w:t>1.00599</w:t>
            </w:r>
          </w:p>
        </w:tc>
        <w:tc>
          <w:tcPr>
            <w:tcW w:w="1950" w:type="dxa"/>
          </w:tcPr>
          <w:p w:rsidR="00F80803" w:rsidRPr="000B29A6" w:rsidRDefault="00F80803" w:rsidP="000B29A6">
            <w:pPr>
              <w:pStyle w:val="NoSpacing"/>
              <w:jc w:val="right"/>
            </w:pPr>
            <w:r w:rsidRPr="000B29A6">
              <w:t>.84541</w:t>
            </w:r>
          </w:p>
        </w:tc>
      </w:tr>
      <w:tr w:rsidR="00F80803" w:rsidRPr="000B29A6" w:rsidTr="000B29A6">
        <w:tc>
          <w:tcPr>
            <w:tcW w:w="2802" w:type="dxa"/>
            <w:gridSpan w:val="2"/>
            <w:shd w:val="clear" w:color="auto" w:fill="DAEEF3" w:themeFill="accent5" w:themeFillTint="33"/>
          </w:tcPr>
          <w:p w:rsidR="00F80803" w:rsidRPr="000B29A6" w:rsidRDefault="00F80803" w:rsidP="000B29A6">
            <w:pPr>
              <w:pStyle w:val="NoSpacing"/>
              <w:rPr>
                <w:b/>
              </w:rPr>
            </w:pPr>
            <w:r w:rsidRPr="000B29A6">
              <w:rPr>
                <w:b/>
              </w:rPr>
              <w:t>Minimum</w:t>
            </w:r>
          </w:p>
        </w:tc>
        <w:tc>
          <w:tcPr>
            <w:tcW w:w="2268" w:type="dxa"/>
          </w:tcPr>
          <w:p w:rsidR="00F80803" w:rsidRPr="000B29A6" w:rsidRDefault="00F80803" w:rsidP="000B29A6">
            <w:pPr>
              <w:pStyle w:val="NoSpacing"/>
              <w:jc w:val="right"/>
            </w:pPr>
            <w:r w:rsidRPr="000B29A6">
              <w:t>3.00</w:t>
            </w:r>
          </w:p>
        </w:tc>
        <w:tc>
          <w:tcPr>
            <w:tcW w:w="2268" w:type="dxa"/>
          </w:tcPr>
          <w:p w:rsidR="00F80803" w:rsidRPr="000B29A6" w:rsidRDefault="00F80803" w:rsidP="000B29A6">
            <w:pPr>
              <w:pStyle w:val="NoSpacing"/>
              <w:jc w:val="right"/>
            </w:pPr>
            <w:r w:rsidRPr="000B29A6">
              <w:t>4.00</w:t>
            </w:r>
          </w:p>
        </w:tc>
        <w:tc>
          <w:tcPr>
            <w:tcW w:w="1950" w:type="dxa"/>
          </w:tcPr>
          <w:p w:rsidR="00F80803" w:rsidRPr="000B29A6" w:rsidRDefault="00F80803" w:rsidP="000B29A6">
            <w:pPr>
              <w:pStyle w:val="NoSpacing"/>
              <w:jc w:val="right"/>
            </w:pPr>
            <w:r w:rsidRPr="000B29A6">
              <w:t>3.00</w:t>
            </w:r>
          </w:p>
        </w:tc>
      </w:tr>
      <w:tr w:rsidR="00F80803" w:rsidRPr="000B29A6" w:rsidTr="000B29A6">
        <w:tc>
          <w:tcPr>
            <w:tcW w:w="2802" w:type="dxa"/>
            <w:gridSpan w:val="2"/>
            <w:shd w:val="clear" w:color="auto" w:fill="DAEEF3" w:themeFill="accent5" w:themeFillTint="33"/>
          </w:tcPr>
          <w:p w:rsidR="00F80803" w:rsidRPr="000B29A6" w:rsidRDefault="00F80803" w:rsidP="000B29A6">
            <w:pPr>
              <w:pStyle w:val="NoSpacing"/>
              <w:rPr>
                <w:b/>
              </w:rPr>
            </w:pPr>
            <w:r w:rsidRPr="000B29A6">
              <w:rPr>
                <w:b/>
              </w:rPr>
              <w:t>Maximum</w:t>
            </w:r>
          </w:p>
        </w:tc>
        <w:tc>
          <w:tcPr>
            <w:tcW w:w="2268" w:type="dxa"/>
          </w:tcPr>
          <w:p w:rsidR="00F80803" w:rsidRPr="000B29A6" w:rsidRDefault="00F80803" w:rsidP="000B29A6">
            <w:pPr>
              <w:pStyle w:val="NoSpacing"/>
              <w:jc w:val="right"/>
            </w:pPr>
            <w:r w:rsidRPr="000B29A6">
              <w:t>2.00</w:t>
            </w:r>
          </w:p>
        </w:tc>
        <w:tc>
          <w:tcPr>
            <w:tcW w:w="2268" w:type="dxa"/>
          </w:tcPr>
          <w:p w:rsidR="00F80803" w:rsidRPr="000B29A6" w:rsidRDefault="00F80803" w:rsidP="000B29A6">
            <w:pPr>
              <w:pStyle w:val="NoSpacing"/>
              <w:jc w:val="right"/>
            </w:pPr>
            <w:r w:rsidRPr="000B29A6">
              <w:t>1.00</w:t>
            </w:r>
          </w:p>
        </w:tc>
        <w:tc>
          <w:tcPr>
            <w:tcW w:w="1950" w:type="dxa"/>
          </w:tcPr>
          <w:p w:rsidR="00F80803" w:rsidRPr="000B29A6" w:rsidRDefault="00F80803" w:rsidP="000B29A6">
            <w:pPr>
              <w:pStyle w:val="NoSpacing"/>
              <w:jc w:val="right"/>
            </w:pPr>
            <w:r w:rsidRPr="000B29A6">
              <w:t>2.00</w:t>
            </w:r>
          </w:p>
        </w:tc>
      </w:tr>
      <w:tr w:rsidR="00F80803" w:rsidRPr="000B29A6" w:rsidTr="000B29A6">
        <w:tc>
          <w:tcPr>
            <w:tcW w:w="2802" w:type="dxa"/>
            <w:gridSpan w:val="2"/>
            <w:shd w:val="clear" w:color="auto" w:fill="DAEEF3" w:themeFill="accent5" w:themeFillTint="33"/>
          </w:tcPr>
          <w:p w:rsidR="00F80803" w:rsidRPr="000B29A6" w:rsidRDefault="00F80803" w:rsidP="000B29A6">
            <w:pPr>
              <w:pStyle w:val="NoSpacing"/>
              <w:rPr>
                <w:b/>
              </w:rPr>
            </w:pPr>
            <w:r w:rsidRPr="000B29A6">
              <w:rPr>
                <w:b/>
              </w:rPr>
              <w:t>Coefficient of variation</w:t>
            </w:r>
          </w:p>
        </w:tc>
        <w:tc>
          <w:tcPr>
            <w:tcW w:w="2268" w:type="dxa"/>
          </w:tcPr>
          <w:p w:rsidR="00F80803" w:rsidRPr="000B29A6" w:rsidRDefault="00F80803" w:rsidP="000B29A6">
            <w:pPr>
              <w:pStyle w:val="NoSpacing"/>
              <w:jc w:val="right"/>
            </w:pPr>
            <w:r w:rsidRPr="000B29A6">
              <w:t>5.00</w:t>
            </w:r>
          </w:p>
        </w:tc>
        <w:tc>
          <w:tcPr>
            <w:tcW w:w="2268" w:type="dxa"/>
          </w:tcPr>
          <w:p w:rsidR="00F80803" w:rsidRPr="000B29A6" w:rsidRDefault="00F80803" w:rsidP="000B29A6">
            <w:pPr>
              <w:pStyle w:val="NoSpacing"/>
              <w:jc w:val="right"/>
            </w:pPr>
            <w:r w:rsidRPr="000B29A6">
              <w:t>5.00</w:t>
            </w:r>
          </w:p>
        </w:tc>
        <w:tc>
          <w:tcPr>
            <w:tcW w:w="1950" w:type="dxa"/>
          </w:tcPr>
          <w:p w:rsidR="00F80803" w:rsidRPr="000B29A6" w:rsidRDefault="00F80803" w:rsidP="000B29A6">
            <w:pPr>
              <w:pStyle w:val="NoSpacing"/>
              <w:jc w:val="right"/>
            </w:pPr>
            <w:r w:rsidRPr="000B29A6">
              <w:t>5.00</w:t>
            </w:r>
          </w:p>
        </w:tc>
      </w:tr>
      <w:tr w:rsidR="00F80803" w:rsidRPr="000B29A6" w:rsidTr="000B29A6">
        <w:tc>
          <w:tcPr>
            <w:tcW w:w="2802" w:type="dxa"/>
            <w:gridSpan w:val="2"/>
            <w:shd w:val="clear" w:color="auto" w:fill="DAEEF3" w:themeFill="accent5" w:themeFillTint="33"/>
          </w:tcPr>
          <w:p w:rsidR="00F80803" w:rsidRPr="000B29A6" w:rsidRDefault="00F80803" w:rsidP="000B29A6">
            <w:pPr>
              <w:pStyle w:val="NoSpacing"/>
              <w:rPr>
                <w:b/>
              </w:rPr>
            </w:pPr>
            <w:r w:rsidRPr="000B29A6">
              <w:rPr>
                <w:b/>
              </w:rPr>
              <w:t>Arithmetic mean</w:t>
            </w:r>
          </w:p>
        </w:tc>
        <w:tc>
          <w:tcPr>
            <w:tcW w:w="2268" w:type="dxa"/>
          </w:tcPr>
          <w:p w:rsidR="00F80803" w:rsidRPr="000B29A6" w:rsidRDefault="00F80803" w:rsidP="000B29A6">
            <w:pPr>
              <w:pStyle w:val="NoSpacing"/>
              <w:jc w:val="right"/>
            </w:pPr>
            <w:r w:rsidRPr="000B29A6">
              <w:t>0, 21</w:t>
            </w:r>
          </w:p>
        </w:tc>
        <w:tc>
          <w:tcPr>
            <w:tcW w:w="2268" w:type="dxa"/>
          </w:tcPr>
          <w:p w:rsidR="00F80803" w:rsidRPr="000B29A6" w:rsidRDefault="00F80803" w:rsidP="000B29A6">
            <w:pPr>
              <w:pStyle w:val="NoSpacing"/>
              <w:jc w:val="right"/>
            </w:pPr>
            <w:r w:rsidRPr="000B29A6">
              <w:t>0, 37</w:t>
            </w:r>
          </w:p>
        </w:tc>
        <w:tc>
          <w:tcPr>
            <w:tcW w:w="1950" w:type="dxa"/>
          </w:tcPr>
          <w:p w:rsidR="00F80803" w:rsidRPr="000B29A6" w:rsidRDefault="00F80803" w:rsidP="000B29A6">
            <w:pPr>
              <w:pStyle w:val="NoSpacing"/>
              <w:jc w:val="right"/>
            </w:pPr>
            <w:r w:rsidRPr="000B29A6">
              <w:t>0,22</w:t>
            </w:r>
          </w:p>
        </w:tc>
      </w:tr>
    </w:tbl>
    <w:p w:rsidR="00F80803" w:rsidRDefault="00F80803" w:rsidP="000B29A6">
      <w:pPr>
        <w:pStyle w:val="NoSpacing"/>
        <w:rPr>
          <w:sz w:val="20"/>
        </w:rPr>
      </w:pPr>
      <w:r>
        <w:rPr>
          <w:sz w:val="20"/>
        </w:rPr>
        <w:t xml:space="preserve">Source: Author analysis in statistical program SPSS 20. </w:t>
      </w:r>
    </w:p>
    <w:p w:rsidR="000B29A6" w:rsidRDefault="000B29A6" w:rsidP="000B29A6">
      <w:pPr>
        <w:pStyle w:val="NoSpacing"/>
      </w:pPr>
    </w:p>
    <w:p w:rsidR="00F80803" w:rsidRPr="000B29A6" w:rsidRDefault="00F80803" w:rsidP="000B29A6">
      <w:pPr>
        <w:pStyle w:val="NoSpacing"/>
        <w:ind w:firstLine="720"/>
      </w:pPr>
      <w:r>
        <w:t>Analysing data collected has shown that</w:t>
      </w:r>
      <w:r w:rsidRPr="00B62B7A">
        <w:t xml:space="preserve"> </w:t>
      </w:r>
      <w:r>
        <w:t>participants i.e. their enterprises mostly use</w:t>
      </w:r>
      <w:r w:rsidRPr="00BA4BB5">
        <w:t xml:space="preserve"> </w:t>
      </w:r>
      <w:r>
        <w:t>Cost leadership strategy. The average survey response rate is 4 2973, and</w:t>
      </w:r>
      <w:r w:rsidRPr="008D4604">
        <w:t xml:space="preserve"> </w:t>
      </w:r>
      <w:r>
        <w:t>the most common response is 5- strongly agree. Standard deviation is acceptable, 0, 93882. T</w:t>
      </w:r>
      <w:r w:rsidRPr="00861F6E">
        <w:t>he coefficient of variation</w:t>
      </w:r>
      <w:r>
        <w:t xml:space="preserve"> proofs that this is a</w:t>
      </w:r>
      <w:r w:rsidRPr="00861F6E">
        <w:t xml:space="preserve"> homogeneous group response.</w:t>
      </w:r>
      <w:r w:rsidR="000B29A6">
        <w:tab/>
      </w:r>
      <w:r w:rsidR="000B29A6">
        <w:tab/>
      </w:r>
      <w:r w:rsidR="000B29A6">
        <w:tab/>
      </w:r>
      <w:r>
        <w:rPr>
          <w:rFonts w:cs="Times New Roman"/>
        </w:rPr>
        <w:t>Participants agree to a small extent the usage of Focus strategy. The average survey response rate is 3, 7027, and</w:t>
      </w:r>
      <w:r w:rsidRPr="008D4604">
        <w:rPr>
          <w:rFonts w:cs="Times New Roman"/>
        </w:rPr>
        <w:t xml:space="preserve"> </w:t>
      </w:r>
      <w:r>
        <w:rPr>
          <w:rFonts w:cs="Times New Roman"/>
        </w:rPr>
        <w:t xml:space="preserve">the most common response is 4 – I agree. Standard deviation is not high, 0, 845. The Coefficient of variation of 22% shows that this is a </w:t>
      </w:r>
      <w:r w:rsidRPr="00861F6E">
        <w:rPr>
          <w:rFonts w:cs="Times New Roman"/>
        </w:rPr>
        <w:t>homogeneous group response.</w:t>
      </w:r>
      <w:r w:rsidR="00AF20B7">
        <w:rPr>
          <w:rFonts w:cs="Times New Roman"/>
        </w:rPr>
        <w:t xml:space="preserve"> </w:t>
      </w:r>
      <w:r>
        <w:rPr>
          <w:rFonts w:cs="Times New Roman"/>
        </w:rPr>
        <w:t>The least rated generic strategy in this case was Differentiation strategy.</w:t>
      </w:r>
      <w:r w:rsidR="000B29A6">
        <w:rPr>
          <w:rFonts w:cs="Times New Roman"/>
        </w:rPr>
        <w:tab/>
      </w:r>
      <w:r w:rsidR="000B29A6">
        <w:rPr>
          <w:rFonts w:cs="Times New Roman"/>
        </w:rPr>
        <w:tab/>
      </w:r>
      <w:r w:rsidR="00AF20B7">
        <w:rPr>
          <w:rFonts w:cs="Times New Roman"/>
        </w:rPr>
        <w:tab/>
      </w:r>
      <w:r w:rsidR="00AF20B7">
        <w:rPr>
          <w:rFonts w:cs="Times New Roman"/>
        </w:rPr>
        <w:tab/>
      </w:r>
      <w:r w:rsidR="00AF20B7">
        <w:rPr>
          <w:rFonts w:cs="Times New Roman"/>
        </w:rPr>
        <w:tab/>
      </w:r>
      <w:r w:rsidR="00AF20B7">
        <w:rPr>
          <w:rFonts w:cs="Times New Roman"/>
        </w:rPr>
        <w:tab/>
      </w:r>
      <w:r w:rsidR="00AF20B7">
        <w:rPr>
          <w:rFonts w:cs="Times New Roman"/>
        </w:rPr>
        <w:tab/>
      </w:r>
      <w:r w:rsidR="00AF20B7">
        <w:rPr>
          <w:rFonts w:cs="Times New Roman"/>
        </w:rPr>
        <w:tab/>
      </w:r>
      <w:r>
        <w:rPr>
          <w:rFonts w:cs="Times New Roman"/>
        </w:rPr>
        <w:t xml:space="preserve">Participant, to small extent, use the Differentiation strategy which is export orientated. The average survey response rate is very low, 2, 6886, as well as the most common response is 2 – disagree with the statement. Standard deviation is 1, 00599, and is acceptable.  The coefficient of variation shows that this is a </w:t>
      </w:r>
      <w:r w:rsidRPr="00861F6E">
        <w:rPr>
          <w:rFonts w:cs="Times New Roman"/>
        </w:rPr>
        <w:t>homogeneous group response.</w:t>
      </w:r>
      <w:r w:rsidR="00AF20B7">
        <w:rPr>
          <w:rFonts w:cs="Times New Roman"/>
        </w:rPr>
        <w:t xml:space="preserve"> </w:t>
      </w:r>
      <w:r>
        <w:rPr>
          <w:rFonts w:cs="Times New Roman"/>
        </w:rPr>
        <w:t xml:space="preserve">In the following part, by applying the t-test, it is analysed whether exists significant statistic difference in generic strategies, and which of the mentioned strategies is used for export of production goods in Bosnia and Herzegovina. </w:t>
      </w:r>
    </w:p>
    <w:p w:rsidR="000B29A6" w:rsidRDefault="000B29A6" w:rsidP="000B29A6">
      <w:pPr>
        <w:pStyle w:val="NoSpacing"/>
        <w:rPr>
          <w:sz w:val="22"/>
          <w:szCs w:val="22"/>
        </w:rPr>
      </w:pPr>
    </w:p>
    <w:p w:rsidR="00F80803" w:rsidRPr="000B29A6" w:rsidRDefault="00F80803" w:rsidP="000B29A6">
      <w:pPr>
        <w:pStyle w:val="NoSpacing"/>
        <w:rPr>
          <w:b/>
          <w:sz w:val="22"/>
          <w:szCs w:val="22"/>
        </w:rPr>
      </w:pPr>
      <w:r w:rsidRPr="000B29A6">
        <w:rPr>
          <w:b/>
          <w:sz w:val="22"/>
          <w:szCs w:val="22"/>
        </w:rPr>
        <w:t xml:space="preserve">Table 14. </w:t>
      </w:r>
      <w:r w:rsidRPr="00B72F16">
        <w:rPr>
          <w:sz w:val="22"/>
          <w:szCs w:val="22"/>
        </w:rPr>
        <w:t>Comparing the existence of differences using t - test Differentiation and Cost leadership strategy</w:t>
      </w:r>
    </w:p>
    <w:tbl>
      <w:tblPr>
        <w:tblStyle w:val="TableGrid"/>
        <w:tblW w:w="0" w:type="auto"/>
        <w:tblLook w:val="04A0"/>
      </w:tblPr>
      <w:tblGrid>
        <w:gridCol w:w="571"/>
        <w:gridCol w:w="1988"/>
        <w:gridCol w:w="1660"/>
        <w:gridCol w:w="1276"/>
        <w:gridCol w:w="854"/>
        <w:gridCol w:w="1298"/>
        <w:gridCol w:w="1215"/>
      </w:tblGrid>
      <w:tr w:rsidR="00F80803" w:rsidRPr="000B29A6" w:rsidTr="00AF20B7">
        <w:trPr>
          <w:trHeight w:val="240"/>
        </w:trPr>
        <w:tc>
          <w:tcPr>
            <w:tcW w:w="2559" w:type="dxa"/>
            <w:gridSpan w:val="2"/>
            <w:vMerge w:val="restart"/>
          </w:tcPr>
          <w:p w:rsidR="00F80803" w:rsidRPr="000B29A6" w:rsidRDefault="00F80803" w:rsidP="000B29A6">
            <w:pPr>
              <w:pStyle w:val="NoSpacing"/>
            </w:pPr>
          </w:p>
          <w:p w:rsidR="00F80803" w:rsidRPr="000B29A6" w:rsidRDefault="00F80803" w:rsidP="000B29A6">
            <w:pPr>
              <w:pStyle w:val="NoSpacing"/>
            </w:pPr>
          </w:p>
          <w:p w:rsidR="00F80803" w:rsidRPr="000B29A6" w:rsidRDefault="00F80803" w:rsidP="000B29A6">
            <w:pPr>
              <w:pStyle w:val="NoSpacing"/>
            </w:pPr>
          </w:p>
        </w:tc>
        <w:tc>
          <w:tcPr>
            <w:tcW w:w="2936" w:type="dxa"/>
            <w:gridSpan w:val="2"/>
            <w:tcBorders>
              <w:bottom w:val="single" w:sz="4" w:space="0" w:color="auto"/>
            </w:tcBorders>
            <w:shd w:val="clear" w:color="auto" w:fill="DAEEF3" w:themeFill="accent5" w:themeFillTint="33"/>
          </w:tcPr>
          <w:p w:rsidR="00F80803" w:rsidRPr="000B29A6" w:rsidRDefault="00F80803" w:rsidP="000B29A6">
            <w:pPr>
              <w:pStyle w:val="NoSpacing"/>
              <w:rPr>
                <w:b/>
              </w:rPr>
            </w:pPr>
            <w:r w:rsidRPr="000B29A6">
              <w:rPr>
                <w:b/>
              </w:rPr>
              <w:t>Difference compared</w:t>
            </w:r>
          </w:p>
        </w:tc>
        <w:tc>
          <w:tcPr>
            <w:tcW w:w="854" w:type="dxa"/>
            <w:vMerge w:val="restart"/>
            <w:shd w:val="clear" w:color="auto" w:fill="DAEEF3" w:themeFill="accent5" w:themeFillTint="33"/>
          </w:tcPr>
          <w:p w:rsidR="000B29A6" w:rsidRDefault="000B29A6" w:rsidP="000B29A6">
            <w:pPr>
              <w:pStyle w:val="NoSpacing"/>
              <w:rPr>
                <w:b/>
              </w:rPr>
            </w:pPr>
          </w:p>
          <w:p w:rsidR="00F80803" w:rsidRPr="000B29A6" w:rsidRDefault="00F80803" w:rsidP="000B29A6">
            <w:pPr>
              <w:pStyle w:val="NoSpacing"/>
              <w:rPr>
                <w:b/>
              </w:rPr>
            </w:pPr>
            <w:r w:rsidRPr="000B29A6">
              <w:rPr>
                <w:b/>
              </w:rPr>
              <w:t>Test</w:t>
            </w:r>
          </w:p>
        </w:tc>
        <w:tc>
          <w:tcPr>
            <w:tcW w:w="1298" w:type="dxa"/>
            <w:vMerge w:val="restart"/>
            <w:shd w:val="clear" w:color="auto" w:fill="DAEEF3" w:themeFill="accent5" w:themeFillTint="33"/>
          </w:tcPr>
          <w:p w:rsidR="000B29A6" w:rsidRDefault="000B29A6" w:rsidP="000B29A6">
            <w:pPr>
              <w:pStyle w:val="NoSpacing"/>
              <w:rPr>
                <w:b/>
              </w:rPr>
            </w:pPr>
          </w:p>
          <w:p w:rsidR="00F80803" w:rsidRPr="000B29A6" w:rsidRDefault="00F80803" w:rsidP="000B29A6">
            <w:pPr>
              <w:pStyle w:val="NoSpacing"/>
              <w:rPr>
                <w:b/>
              </w:rPr>
            </w:pPr>
            <w:r w:rsidRPr="000B29A6">
              <w:rPr>
                <w:b/>
              </w:rPr>
              <w:t>difference</w:t>
            </w:r>
          </w:p>
        </w:tc>
        <w:tc>
          <w:tcPr>
            <w:tcW w:w="1215" w:type="dxa"/>
            <w:vMerge w:val="restart"/>
            <w:shd w:val="clear" w:color="auto" w:fill="DAEEF3" w:themeFill="accent5" w:themeFillTint="33"/>
          </w:tcPr>
          <w:p w:rsidR="000B29A6" w:rsidRDefault="000B29A6" w:rsidP="000B29A6">
            <w:pPr>
              <w:pStyle w:val="NoSpacing"/>
              <w:rPr>
                <w:b/>
              </w:rPr>
            </w:pPr>
          </w:p>
          <w:p w:rsidR="00F80803" w:rsidRPr="000B29A6" w:rsidRDefault="00F80803" w:rsidP="000B29A6">
            <w:pPr>
              <w:pStyle w:val="NoSpacing"/>
              <w:rPr>
                <w:b/>
              </w:rPr>
            </w:pPr>
            <w:r w:rsidRPr="000B29A6">
              <w:rPr>
                <w:b/>
              </w:rPr>
              <w:t>Sig.</w:t>
            </w:r>
          </w:p>
          <w:p w:rsidR="00F80803" w:rsidRPr="000B29A6" w:rsidRDefault="00F80803" w:rsidP="000B29A6">
            <w:pPr>
              <w:pStyle w:val="NoSpacing"/>
              <w:rPr>
                <w:b/>
              </w:rPr>
            </w:pPr>
            <w:r w:rsidRPr="000B29A6">
              <w:rPr>
                <w:b/>
              </w:rPr>
              <w:t>(2-way)</w:t>
            </w:r>
          </w:p>
        </w:tc>
      </w:tr>
      <w:tr w:rsidR="00F80803" w:rsidRPr="000B29A6" w:rsidTr="00AF20B7">
        <w:trPr>
          <w:trHeight w:val="525"/>
        </w:trPr>
        <w:tc>
          <w:tcPr>
            <w:tcW w:w="2559" w:type="dxa"/>
            <w:gridSpan w:val="2"/>
            <w:vMerge/>
          </w:tcPr>
          <w:p w:rsidR="00F80803" w:rsidRPr="000B29A6" w:rsidRDefault="00F80803" w:rsidP="000B29A6">
            <w:pPr>
              <w:pStyle w:val="NoSpacing"/>
            </w:pPr>
          </w:p>
        </w:tc>
        <w:tc>
          <w:tcPr>
            <w:tcW w:w="1660" w:type="dxa"/>
            <w:tcBorders>
              <w:top w:val="single" w:sz="4" w:space="0" w:color="auto"/>
            </w:tcBorders>
          </w:tcPr>
          <w:p w:rsidR="00F80803" w:rsidRPr="000B29A6" w:rsidRDefault="00F80803" w:rsidP="000B29A6">
            <w:pPr>
              <w:pStyle w:val="NoSpacing"/>
              <w:jc w:val="center"/>
              <w:rPr>
                <w:b/>
                <w:sz w:val="20"/>
                <w:szCs w:val="20"/>
              </w:rPr>
            </w:pPr>
            <w:r w:rsidRPr="000B29A6">
              <w:rPr>
                <w:b/>
                <w:sz w:val="20"/>
                <w:szCs w:val="20"/>
              </w:rPr>
              <w:t>Difference of arithmetic mean</w:t>
            </w:r>
          </w:p>
        </w:tc>
        <w:tc>
          <w:tcPr>
            <w:tcW w:w="1276" w:type="dxa"/>
            <w:tcBorders>
              <w:top w:val="single" w:sz="4" w:space="0" w:color="auto"/>
            </w:tcBorders>
          </w:tcPr>
          <w:p w:rsidR="00F80803" w:rsidRPr="000B29A6" w:rsidRDefault="00F80803" w:rsidP="000B29A6">
            <w:pPr>
              <w:pStyle w:val="NoSpacing"/>
              <w:jc w:val="center"/>
              <w:rPr>
                <w:b/>
                <w:sz w:val="20"/>
                <w:szCs w:val="20"/>
              </w:rPr>
            </w:pPr>
            <w:r w:rsidRPr="000B29A6">
              <w:rPr>
                <w:b/>
                <w:sz w:val="20"/>
                <w:szCs w:val="20"/>
              </w:rPr>
              <w:t>Standard Deviation</w:t>
            </w:r>
          </w:p>
        </w:tc>
        <w:tc>
          <w:tcPr>
            <w:tcW w:w="854" w:type="dxa"/>
            <w:vMerge/>
          </w:tcPr>
          <w:p w:rsidR="00F80803" w:rsidRPr="000B29A6" w:rsidRDefault="00F80803" w:rsidP="000B29A6">
            <w:pPr>
              <w:pStyle w:val="NoSpacing"/>
              <w:rPr>
                <w:b/>
              </w:rPr>
            </w:pPr>
          </w:p>
        </w:tc>
        <w:tc>
          <w:tcPr>
            <w:tcW w:w="1298" w:type="dxa"/>
            <w:vMerge/>
          </w:tcPr>
          <w:p w:rsidR="00F80803" w:rsidRPr="000B29A6" w:rsidRDefault="00F80803" w:rsidP="000B29A6">
            <w:pPr>
              <w:pStyle w:val="NoSpacing"/>
              <w:rPr>
                <w:b/>
              </w:rPr>
            </w:pPr>
          </w:p>
        </w:tc>
        <w:tc>
          <w:tcPr>
            <w:tcW w:w="1215" w:type="dxa"/>
            <w:vMerge/>
          </w:tcPr>
          <w:p w:rsidR="00F80803" w:rsidRPr="000B29A6" w:rsidRDefault="00F80803" w:rsidP="000B29A6">
            <w:pPr>
              <w:pStyle w:val="NoSpacing"/>
              <w:rPr>
                <w:b/>
              </w:rPr>
            </w:pPr>
          </w:p>
        </w:tc>
      </w:tr>
      <w:tr w:rsidR="00F80803" w:rsidRPr="000B29A6" w:rsidTr="00AF20B7">
        <w:tc>
          <w:tcPr>
            <w:tcW w:w="571" w:type="dxa"/>
          </w:tcPr>
          <w:p w:rsidR="00F80803" w:rsidRPr="000B29A6" w:rsidRDefault="00F80803" w:rsidP="000B29A6">
            <w:pPr>
              <w:pStyle w:val="NoSpacing"/>
            </w:pPr>
            <w:r w:rsidRPr="000B29A6">
              <w:t>Pair 1</w:t>
            </w:r>
          </w:p>
        </w:tc>
        <w:tc>
          <w:tcPr>
            <w:tcW w:w="1988" w:type="dxa"/>
          </w:tcPr>
          <w:p w:rsidR="00F80803" w:rsidRPr="00AF20B7" w:rsidRDefault="00F80803" w:rsidP="000B29A6">
            <w:pPr>
              <w:pStyle w:val="NoSpacing"/>
              <w:rPr>
                <w:sz w:val="20"/>
                <w:szCs w:val="20"/>
              </w:rPr>
            </w:pPr>
            <w:r w:rsidRPr="00AF20B7">
              <w:rPr>
                <w:sz w:val="20"/>
                <w:szCs w:val="20"/>
              </w:rPr>
              <w:t xml:space="preserve">Cost leadership strategy – </w:t>
            </w:r>
          </w:p>
          <w:p w:rsidR="00F80803" w:rsidRPr="00AF20B7" w:rsidRDefault="00F80803" w:rsidP="000B29A6">
            <w:pPr>
              <w:pStyle w:val="NoSpacing"/>
              <w:rPr>
                <w:sz w:val="20"/>
                <w:szCs w:val="20"/>
              </w:rPr>
            </w:pPr>
            <w:r w:rsidRPr="00AF20B7">
              <w:rPr>
                <w:sz w:val="20"/>
                <w:szCs w:val="20"/>
              </w:rPr>
              <w:t>Differentiation Strategy</w:t>
            </w:r>
          </w:p>
        </w:tc>
        <w:tc>
          <w:tcPr>
            <w:tcW w:w="1660" w:type="dxa"/>
          </w:tcPr>
          <w:p w:rsidR="00F80803" w:rsidRPr="000B29A6" w:rsidRDefault="00F80803" w:rsidP="000B29A6">
            <w:pPr>
              <w:pStyle w:val="NoSpacing"/>
              <w:jc w:val="right"/>
            </w:pPr>
            <w:r w:rsidRPr="000B29A6">
              <w:t>1.64865</w:t>
            </w:r>
          </w:p>
        </w:tc>
        <w:tc>
          <w:tcPr>
            <w:tcW w:w="1276" w:type="dxa"/>
          </w:tcPr>
          <w:p w:rsidR="00F80803" w:rsidRPr="000B29A6" w:rsidRDefault="00F80803" w:rsidP="000B29A6">
            <w:pPr>
              <w:pStyle w:val="NoSpacing"/>
              <w:jc w:val="right"/>
            </w:pPr>
            <w:r w:rsidRPr="000B29A6">
              <w:t>1.51321</w:t>
            </w:r>
          </w:p>
        </w:tc>
        <w:tc>
          <w:tcPr>
            <w:tcW w:w="854" w:type="dxa"/>
          </w:tcPr>
          <w:p w:rsidR="00F80803" w:rsidRPr="000B29A6" w:rsidRDefault="00F80803" w:rsidP="000B29A6">
            <w:pPr>
              <w:pStyle w:val="NoSpacing"/>
              <w:jc w:val="right"/>
            </w:pPr>
            <w:r w:rsidRPr="000B29A6">
              <w:t>6.627</w:t>
            </w:r>
          </w:p>
        </w:tc>
        <w:tc>
          <w:tcPr>
            <w:tcW w:w="1298" w:type="dxa"/>
          </w:tcPr>
          <w:p w:rsidR="00F80803" w:rsidRPr="000B29A6" w:rsidRDefault="00F80803" w:rsidP="000B29A6">
            <w:pPr>
              <w:pStyle w:val="NoSpacing"/>
              <w:jc w:val="right"/>
            </w:pPr>
            <w:r w:rsidRPr="000B29A6">
              <w:t>36</w:t>
            </w:r>
          </w:p>
        </w:tc>
        <w:tc>
          <w:tcPr>
            <w:tcW w:w="1215" w:type="dxa"/>
          </w:tcPr>
          <w:p w:rsidR="00F80803" w:rsidRPr="000B29A6" w:rsidRDefault="00F80803" w:rsidP="000B29A6">
            <w:pPr>
              <w:pStyle w:val="NoSpacing"/>
              <w:jc w:val="right"/>
            </w:pPr>
            <w:r w:rsidRPr="000B29A6">
              <w:t>.000</w:t>
            </w:r>
          </w:p>
        </w:tc>
      </w:tr>
    </w:tbl>
    <w:p w:rsidR="00F80803" w:rsidRPr="000B29A6" w:rsidRDefault="00F80803" w:rsidP="000B29A6">
      <w:pPr>
        <w:pStyle w:val="NoSpacing"/>
        <w:rPr>
          <w:sz w:val="20"/>
          <w:szCs w:val="20"/>
        </w:rPr>
      </w:pPr>
      <w:r w:rsidRPr="000B29A6">
        <w:rPr>
          <w:sz w:val="20"/>
          <w:szCs w:val="20"/>
        </w:rPr>
        <w:t xml:space="preserve">Source: Author analysis in statistical program SPSS 20. </w:t>
      </w:r>
    </w:p>
    <w:p w:rsidR="00F80803" w:rsidRDefault="00F80803" w:rsidP="000B29A6">
      <w:pPr>
        <w:ind w:firstLine="720"/>
        <w:rPr>
          <w:rFonts w:cs="Times New Roman"/>
        </w:rPr>
      </w:pPr>
      <w:r>
        <w:rPr>
          <w:rFonts w:cs="Times New Roman"/>
        </w:rPr>
        <w:lastRenderedPageBreak/>
        <w:t xml:space="preserve">P = 0, 000 &lt; 0, 05, therefore it can be concluded that there is a significant statistic difference between the response of manager and owner regarding the Differentiation </w:t>
      </w:r>
      <w:r w:rsidR="000B29A6">
        <w:rPr>
          <w:rFonts w:cs="Times New Roman"/>
        </w:rPr>
        <w:t xml:space="preserve">      </w:t>
      </w:r>
      <w:r>
        <w:rPr>
          <w:rFonts w:cs="Times New Roman"/>
        </w:rPr>
        <w:t>strategy and Cost leadership strategy, i.e. there is a statistic difference in using generic strategies in the goods export.</w:t>
      </w:r>
      <w:r w:rsidRPr="00982F6A">
        <w:rPr>
          <w:rFonts w:cs="Times New Roman"/>
        </w:rPr>
        <w:t xml:space="preserve"> </w:t>
      </w:r>
      <w:r>
        <w:rPr>
          <w:rFonts w:cs="Times New Roman"/>
        </w:rPr>
        <w:t>Managers and owners prefer Cost leadership strategy and believe that it is more applicable in the export of local products.</w:t>
      </w:r>
    </w:p>
    <w:p w:rsidR="000B29A6" w:rsidRPr="000B29A6" w:rsidRDefault="000B29A6" w:rsidP="000B29A6">
      <w:pPr>
        <w:pStyle w:val="NoSpacing"/>
        <w:rPr>
          <w:b/>
        </w:rPr>
      </w:pPr>
    </w:p>
    <w:p w:rsidR="00F80803" w:rsidRPr="008121E3" w:rsidRDefault="00F80803" w:rsidP="000B29A6">
      <w:pPr>
        <w:pStyle w:val="NoSpacing"/>
        <w:rPr>
          <w:b/>
          <w:sz w:val="22"/>
          <w:szCs w:val="22"/>
        </w:rPr>
      </w:pPr>
      <w:r w:rsidRPr="008121E3">
        <w:rPr>
          <w:b/>
          <w:sz w:val="22"/>
          <w:szCs w:val="22"/>
        </w:rPr>
        <w:t xml:space="preserve">Table 15. </w:t>
      </w:r>
      <w:r w:rsidRPr="00B72F16">
        <w:rPr>
          <w:sz w:val="22"/>
          <w:szCs w:val="22"/>
        </w:rPr>
        <w:t>Comparing the existence of differences using t - test Focus and Cost leadership strategy</w:t>
      </w:r>
    </w:p>
    <w:tbl>
      <w:tblPr>
        <w:tblStyle w:val="TableGrid"/>
        <w:tblW w:w="0" w:type="auto"/>
        <w:tblLayout w:type="fixed"/>
        <w:tblLook w:val="04A0"/>
      </w:tblPr>
      <w:tblGrid>
        <w:gridCol w:w="659"/>
        <w:gridCol w:w="1851"/>
        <w:gridCol w:w="1851"/>
        <w:gridCol w:w="1134"/>
        <w:gridCol w:w="844"/>
        <w:gridCol w:w="1295"/>
        <w:gridCol w:w="1228"/>
      </w:tblGrid>
      <w:tr w:rsidR="00F80803" w:rsidRPr="000B29A6" w:rsidTr="000B29A6">
        <w:trPr>
          <w:trHeight w:val="240"/>
        </w:trPr>
        <w:tc>
          <w:tcPr>
            <w:tcW w:w="2510" w:type="dxa"/>
            <w:gridSpan w:val="2"/>
            <w:vMerge w:val="restart"/>
          </w:tcPr>
          <w:p w:rsidR="00F80803" w:rsidRPr="000B29A6" w:rsidRDefault="00F80803" w:rsidP="000B29A6">
            <w:pPr>
              <w:pStyle w:val="NoSpacing"/>
            </w:pPr>
          </w:p>
          <w:p w:rsidR="00F80803" w:rsidRPr="000B29A6" w:rsidRDefault="00F80803" w:rsidP="000B29A6">
            <w:pPr>
              <w:pStyle w:val="NoSpacing"/>
            </w:pPr>
          </w:p>
          <w:p w:rsidR="00F80803" w:rsidRPr="000B29A6" w:rsidRDefault="00F80803" w:rsidP="000B29A6">
            <w:pPr>
              <w:pStyle w:val="NoSpacing"/>
            </w:pPr>
          </w:p>
        </w:tc>
        <w:tc>
          <w:tcPr>
            <w:tcW w:w="2985" w:type="dxa"/>
            <w:gridSpan w:val="2"/>
            <w:tcBorders>
              <w:bottom w:val="single" w:sz="4" w:space="0" w:color="auto"/>
            </w:tcBorders>
            <w:shd w:val="clear" w:color="auto" w:fill="DAEEF3" w:themeFill="accent5" w:themeFillTint="33"/>
          </w:tcPr>
          <w:p w:rsidR="00F80803" w:rsidRPr="000B29A6" w:rsidRDefault="00F80803" w:rsidP="000B29A6">
            <w:pPr>
              <w:pStyle w:val="NoSpacing"/>
              <w:rPr>
                <w:b/>
              </w:rPr>
            </w:pPr>
            <w:r w:rsidRPr="000B29A6">
              <w:rPr>
                <w:b/>
              </w:rPr>
              <w:t>Difference compared</w:t>
            </w:r>
          </w:p>
        </w:tc>
        <w:tc>
          <w:tcPr>
            <w:tcW w:w="844" w:type="dxa"/>
            <w:vMerge w:val="restart"/>
            <w:shd w:val="clear" w:color="auto" w:fill="DAEEF3" w:themeFill="accent5" w:themeFillTint="33"/>
          </w:tcPr>
          <w:p w:rsidR="000B29A6" w:rsidRDefault="000B29A6" w:rsidP="000B29A6">
            <w:pPr>
              <w:pStyle w:val="NoSpacing"/>
              <w:rPr>
                <w:b/>
              </w:rPr>
            </w:pPr>
          </w:p>
          <w:p w:rsidR="00F80803" w:rsidRPr="000B29A6" w:rsidRDefault="00F80803" w:rsidP="000B29A6">
            <w:pPr>
              <w:pStyle w:val="NoSpacing"/>
              <w:rPr>
                <w:b/>
              </w:rPr>
            </w:pPr>
            <w:r w:rsidRPr="000B29A6">
              <w:rPr>
                <w:b/>
              </w:rPr>
              <w:t>Test</w:t>
            </w:r>
          </w:p>
        </w:tc>
        <w:tc>
          <w:tcPr>
            <w:tcW w:w="1295" w:type="dxa"/>
            <w:vMerge w:val="restart"/>
            <w:shd w:val="clear" w:color="auto" w:fill="DAEEF3" w:themeFill="accent5" w:themeFillTint="33"/>
          </w:tcPr>
          <w:p w:rsidR="000B29A6" w:rsidRDefault="000B29A6" w:rsidP="000B29A6">
            <w:pPr>
              <w:pStyle w:val="NoSpacing"/>
              <w:rPr>
                <w:b/>
              </w:rPr>
            </w:pPr>
          </w:p>
          <w:p w:rsidR="00F80803" w:rsidRPr="000B29A6" w:rsidRDefault="00F80803" w:rsidP="000B29A6">
            <w:pPr>
              <w:pStyle w:val="NoSpacing"/>
              <w:rPr>
                <w:b/>
              </w:rPr>
            </w:pPr>
            <w:r w:rsidRPr="000B29A6">
              <w:rPr>
                <w:b/>
              </w:rPr>
              <w:t>difference</w:t>
            </w:r>
          </w:p>
        </w:tc>
        <w:tc>
          <w:tcPr>
            <w:tcW w:w="1228" w:type="dxa"/>
            <w:vMerge w:val="restart"/>
            <w:shd w:val="clear" w:color="auto" w:fill="DAEEF3" w:themeFill="accent5" w:themeFillTint="33"/>
          </w:tcPr>
          <w:p w:rsidR="000B29A6" w:rsidRDefault="000B29A6" w:rsidP="000B29A6">
            <w:pPr>
              <w:pStyle w:val="NoSpacing"/>
              <w:rPr>
                <w:b/>
              </w:rPr>
            </w:pPr>
          </w:p>
          <w:p w:rsidR="00F80803" w:rsidRPr="000B29A6" w:rsidRDefault="00F80803" w:rsidP="000B29A6">
            <w:pPr>
              <w:pStyle w:val="NoSpacing"/>
              <w:rPr>
                <w:b/>
              </w:rPr>
            </w:pPr>
            <w:r w:rsidRPr="000B29A6">
              <w:rPr>
                <w:b/>
              </w:rPr>
              <w:t>Sig.</w:t>
            </w:r>
          </w:p>
          <w:p w:rsidR="00F80803" w:rsidRPr="000B29A6" w:rsidRDefault="00F80803" w:rsidP="000B29A6">
            <w:pPr>
              <w:pStyle w:val="NoSpacing"/>
              <w:rPr>
                <w:b/>
              </w:rPr>
            </w:pPr>
            <w:r w:rsidRPr="000B29A6">
              <w:rPr>
                <w:b/>
              </w:rPr>
              <w:t>(2-way)</w:t>
            </w:r>
          </w:p>
        </w:tc>
      </w:tr>
      <w:tr w:rsidR="00F80803" w:rsidRPr="000B29A6" w:rsidTr="000B29A6">
        <w:trPr>
          <w:trHeight w:val="525"/>
        </w:trPr>
        <w:tc>
          <w:tcPr>
            <w:tcW w:w="2510" w:type="dxa"/>
            <w:gridSpan w:val="2"/>
            <w:vMerge/>
          </w:tcPr>
          <w:p w:rsidR="00F80803" w:rsidRPr="000B29A6" w:rsidRDefault="00F80803" w:rsidP="000B29A6">
            <w:pPr>
              <w:pStyle w:val="NoSpacing"/>
            </w:pPr>
          </w:p>
        </w:tc>
        <w:tc>
          <w:tcPr>
            <w:tcW w:w="1851" w:type="dxa"/>
            <w:tcBorders>
              <w:top w:val="single" w:sz="4" w:space="0" w:color="auto"/>
            </w:tcBorders>
          </w:tcPr>
          <w:p w:rsidR="00F80803" w:rsidRPr="000B29A6" w:rsidRDefault="00F80803" w:rsidP="000B29A6">
            <w:pPr>
              <w:pStyle w:val="NoSpacing"/>
              <w:rPr>
                <w:b/>
                <w:sz w:val="20"/>
                <w:szCs w:val="20"/>
              </w:rPr>
            </w:pPr>
            <w:r w:rsidRPr="000B29A6">
              <w:rPr>
                <w:b/>
                <w:sz w:val="20"/>
                <w:szCs w:val="20"/>
              </w:rPr>
              <w:t>Difference of arithmetic mean</w:t>
            </w:r>
          </w:p>
        </w:tc>
        <w:tc>
          <w:tcPr>
            <w:tcW w:w="1134" w:type="dxa"/>
            <w:tcBorders>
              <w:top w:val="single" w:sz="4" w:space="0" w:color="auto"/>
            </w:tcBorders>
          </w:tcPr>
          <w:p w:rsidR="00F80803" w:rsidRPr="000B29A6" w:rsidRDefault="00F80803" w:rsidP="000B29A6">
            <w:pPr>
              <w:pStyle w:val="NoSpacing"/>
              <w:rPr>
                <w:b/>
                <w:sz w:val="20"/>
                <w:szCs w:val="20"/>
              </w:rPr>
            </w:pPr>
            <w:r w:rsidRPr="000B29A6">
              <w:rPr>
                <w:b/>
                <w:sz w:val="20"/>
                <w:szCs w:val="20"/>
              </w:rPr>
              <w:t>Standard Deviation</w:t>
            </w:r>
          </w:p>
        </w:tc>
        <w:tc>
          <w:tcPr>
            <w:tcW w:w="844" w:type="dxa"/>
            <w:vMerge/>
          </w:tcPr>
          <w:p w:rsidR="00F80803" w:rsidRPr="000B29A6" w:rsidRDefault="00F80803" w:rsidP="000B29A6">
            <w:pPr>
              <w:pStyle w:val="NoSpacing"/>
            </w:pPr>
          </w:p>
        </w:tc>
        <w:tc>
          <w:tcPr>
            <w:tcW w:w="1295" w:type="dxa"/>
            <w:vMerge/>
          </w:tcPr>
          <w:p w:rsidR="00F80803" w:rsidRPr="000B29A6" w:rsidRDefault="00F80803" w:rsidP="000B29A6">
            <w:pPr>
              <w:pStyle w:val="NoSpacing"/>
            </w:pPr>
          </w:p>
        </w:tc>
        <w:tc>
          <w:tcPr>
            <w:tcW w:w="1228" w:type="dxa"/>
            <w:vMerge/>
          </w:tcPr>
          <w:p w:rsidR="00F80803" w:rsidRPr="000B29A6" w:rsidRDefault="00F80803" w:rsidP="000B29A6">
            <w:pPr>
              <w:pStyle w:val="NoSpacing"/>
            </w:pPr>
          </w:p>
        </w:tc>
      </w:tr>
      <w:tr w:rsidR="00F80803" w:rsidRPr="000B29A6" w:rsidTr="000B29A6">
        <w:tc>
          <w:tcPr>
            <w:tcW w:w="659" w:type="dxa"/>
          </w:tcPr>
          <w:p w:rsidR="00F80803" w:rsidRPr="000B29A6" w:rsidRDefault="00F80803" w:rsidP="000B29A6">
            <w:pPr>
              <w:pStyle w:val="NoSpacing"/>
            </w:pPr>
            <w:r w:rsidRPr="000B29A6">
              <w:t>Pair 1</w:t>
            </w:r>
          </w:p>
        </w:tc>
        <w:tc>
          <w:tcPr>
            <w:tcW w:w="1851" w:type="dxa"/>
          </w:tcPr>
          <w:p w:rsidR="00F80803" w:rsidRPr="000B29A6" w:rsidRDefault="00F80803" w:rsidP="000B29A6">
            <w:pPr>
              <w:pStyle w:val="NoSpacing"/>
            </w:pPr>
            <w:r w:rsidRPr="000B29A6">
              <w:t xml:space="preserve">Cost leadership strategy – </w:t>
            </w:r>
          </w:p>
          <w:p w:rsidR="00F80803" w:rsidRPr="000B29A6" w:rsidRDefault="00F80803" w:rsidP="000B29A6">
            <w:pPr>
              <w:pStyle w:val="NoSpacing"/>
            </w:pPr>
            <w:r w:rsidRPr="000B29A6">
              <w:t>Focus</w:t>
            </w:r>
            <w:r w:rsidR="000B29A6">
              <w:t xml:space="preserve"> </w:t>
            </w:r>
            <w:r w:rsidRPr="000B29A6">
              <w:t>Strategy</w:t>
            </w:r>
          </w:p>
        </w:tc>
        <w:tc>
          <w:tcPr>
            <w:tcW w:w="1851" w:type="dxa"/>
          </w:tcPr>
          <w:p w:rsidR="00F80803" w:rsidRPr="000B29A6" w:rsidRDefault="00F80803" w:rsidP="000B29A6">
            <w:pPr>
              <w:pStyle w:val="NoSpacing"/>
            </w:pPr>
            <w:r w:rsidRPr="000B29A6">
              <w:t>.59459</w:t>
            </w:r>
          </w:p>
        </w:tc>
        <w:tc>
          <w:tcPr>
            <w:tcW w:w="1134" w:type="dxa"/>
          </w:tcPr>
          <w:p w:rsidR="00F80803" w:rsidRPr="000B29A6" w:rsidRDefault="00F80803" w:rsidP="000B29A6">
            <w:pPr>
              <w:pStyle w:val="NoSpacing"/>
            </w:pPr>
            <w:r w:rsidRPr="000B29A6">
              <w:t>1.01268</w:t>
            </w:r>
          </w:p>
        </w:tc>
        <w:tc>
          <w:tcPr>
            <w:tcW w:w="844" w:type="dxa"/>
          </w:tcPr>
          <w:p w:rsidR="00F80803" w:rsidRPr="000B29A6" w:rsidRDefault="00F80803" w:rsidP="000B29A6">
            <w:pPr>
              <w:pStyle w:val="NoSpacing"/>
            </w:pPr>
            <w:r w:rsidRPr="000B29A6">
              <w:t>3.571</w:t>
            </w:r>
          </w:p>
        </w:tc>
        <w:tc>
          <w:tcPr>
            <w:tcW w:w="1295" w:type="dxa"/>
          </w:tcPr>
          <w:p w:rsidR="00F80803" w:rsidRPr="000B29A6" w:rsidRDefault="00F80803" w:rsidP="000B29A6">
            <w:pPr>
              <w:pStyle w:val="NoSpacing"/>
            </w:pPr>
            <w:r w:rsidRPr="000B29A6">
              <w:t>36</w:t>
            </w:r>
          </w:p>
        </w:tc>
        <w:tc>
          <w:tcPr>
            <w:tcW w:w="1228" w:type="dxa"/>
          </w:tcPr>
          <w:p w:rsidR="00F80803" w:rsidRPr="000B29A6" w:rsidRDefault="00F80803" w:rsidP="000B29A6">
            <w:pPr>
              <w:pStyle w:val="NoSpacing"/>
            </w:pPr>
            <w:r w:rsidRPr="000B29A6">
              <w:t>.001</w:t>
            </w:r>
          </w:p>
        </w:tc>
      </w:tr>
    </w:tbl>
    <w:p w:rsidR="00F80803" w:rsidRPr="000B29A6" w:rsidRDefault="00F80803" w:rsidP="000B29A6">
      <w:pPr>
        <w:pStyle w:val="NoSpacing"/>
      </w:pPr>
      <w:r w:rsidRPr="000B29A6">
        <w:rPr>
          <w:sz w:val="20"/>
          <w:szCs w:val="20"/>
        </w:rPr>
        <w:t>Source: Author analysis in statistical program SPSS 20</w:t>
      </w:r>
      <w:r w:rsidRPr="000B29A6">
        <w:t xml:space="preserve">. </w:t>
      </w:r>
    </w:p>
    <w:p w:rsidR="00F80803" w:rsidRDefault="000B29A6" w:rsidP="000B29A6">
      <w:pPr>
        <w:tabs>
          <w:tab w:val="left" w:pos="3544"/>
        </w:tabs>
        <w:rPr>
          <w:rFonts w:cs="Times New Roman"/>
        </w:rPr>
      </w:pPr>
      <w:r>
        <w:rPr>
          <w:rFonts w:cs="Times New Roman"/>
        </w:rPr>
        <w:t xml:space="preserve">              </w:t>
      </w:r>
      <w:r w:rsidR="00F80803">
        <w:rPr>
          <w:rFonts w:cs="Times New Roman"/>
        </w:rPr>
        <w:t xml:space="preserve">P = 0, 000 &lt; 0, 05, therefore it can be concluded that there is a significant statistic difference between the response of manager and owner regarding the Focus strategy and Cost leadership strategy, i.e. these strategies are not similar for managers and owners of production enterprises engaged in export. Managers and the owners share the opinion that Cost leadership strategy is largely used in the export of local products intended for export.  </w:t>
      </w:r>
    </w:p>
    <w:p w:rsidR="000B29A6" w:rsidRDefault="000B29A6" w:rsidP="000B29A6">
      <w:pPr>
        <w:pStyle w:val="NoSpacing"/>
        <w:rPr>
          <w:sz w:val="22"/>
          <w:szCs w:val="22"/>
        </w:rPr>
      </w:pPr>
    </w:p>
    <w:p w:rsidR="00F80803" w:rsidRPr="00B72F16" w:rsidRDefault="00F80803" w:rsidP="000B29A6">
      <w:pPr>
        <w:pStyle w:val="NoSpacing"/>
        <w:rPr>
          <w:sz w:val="22"/>
          <w:szCs w:val="22"/>
        </w:rPr>
      </w:pPr>
      <w:r w:rsidRPr="000B29A6">
        <w:rPr>
          <w:b/>
          <w:sz w:val="22"/>
          <w:szCs w:val="22"/>
        </w:rPr>
        <w:t xml:space="preserve">Table 16. </w:t>
      </w:r>
      <w:r w:rsidRPr="00B72F16">
        <w:rPr>
          <w:sz w:val="22"/>
          <w:szCs w:val="22"/>
        </w:rPr>
        <w:t>Comparing the existence of differences using t - test Differentiation and Focus strategy</w:t>
      </w:r>
    </w:p>
    <w:tbl>
      <w:tblPr>
        <w:tblStyle w:val="TableGrid"/>
        <w:tblW w:w="0" w:type="auto"/>
        <w:tblLook w:val="04A0"/>
      </w:tblPr>
      <w:tblGrid>
        <w:gridCol w:w="658"/>
        <w:gridCol w:w="1901"/>
        <w:gridCol w:w="1660"/>
        <w:gridCol w:w="1418"/>
        <w:gridCol w:w="850"/>
        <w:gridCol w:w="1160"/>
        <w:gridCol w:w="1215"/>
      </w:tblGrid>
      <w:tr w:rsidR="00F80803" w:rsidRPr="000B29A6" w:rsidTr="000B29A6">
        <w:trPr>
          <w:trHeight w:val="240"/>
        </w:trPr>
        <w:tc>
          <w:tcPr>
            <w:tcW w:w="2559" w:type="dxa"/>
            <w:gridSpan w:val="2"/>
            <w:vMerge w:val="restart"/>
          </w:tcPr>
          <w:p w:rsidR="00F80803" w:rsidRPr="000B29A6" w:rsidRDefault="00F80803" w:rsidP="000B29A6">
            <w:pPr>
              <w:pStyle w:val="NoSpacing"/>
            </w:pPr>
          </w:p>
          <w:p w:rsidR="00F80803" w:rsidRPr="000B29A6" w:rsidRDefault="00F80803" w:rsidP="000B29A6">
            <w:pPr>
              <w:pStyle w:val="NoSpacing"/>
            </w:pPr>
          </w:p>
          <w:p w:rsidR="00F80803" w:rsidRPr="000B29A6" w:rsidRDefault="00F80803" w:rsidP="000B29A6">
            <w:pPr>
              <w:pStyle w:val="NoSpacing"/>
            </w:pPr>
          </w:p>
        </w:tc>
        <w:tc>
          <w:tcPr>
            <w:tcW w:w="3078" w:type="dxa"/>
            <w:gridSpan w:val="2"/>
            <w:tcBorders>
              <w:bottom w:val="single" w:sz="4" w:space="0" w:color="auto"/>
            </w:tcBorders>
            <w:shd w:val="clear" w:color="auto" w:fill="DAEEF3" w:themeFill="accent5" w:themeFillTint="33"/>
          </w:tcPr>
          <w:p w:rsidR="00F80803" w:rsidRPr="000B29A6" w:rsidRDefault="00F80803" w:rsidP="000B29A6">
            <w:pPr>
              <w:pStyle w:val="NoSpacing"/>
              <w:rPr>
                <w:b/>
              </w:rPr>
            </w:pPr>
            <w:r w:rsidRPr="000B29A6">
              <w:rPr>
                <w:b/>
              </w:rPr>
              <w:t>Difference compared</w:t>
            </w:r>
          </w:p>
        </w:tc>
        <w:tc>
          <w:tcPr>
            <w:tcW w:w="850" w:type="dxa"/>
            <w:vMerge w:val="restart"/>
            <w:shd w:val="clear" w:color="auto" w:fill="DAEEF3" w:themeFill="accent5" w:themeFillTint="33"/>
          </w:tcPr>
          <w:p w:rsidR="000B29A6" w:rsidRDefault="000B29A6" w:rsidP="000B29A6">
            <w:pPr>
              <w:pStyle w:val="NoSpacing"/>
              <w:rPr>
                <w:b/>
              </w:rPr>
            </w:pPr>
          </w:p>
          <w:p w:rsidR="00F80803" w:rsidRPr="000B29A6" w:rsidRDefault="00F80803" w:rsidP="000B29A6">
            <w:pPr>
              <w:pStyle w:val="NoSpacing"/>
              <w:rPr>
                <w:b/>
              </w:rPr>
            </w:pPr>
            <w:r w:rsidRPr="000B29A6">
              <w:rPr>
                <w:b/>
              </w:rPr>
              <w:t>Test</w:t>
            </w:r>
          </w:p>
        </w:tc>
        <w:tc>
          <w:tcPr>
            <w:tcW w:w="1160" w:type="dxa"/>
            <w:vMerge w:val="restart"/>
            <w:shd w:val="clear" w:color="auto" w:fill="DAEEF3" w:themeFill="accent5" w:themeFillTint="33"/>
          </w:tcPr>
          <w:p w:rsidR="000B29A6" w:rsidRDefault="000B29A6" w:rsidP="000B29A6">
            <w:pPr>
              <w:pStyle w:val="NoSpacing"/>
              <w:rPr>
                <w:b/>
              </w:rPr>
            </w:pPr>
          </w:p>
          <w:p w:rsidR="00F80803" w:rsidRPr="000B29A6" w:rsidRDefault="00F80803" w:rsidP="000B29A6">
            <w:pPr>
              <w:pStyle w:val="NoSpacing"/>
              <w:rPr>
                <w:b/>
              </w:rPr>
            </w:pPr>
            <w:r w:rsidRPr="000B29A6">
              <w:rPr>
                <w:b/>
              </w:rPr>
              <w:t>difference</w:t>
            </w:r>
          </w:p>
        </w:tc>
        <w:tc>
          <w:tcPr>
            <w:tcW w:w="1215" w:type="dxa"/>
            <w:vMerge w:val="restart"/>
            <w:shd w:val="clear" w:color="auto" w:fill="DAEEF3" w:themeFill="accent5" w:themeFillTint="33"/>
          </w:tcPr>
          <w:p w:rsidR="000B29A6" w:rsidRDefault="000B29A6" w:rsidP="000B29A6">
            <w:pPr>
              <w:pStyle w:val="NoSpacing"/>
              <w:rPr>
                <w:b/>
              </w:rPr>
            </w:pPr>
          </w:p>
          <w:p w:rsidR="00F80803" w:rsidRPr="000B29A6" w:rsidRDefault="00F80803" w:rsidP="000B29A6">
            <w:pPr>
              <w:pStyle w:val="NoSpacing"/>
              <w:rPr>
                <w:b/>
              </w:rPr>
            </w:pPr>
            <w:r w:rsidRPr="000B29A6">
              <w:rPr>
                <w:b/>
              </w:rPr>
              <w:t>Sig.</w:t>
            </w:r>
          </w:p>
          <w:p w:rsidR="00F80803" w:rsidRPr="000B29A6" w:rsidRDefault="00F80803" w:rsidP="000B29A6">
            <w:pPr>
              <w:pStyle w:val="NoSpacing"/>
              <w:rPr>
                <w:b/>
              </w:rPr>
            </w:pPr>
            <w:r w:rsidRPr="000B29A6">
              <w:rPr>
                <w:b/>
              </w:rPr>
              <w:t>(2-way)</w:t>
            </w:r>
          </w:p>
        </w:tc>
      </w:tr>
      <w:tr w:rsidR="00F80803" w:rsidRPr="000B29A6" w:rsidTr="000B29A6">
        <w:trPr>
          <w:trHeight w:val="525"/>
        </w:trPr>
        <w:tc>
          <w:tcPr>
            <w:tcW w:w="2559" w:type="dxa"/>
            <w:gridSpan w:val="2"/>
            <w:vMerge/>
          </w:tcPr>
          <w:p w:rsidR="00F80803" w:rsidRPr="000B29A6" w:rsidRDefault="00F80803" w:rsidP="000B29A6">
            <w:pPr>
              <w:pStyle w:val="NoSpacing"/>
            </w:pPr>
          </w:p>
        </w:tc>
        <w:tc>
          <w:tcPr>
            <w:tcW w:w="1660" w:type="dxa"/>
            <w:tcBorders>
              <w:top w:val="single" w:sz="4" w:space="0" w:color="auto"/>
            </w:tcBorders>
          </w:tcPr>
          <w:p w:rsidR="00F80803" w:rsidRPr="000B29A6" w:rsidRDefault="00F80803" w:rsidP="000B29A6">
            <w:pPr>
              <w:pStyle w:val="NoSpacing"/>
              <w:rPr>
                <w:b/>
                <w:sz w:val="20"/>
                <w:szCs w:val="20"/>
              </w:rPr>
            </w:pPr>
            <w:r w:rsidRPr="000B29A6">
              <w:rPr>
                <w:b/>
                <w:sz w:val="20"/>
                <w:szCs w:val="20"/>
              </w:rPr>
              <w:t>Difference of arithmetic mean</w:t>
            </w:r>
          </w:p>
        </w:tc>
        <w:tc>
          <w:tcPr>
            <w:tcW w:w="1418" w:type="dxa"/>
            <w:tcBorders>
              <w:top w:val="single" w:sz="4" w:space="0" w:color="auto"/>
            </w:tcBorders>
          </w:tcPr>
          <w:p w:rsidR="00F80803" w:rsidRPr="000B29A6" w:rsidRDefault="00F80803" w:rsidP="000B29A6">
            <w:pPr>
              <w:pStyle w:val="NoSpacing"/>
              <w:rPr>
                <w:b/>
                <w:sz w:val="20"/>
                <w:szCs w:val="20"/>
              </w:rPr>
            </w:pPr>
            <w:r w:rsidRPr="000B29A6">
              <w:rPr>
                <w:b/>
                <w:sz w:val="20"/>
                <w:szCs w:val="20"/>
              </w:rPr>
              <w:t>Standard Deviation</w:t>
            </w:r>
          </w:p>
        </w:tc>
        <w:tc>
          <w:tcPr>
            <w:tcW w:w="850" w:type="dxa"/>
            <w:vMerge/>
          </w:tcPr>
          <w:p w:rsidR="00F80803" w:rsidRPr="000B29A6" w:rsidRDefault="00F80803" w:rsidP="000B29A6">
            <w:pPr>
              <w:pStyle w:val="NoSpacing"/>
              <w:rPr>
                <w:b/>
              </w:rPr>
            </w:pPr>
          </w:p>
        </w:tc>
        <w:tc>
          <w:tcPr>
            <w:tcW w:w="1160" w:type="dxa"/>
            <w:vMerge/>
          </w:tcPr>
          <w:p w:rsidR="00F80803" w:rsidRPr="000B29A6" w:rsidRDefault="00F80803" w:rsidP="000B29A6">
            <w:pPr>
              <w:pStyle w:val="NoSpacing"/>
              <w:rPr>
                <w:b/>
              </w:rPr>
            </w:pPr>
          </w:p>
        </w:tc>
        <w:tc>
          <w:tcPr>
            <w:tcW w:w="1215" w:type="dxa"/>
            <w:vMerge/>
          </w:tcPr>
          <w:p w:rsidR="00F80803" w:rsidRPr="000B29A6" w:rsidRDefault="00F80803" w:rsidP="000B29A6">
            <w:pPr>
              <w:pStyle w:val="NoSpacing"/>
              <w:rPr>
                <w:b/>
              </w:rPr>
            </w:pPr>
          </w:p>
        </w:tc>
      </w:tr>
      <w:tr w:rsidR="00F80803" w:rsidRPr="000B29A6" w:rsidTr="000B29A6">
        <w:tc>
          <w:tcPr>
            <w:tcW w:w="658" w:type="dxa"/>
          </w:tcPr>
          <w:p w:rsidR="00F80803" w:rsidRPr="000B29A6" w:rsidRDefault="00F80803" w:rsidP="000B29A6">
            <w:pPr>
              <w:pStyle w:val="NoSpacing"/>
            </w:pPr>
            <w:r w:rsidRPr="000B29A6">
              <w:t>Pair 1</w:t>
            </w:r>
          </w:p>
        </w:tc>
        <w:tc>
          <w:tcPr>
            <w:tcW w:w="1901" w:type="dxa"/>
          </w:tcPr>
          <w:p w:rsidR="00F80803" w:rsidRPr="000B29A6" w:rsidRDefault="00F80803" w:rsidP="000B29A6">
            <w:pPr>
              <w:pStyle w:val="NoSpacing"/>
            </w:pPr>
            <w:r w:rsidRPr="000B29A6">
              <w:t xml:space="preserve">Differentiation strategy – </w:t>
            </w:r>
          </w:p>
          <w:p w:rsidR="00F80803" w:rsidRPr="000B29A6" w:rsidRDefault="00F80803" w:rsidP="000B29A6">
            <w:pPr>
              <w:pStyle w:val="NoSpacing"/>
            </w:pPr>
            <w:r w:rsidRPr="000B29A6">
              <w:t>Focus</w:t>
            </w:r>
          </w:p>
          <w:p w:rsidR="00F80803" w:rsidRPr="000B29A6" w:rsidRDefault="00F80803" w:rsidP="000B29A6">
            <w:pPr>
              <w:pStyle w:val="NoSpacing"/>
            </w:pPr>
            <w:r w:rsidRPr="000B29A6">
              <w:t>Strategy</w:t>
            </w:r>
          </w:p>
        </w:tc>
        <w:tc>
          <w:tcPr>
            <w:tcW w:w="1660" w:type="dxa"/>
          </w:tcPr>
          <w:p w:rsidR="00F80803" w:rsidRPr="000B29A6" w:rsidRDefault="00F80803" w:rsidP="000B29A6">
            <w:pPr>
              <w:pStyle w:val="NoSpacing"/>
              <w:jc w:val="right"/>
            </w:pPr>
            <w:r w:rsidRPr="000B29A6">
              <w:t>-1.05405</w:t>
            </w:r>
          </w:p>
        </w:tc>
        <w:tc>
          <w:tcPr>
            <w:tcW w:w="1418" w:type="dxa"/>
          </w:tcPr>
          <w:p w:rsidR="00F80803" w:rsidRPr="000B29A6" w:rsidRDefault="00F80803" w:rsidP="000B29A6">
            <w:pPr>
              <w:pStyle w:val="NoSpacing"/>
              <w:jc w:val="right"/>
            </w:pPr>
            <w:r w:rsidRPr="000B29A6">
              <w:t>1.31119</w:t>
            </w:r>
          </w:p>
        </w:tc>
        <w:tc>
          <w:tcPr>
            <w:tcW w:w="850" w:type="dxa"/>
          </w:tcPr>
          <w:p w:rsidR="00F80803" w:rsidRPr="000B29A6" w:rsidRDefault="00F80803" w:rsidP="000B29A6">
            <w:pPr>
              <w:pStyle w:val="NoSpacing"/>
              <w:jc w:val="right"/>
            </w:pPr>
            <w:r w:rsidRPr="000B29A6">
              <w:t>-4.890</w:t>
            </w:r>
          </w:p>
        </w:tc>
        <w:tc>
          <w:tcPr>
            <w:tcW w:w="1160" w:type="dxa"/>
          </w:tcPr>
          <w:p w:rsidR="00F80803" w:rsidRPr="000B29A6" w:rsidRDefault="00F80803" w:rsidP="000B29A6">
            <w:pPr>
              <w:pStyle w:val="NoSpacing"/>
              <w:jc w:val="right"/>
            </w:pPr>
            <w:r w:rsidRPr="000B29A6">
              <w:t>36</w:t>
            </w:r>
          </w:p>
        </w:tc>
        <w:tc>
          <w:tcPr>
            <w:tcW w:w="1215" w:type="dxa"/>
          </w:tcPr>
          <w:p w:rsidR="00F80803" w:rsidRPr="000B29A6" w:rsidRDefault="00F80803" w:rsidP="000B29A6">
            <w:pPr>
              <w:pStyle w:val="NoSpacing"/>
              <w:jc w:val="right"/>
            </w:pPr>
            <w:r w:rsidRPr="000B29A6">
              <w:t>.000</w:t>
            </w:r>
          </w:p>
        </w:tc>
      </w:tr>
    </w:tbl>
    <w:p w:rsidR="00F80803" w:rsidRPr="000B29A6" w:rsidRDefault="00F80803" w:rsidP="000B29A6">
      <w:pPr>
        <w:pStyle w:val="NoSpacing"/>
        <w:rPr>
          <w:sz w:val="20"/>
          <w:szCs w:val="20"/>
        </w:rPr>
      </w:pPr>
      <w:r w:rsidRPr="000B29A6">
        <w:rPr>
          <w:sz w:val="20"/>
          <w:szCs w:val="20"/>
        </w:rPr>
        <w:t xml:space="preserve">Source: Author analysis in statistical program SPSS 20. </w:t>
      </w:r>
    </w:p>
    <w:p w:rsidR="00F80803" w:rsidRDefault="00F80803" w:rsidP="004824D3">
      <w:pPr>
        <w:ind w:firstLine="720"/>
        <w:rPr>
          <w:rFonts w:cs="Times New Roman"/>
        </w:rPr>
      </w:pPr>
      <w:r>
        <w:rPr>
          <w:rFonts w:cs="Times New Roman"/>
        </w:rPr>
        <w:t xml:space="preserve">P = 0, 000 &lt; 0, 05, therefore it can be concluded that there is a significant statistic difference between the response of manager and owner regarding the Differentiation and Focus strategy, i.e. these strategies are not similar for managers and owners of production enterprises engaged in export, and they are not used to the same extent in the export of local products. In this case, Differentiation strategy is more applicable.  </w:t>
      </w:r>
      <w:r w:rsidR="000B29A6">
        <w:rPr>
          <w:rFonts w:cs="Times New Roman"/>
        </w:rPr>
        <w:tab/>
      </w:r>
      <w:r w:rsidR="000B29A6">
        <w:rPr>
          <w:rFonts w:cs="Times New Roman"/>
        </w:rPr>
        <w:tab/>
      </w:r>
      <w:r w:rsidR="000B29A6">
        <w:rPr>
          <w:rFonts w:cs="Times New Roman"/>
        </w:rPr>
        <w:tab/>
      </w:r>
      <w:r>
        <w:rPr>
          <w:rFonts w:cs="Times New Roman"/>
        </w:rPr>
        <w:t>Analysis of data obtained shows that the generic strategy mostly used for export companies in Bosnia and Herzegovina is Cost leadership strategy. In all statements set, in the above part of the paper, Cost leadership strategy is the most persuasive one, with a score of participants of more than 4.3, which is extremely high. It can be concluded that generic Cost leadership strategy gives competitive advantage to production enterprises abroad, primarily, because of cheap labour, and in this segment Western world can hardly compete with local producers. This becomes their opportunity for building a competitive advantage which is h</w:t>
      </w:r>
      <w:r w:rsidR="000B29A6">
        <w:rPr>
          <w:rFonts w:cs="Times New Roman"/>
        </w:rPr>
        <w:t xml:space="preserve">ighly proved by this research. </w:t>
      </w:r>
      <w:r w:rsidR="000B29A6">
        <w:rPr>
          <w:rFonts w:cs="Times New Roman"/>
        </w:rPr>
        <w:tab/>
      </w:r>
      <w:r w:rsidR="000B29A6">
        <w:rPr>
          <w:rFonts w:cs="Times New Roman"/>
        </w:rPr>
        <w:tab/>
      </w:r>
      <w:r w:rsidR="000B29A6">
        <w:rPr>
          <w:rFonts w:cs="Times New Roman"/>
        </w:rPr>
        <w:tab/>
      </w:r>
      <w:r w:rsidR="000B29A6">
        <w:rPr>
          <w:rFonts w:cs="Times New Roman"/>
        </w:rPr>
        <w:tab/>
      </w:r>
      <w:r w:rsidR="000B29A6">
        <w:rPr>
          <w:rFonts w:cs="Times New Roman"/>
        </w:rPr>
        <w:tab/>
      </w:r>
      <w:r>
        <w:rPr>
          <w:rFonts w:cs="Times New Roman"/>
        </w:rPr>
        <w:t xml:space="preserve">Besides the Cost leadership strategy, the following strategy preferred by local producers is Focus strategy. Responses obtained have given the results showing that </w:t>
      </w:r>
      <w:r>
        <w:rPr>
          <w:rFonts w:cs="Times New Roman"/>
        </w:rPr>
        <w:lastRenderedPageBreak/>
        <w:t>Focus strategy is less used than Cost leadership strategy, but it has certainly found its implementation in BH producer</w:t>
      </w:r>
      <w:r w:rsidR="000B29A6">
        <w:rPr>
          <w:rFonts w:cs="Times New Roman"/>
        </w:rPr>
        <w:t xml:space="preserve">s which are export orientated. </w:t>
      </w:r>
      <w:r w:rsidR="000B29A6">
        <w:rPr>
          <w:rFonts w:cs="Times New Roman"/>
        </w:rPr>
        <w:tab/>
      </w:r>
      <w:r w:rsidR="000B29A6">
        <w:rPr>
          <w:rFonts w:cs="Times New Roman"/>
        </w:rPr>
        <w:tab/>
      </w:r>
      <w:r w:rsidR="000B29A6">
        <w:rPr>
          <w:rFonts w:cs="Times New Roman"/>
        </w:rPr>
        <w:tab/>
      </w:r>
      <w:r w:rsidR="000B29A6">
        <w:rPr>
          <w:rFonts w:cs="Times New Roman"/>
        </w:rPr>
        <w:tab/>
      </w:r>
      <w:r>
        <w:rPr>
          <w:rFonts w:cs="Times New Roman"/>
        </w:rPr>
        <w:t>Of all analysed strategies, differentiation strategy is the least used. Managers and the owners disagree that Differentiation strategy has got a decisive role in the international market for BH producers. Differentiation strategy rate is largely smaller than rat of the p</w:t>
      </w:r>
      <w:r w:rsidR="000B29A6">
        <w:rPr>
          <w:rFonts w:cs="Times New Roman"/>
        </w:rPr>
        <w:t>revious two generic strategies.</w:t>
      </w:r>
      <w:r w:rsidR="000B29A6">
        <w:rPr>
          <w:rFonts w:cs="Times New Roman"/>
        </w:rPr>
        <w:tab/>
      </w:r>
      <w:r w:rsidR="000B29A6">
        <w:rPr>
          <w:rFonts w:cs="Times New Roman"/>
        </w:rPr>
        <w:tab/>
      </w:r>
      <w:r w:rsidR="000B29A6">
        <w:rPr>
          <w:rFonts w:cs="Times New Roman"/>
        </w:rPr>
        <w:tab/>
      </w:r>
      <w:r w:rsidR="000B29A6">
        <w:rPr>
          <w:rFonts w:cs="Times New Roman"/>
        </w:rPr>
        <w:tab/>
      </w:r>
      <w:r w:rsidR="000B29A6">
        <w:rPr>
          <w:rFonts w:cs="Times New Roman"/>
        </w:rPr>
        <w:tab/>
      </w:r>
      <w:r w:rsidR="000B29A6">
        <w:rPr>
          <w:rFonts w:cs="Times New Roman"/>
        </w:rPr>
        <w:tab/>
      </w:r>
      <w:r>
        <w:rPr>
          <w:rFonts w:cs="Times New Roman"/>
        </w:rPr>
        <w:t>It is important to emphasize that, during the analysis, due to thorough examination of average value, values of mode and median are determined. The reason is the small sample (under 50 observations), and arithmetic mean sometimes shows incorrect data, therefore the mode and median are determined. In the previous question, mode and median are improved and confirmed</w:t>
      </w:r>
      <w:r w:rsidR="004824D3">
        <w:rPr>
          <w:rFonts w:cs="Times New Roman"/>
        </w:rPr>
        <w:t xml:space="preserve"> the arithmetic mean obtained. </w:t>
      </w:r>
      <w:r w:rsidR="004824D3">
        <w:rPr>
          <w:rFonts w:cs="Times New Roman"/>
        </w:rPr>
        <w:tab/>
      </w:r>
      <w:r w:rsidR="004824D3">
        <w:rPr>
          <w:rFonts w:cs="Times New Roman"/>
        </w:rPr>
        <w:tab/>
      </w:r>
      <w:r w:rsidR="004824D3">
        <w:rPr>
          <w:rFonts w:cs="Times New Roman"/>
        </w:rPr>
        <w:tab/>
      </w:r>
      <w:r w:rsidR="004824D3">
        <w:rPr>
          <w:rFonts w:cs="Times New Roman"/>
        </w:rPr>
        <w:tab/>
      </w:r>
      <w:r>
        <w:rPr>
          <w:rFonts w:cs="Times New Roman"/>
        </w:rPr>
        <w:t xml:space="preserve">During the analysis, t-test is used as well, and it shows whether a significant statistic difference exists between tested strategies in the same research area.  It is important to emphasize the existence of significant statistic difference between the strategies in the same area, which is explained in the above part of this paper. </w:t>
      </w:r>
    </w:p>
    <w:p w:rsidR="00F80803" w:rsidRDefault="00F80803" w:rsidP="00F80803">
      <w:pPr>
        <w:tabs>
          <w:tab w:val="left" w:pos="7290"/>
        </w:tabs>
        <w:rPr>
          <w:rFonts w:cs="Times New Roman"/>
        </w:rPr>
      </w:pPr>
    </w:p>
    <w:p w:rsidR="00F80803" w:rsidRPr="00136F9C" w:rsidRDefault="00F80803" w:rsidP="004824D3">
      <w:pPr>
        <w:tabs>
          <w:tab w:val="left" w:pos="7290"/>
        </w:tabs>
        <w:jc w:val="center"/>
        <w:rPr>
          <w:rFonts w:cs="Times New Roman"/>
          <w:b/>
        </w:rPr>
      </w:pPr>
      <w:r w:rsidRPr="00136F9C">
        <w:rPr>
          <w:rFonts w:cs="Times New Roman"/>
          <w:b/>
        </w:rPr>
        <w:t>CONCLUSION</w:t>
      </w:r>
    </w:p>
    <w:p w:rsidR="00F80803" w:rsidRDefault="00F80803" w:rsidP="004824D3">
      <w:pPr>
        <w:ind w:firstLine="720"/>
        <w:rPr>
          <w:rFonts w:cs="Times New Roman"/>
        </w:rPr>
      </w:pPr>
      <w:r>
        <w:rPr>
          <w:rFonts w:cs="Times New Roman"/>
        </w:rPr>
        <w:t>This research</w:t>
      </w:r>
      <w:r w:rsidRPr="00EA3E86">
        <w:rPr>
          <w:rFonts w:cs="Times New Roman"/>
        </w:rPr>
        <w:t xml:space="preserve"> scientific article </w:t>
      </w:r>
      <w:r>
        <w:rPr>
          <w:rFonts w:cs="Times New Roman"/>
        </w:rPr>
        <w:t>provides</w:t>
      </w:r>
      <w:r w:rsidRPr="00EA3E86">
        <w:rPr>
          <w:rFonts w:cs="Times New Roman"/>
        </w:rPr>
        <w:t xml:space="preserve"> an explanation of the concept of corporate entrepreneurship and the importance of applying entrepreneurial stra</w:t>
      </w:r>
      <w:r>
        <w:rPr>
          <w:rFonts w:cs="Times New Roman"/>
        </w:rPr>
        <w:t>tegies in the business of contemporary</w:t>
      </w:r>
      <w:r w:rsidRPr="00EA3E86">
        <w:rPr>
          <w:rFonts w:cs="Times New Roman"/>
        </w:rPr>
        <w:t xml:space="preserve"> enterprises.</w:t>
      </w:r>
      <w:r>
        <w:rPr>
          <w:rFonts w:cs="Times New Roman"/>
        </w:rPr>
        <w:t xml:space="preserve"> Contemporary entrepreneurship in the circumstances </w:t>
      </w:r>
      <w:r w:rsidRPr="00EA3E86">
        <w:rPr>
          <w:rFonts w:cs="Times New Roman"/>
        </w:rPr>
        <w:t>of uncertain global business environment is directed towards find</w:t>
      </w:r>
      <w:r>
        <w:rPr>
          <w:rFonts w:cs="Times New Roman"/>
        </w:rPr>
        <w:t xml:space="preserve">ing the best ways of </w:t>
      </w:r>
      <w:r w:rsidRPr="00EA3E86">
        <w:rPr>
          <w:rFonts w:cs="Times New Roman"/>
        </w:rPr>
        <w:t>organization which is extremely demanding task.</w:t>
      </w:r>
      <w:r>
        <w:rPr>
          <w:rFonts w:cs="Times New Roman"/>
        </w:rPr>
        <w:t xml:space="preserve"> A prerequisite for competitiveness and excellence of entrepreneurs of 21</w:t>
      </w:r>
      <w:r w:rsidRPr="001A0A5D">
        <w:rPr>
          <w:rFonts w:cs="Times New Roman"/>
          <w:vertAlign w:val="superscript"/>
        </w:rPr>
        <w:t>st</w:t>
      </w:r>
      <w:r>
        <w:rPr>
          <w:rFonts w:cs="Times New Roman"/>
        </w:rPr>
        <w:t xml:space="preserve"> century involves creating specialized teams, minor and flexible enterprises, team networking and coordination using information and communication technology, reduction of hierarchical levels and democracy in business decision making, increase of employee autonomy and independence in decision making,</w:t>
      </w:r>
      <w:r w:rsidRPr="001A0A5D">
        <w:t xml:space="preserve"> </w:t>
      </w:r>
      <w:r w:rsidRPr="001A0A5D">
        <w:rPr>
          <w:rFonts w:cs="Times New Roman"/>
        </w:rPr>
        <w:t>concentration on excellence in business and core competencies, outsourcing of business activities, continuous investm</w:t>
      </w:r>
      <w:r>
        <w:rPr>
          <w:rFonts w:cs="Times New Roman"/>
        </w:rPr>
        <w:t>ent in skills and education, creating</w:t>
      </w:r>
      <w:r w:rsidRPr="001A0A5D">
        <w:rPr>
          <w:rFonts w:cs="Times New Roman"/>
        </w:rPr>
        <w:t xml:space="preserve"> partnerships with suppliers and customers, monitoring, evaluation and measurement of results.</w:t>
      </w:r>
      <w:r w:rsidR="004824D3">
        <w:rPr>
          <w:rFonts w:cs="Times New Roman"/>
        </w:rPr>
        <w:tab/>
      </w:r>
      <w:r w:rsidR="004824D3">
        <w:rPr>
          <w:rFonts w:cs="Times New Roman"/>
        </w:rPr>
        <w:tab/>
      </w:r>
      <w:r>
        <w:rPr>
          <w:rFonts w:cs="Times New Roman"/>
        </w:rPr>
        <w:t xml:space="preserve">Analysing </w:t>
      </w:r>
      <w:r w:rsidRPr="00B62B7A">
        <w:rPr>
          <w:rFonts w:cs="Times New Roman"/>
        </w:rPr>
        <w:t>data collected from 37 mana</w:t>
      </w:r>
      <w:r>
        <w:rPr>
          <w:rFonts w:cs="Times New Roman"/>
        </w:rPr>
        <w:t xml:space="preserve">gers and owners of production enterprises engaged in exporting, it </w:t>
      </w:r>
      <w:r w:rsidRPr="00B62B7A">
        <w:rPr>
          <w:rFonts w:cs="Times New Roman"/>
        </w:rPr>
        <w:t xml:space="preserve">can </w:t>
      </w:r>
      <w:r>
        <w:rPr>
          <w:rFonts w:cs="Times New Roman"/>
        </w:rPr>
        <w:t xml:space="preserve">be </w:t>
      </w:r>
      <w:r w:rsidRPr="00B62B7A">
        <w:rPr>
          <w:rFonts w:cs="Times New Roman"/>
        </w:rPr>
        <w:t>conclude</w:t>
      </w:r>
      <w:r>
        <w:rPr>
          <w:rFonts w:cs="Times New Roman"/>
        </w:rPr>
        <w:t>d</w:t>
      </w:r>
      <w:r w:rsidRPr="00B62B7A">
        <w:rPr>
          <w:rFonts w:cs="Times New Roman"/>
        </w:rPr>
        <w:t xml:space="preserve"> that </w:t>
      </w:r>
      <w:r>
        <w:rPr>
          <w:rFonts w:cs="Times New Roman"/>
        </w:rPr>
        <w:t>the strategy largely contributing</w:t>
      </w:r>
      <w:r w:rsidRPr="00B62B7A">
        <w:rPr>
          <w:rFonts w:cs="Times New Roman"/>
        </w:rPr>
        <w:t xml:space="preserve"> to creatin</w:t>
      </w:r>
      <w:r>
        <w:rPr>
          <w:rFonts w:cs="Times New Roman"/>
        </w:rPr>
        <w:t xml:space="preserve">g a positive export policy in BH is </w:t>
      </w:r>
      <w:r w:rsidRPr="00B62B7A">
        <w:rPr>
          <w:rFonts w:cs="Times New Roman"/>
        </w:rPr>
        <w:t xml:space="preserve">a generic </w:t>
      </w:r>
      <w:r>
        <w:rPr>
          <w:rFonts w:cs="Times New Roman"/>
        </w:rPr>
        <w:t>Cost leadership strategy.</w:t>
      </w:r>
      <w:r w:rsidRPr="00026CCC">
        <w:rPr>
          <w:rFonts w:cs="Times New Roman"/>
        </w:rPr>
        <w:t xml:space="preserve"> </w:t>
      </w:r>
      <w:r>
        <w:rPr>
          <w:rFonts w:cs="Times New Roman"/>
        </w:rPr>
        <w:t xml:space="preserve">Participants partly agree that Focus strategy contributes to creating positive export capacity in Bosnia and Herzegovina. Therefore it can be concluded that there is no significant statistic difference between the response of manager and owner regarding the Differentiation strategy and Focus strategy, i.e. these strategies are similar for managers and owners of production enterprises engaged in export. Moreover, it can be concluded that there is a significant statistic difference between the response of manager and owner regarding the Differentiation strategy and Cost leadership strategy, i.e. these strategies are different for managers and owners of production enterprises engaged in export. As described, managers and the owners prefer Cost leadership strategy since it contributes to creating a positive export policy in Bosnia and Herzegovina. A significant statistic difference exists between the response of manager and owner regarding the Focus strategy and Cost </w:t>
      </w:r>
      <w:r>
        <w:rPr>
          <w:rFonts w:cs="Times New Roman"/>
        </w:rPr>
        <w:lastRenderedPageBreak/>
        <w:t>leadership strategy, i.e. these strategies are different for managers and owners of production enterprises engaged in export and they differently contribute to creating export policy. The analysis of data collected show that surveyed managers and owners of production enterprises engage in export strongly agree that Cost leadership strategy largely increases expo</w:t>
      </w:r>
      <w:r w:rsidR="004824D3">
        <w:rPr>
          <w:rFonts w:cs="Times New Roman"/>
        </w:rPr>
        <w:t xml:space="preserve">rt capacity of BH enterprises. </w:t>
      </w:r>
      <w:r w:rsidR="004824D3">
        <w:rPr>
          <w:rFonts w:cs="Times New Roman"/>
        </w:rPr>
        <w:tab/>
      </w:r>
      <w:r w:rsidR="004824D3">
        <w:rPr>
          <w:rFonts w:cs="Times New Roman"/>
        </w:rPr>
        <w:tab/>
      </w:r>
      <w:r w:rsidR="004824D3">
        <w:rPr>
          <w:rFonts w:cs="Times New Roman"/>
        </w:rPr>
        <w:tab/>
      </w:r>
      <w:r w:rsidR="004824D3">
        <w:rPr>
          <w:rFonts w:cs="Times New Roman"/>
        </w:rPr>
        <w:tab/>
      </w:r>
      <w:r w:rsidR="004824D3">
        <w:rPr>
          <w:rFonts w:cs="Times New Roman"/>
        </w:rPr>
        <w:tab/>
      </w:r>
      <w:r>
        <w:rPr>
          <w:rFonts w:cs="Times New Roman"/>
        </w:rPr>
        <w:t xml:space="preserve">Participants agree to a small extent that Differentiation strategy is contributing to export capacity of production enterprises.  Participants agree that Focus strategy largely increases export capacity of BH enterprise.  The average survey response rate is 3, 7838, which is a minor value comparing to Cost leadership strategy, and larger than Differentiation </w:t>
      </w:r>
      <w:r w:rsidR="004824D3">
        <w:rPr>
          <w:rFonts w:cs="Times New Roman"/>
        </w:rPr>
        <w:t xml:space="preserve">strategy. </w:t>
      </w:r>
      <w:r w:rsidR="004824D3">
        <w:rPr>
          <w:rFonts w:cs="Times New Roman"/>
        </w:rPr>
        <w:tab/>
      </w:r>
      <w:r w:rsidR="004824D3">
        <w:rPr>
          <w:rFonts w:cs="Times New Roman"/>
        </w:rPr>
        <w:tab/>
      </w:r>
      <w:r w:rsidR="004824D3">
        <w:rPr>
          <w:rFonts w:cs="Times New Roman"/>
        </w:rPr>
        <w:tab/>
      </w:r>
      <w:r w:rsidR="004824D3">
        <w:rPr>
          <w:rFonts w:cs="Times New Roman"/>
        </w:rPr>
        <w:tab/>
      </w:r>
      <w:r w:rsidR="004824D3">
        <w:rPr>
          <w:rFonts w:cs="Times New Roman"/>
        </w:rPr>
        <w:tab/>
      </w:r>
      <w:r w:rsidR="004824D3">
        <w:rPr>
          <w:rFonts w:cs="Times New Roman"/>
        </w:rPr>
        <w:tab/>
      </w:r>
      <w:r w:rsidR="004824D3">
        <w:rPr>
          <w:rFonts w:cs="Times New Roman"/>
        </w:rPr>
        <w:tab/>
      </w:r>
      <w:r w:rsidR="004824D3">
        <w:rPr>
          <w:rFonts w:cs="Times New Roman"/>
        </w:rPr>
        <w:tab/>
      </w:r>
      <w:r w:rsidR="004824D3">
        <w:rPr>
          <w:rFonts w:cs="Times New Roman"/>
        </w:rPr>
        <w:tab/>
      </w:r>
      <w:r>
        <w:rPr>
          <w:rFonts w:cs="Times New Roman"/>
        </w:rPr>
        <w:t xml:space="preserve">Analysis of data obtained showed that generic Cost leadership strategy is the most applicable strategy for export enterprise in Bosnia and Herzegovina. In all statements set, in the above part of the paper, Cost leadership strategy is the most applicable one, with a score of participants of more than 4.3, which is extremely high. It can be concluded that generic Cost leadership strategy gives competitive advantage to production enterprises abroad, primarily, because of cheap labour, and in this segment Western world can hardly compete with local producers. This becomes their opportunity for building a competitive advantage which is highly proved by this research. </w:t>
      </w:r>
      <w:r w:rsidR="004824D3">
        <w:rPr>
          <w:rFonts w:cs="Times New Roman"/>
        </w:rPr>
        <w:tab/>
      </w:r>
      <w:r w:rsidR="004824D3">
        <w:rPr>
          <w:rFonts w:cs="Times New Roman"/>
        </w:rPr>
        <w:tab/>
      </w:r>
      <w:r w:rsidR="004824D3">
        <w:rPr>
          <w:rFonts w:cs="Times New Roman"/>
        </w:rPr>
        <w:tab/>
      </w:r>
      <w:r w:rsidR="004824D3">
        <w:rPr>
          <w:rFonts w:cs="Times New Roman"/>
        </w:rPr>
        <w:tab/>
      </w:r>
      <w:r w:rsidR="004824D3">
        <w:rPr>
          <w:rFonts w:cs="Times New Roman"/>
        </w:rPr>
        <w:tab/>
      </w:r>
      <w:r w:rsidR="004824D3">
        <w:rPr>
          <w:rFonts w:cs="Times New Roman"/>
        </w:rPr>
        <w:tab/>
      </w:r>
      <w:r>
        <w:rPr>
          <w:rFonts w:cs="Times New Roman"/>
        </w:rPr>
        <w:t>Besides the Cost leadership strategy, the following strategy preferred by local producers is Focus strategy. Responses obtained have given the results showing that Focus strategy is less used than Cost leadership strategy, but it has certainly found its implementation with BH producer</w:t>
      </w:r>
      <w:r w:rsidR="004824D3">
        <w:rPr>
          <w:rFonts w:cs="Times New Roman"/>
        </w:rPr>
        <w:t xml:space="preserve">s which are export orientated. </w:t>
      </w:r>
      <w:r w:rsidR="004824D3">
        <w:rPr>
          <w:rFonts w:cs="Times New Roman"/>
        </w:rPr>
        <w:tab/>
      </w:r>
      <w:r w:rsidR="004824D3">
        <w:rPr>
          <w:rFonts w:cs="Times New Roman"/>
        </w:rPr>
        <w:tab/>
      </w:r>
      <w:r w:rsidR="004824D3">
        <w:rPr>
          <w:rFonts w:cs="Times New Roman"/>
        </w:rPr>
        <w:tab/>
      </w:r>
      <w:r w:rsidR="004824D3">
        <w:rPr>
          <w:rFonts w:cs="Times New Roman"/>
        </w:rPr>
        <w:tab/>
      </w:r>
      <w:r>
        <w:rPr>
          <w:rFonts w:cs="Times New Roman"/>
        </w:rPr>
        <w:t>Of all analysed strategies, Differentiation strategy is the least used. Managers and the owners disagree that Differentiation strategy has got a decisive role in the international market for BH producers. Differentiation strategy rate is largely smaller than rate of the previous two generic strategies.</w:t>
      </w:r>
    </w:p>
    <w:p w:rsidR="00F80803" w:rsidRDefault="00F80803" w:rsidP="00F80803">
      <w:pPr>
        <w:tabs>
          <w:tab w:val="left" w:pos="7290"/>
        </w:tabs>
        <w:rPr>
          <w:rFonts w:cs="Times New Roman"/>
        </w:rPr>
      </w:pPr>
    </w:p>
    <w:p w:rsidR="00F80803" w:rsidRDefault="00F80803" w:rsidP="004824D3">
      <w:pPr>
        <w:tabs>
          <w:tab w:val="left" w:pos="7290"/>
        </w:tabs>
        <w:jc w:val="center"/>
        <w:rPr>
          <w:rFonts w:cs="Times New Roman"/>
          <w:b/>
        </w:rPr>
      </w:pPr>
      <w:r w:rsidRPr="00D916EC">
        <w:rPr>
          <w:rFonts w:cs="Times New Roman"/>
          <w:b/>
        </w:rPr>
        <w:t>REFERENCES</w:t>
      </w:r>
    </w:p>
    <w:p w:rsidR="00F80803" w:rsidRDefault="00F80803" w:rsidP="00F80803">
      <w:pPr>
        <w:tabs>
          <w:tab w:val="left" w:pos="7290"/>
        </w:tabs>
        <w:rPr>
          <w:rFonts w:cs="Times New Roman"/>
          <w:b/>
        </w:rPr>
      </w:pPr>
    </w:p>
    <w:p w:rsidR="00F80803" w:rsidRPr="006608DD" w:rsidRDefault="00F80803" w:rsidP="00F80803">
      <w:pPr>
        <w:pStyle w:val="Style22"/>
        <w:widowControl/>
        <w:numPr>
          <w:ilvl w:val="0"/>
          <w:numId w:val="8"/>
        </w:numPr>
        <w:tabs>
          <w:tab w:val="left" w:pos="283"/>
          <w:tab w:val="left" w:pos="3317"/>
        </w:tabs>
        <w:spacing w:line="276" w:lineRule="auto"/>
        <w:rPr>
          <w:rFonts w:ascii="Times New Roman" w:eastAsia="TimesNewRomanPSMT" w:hAnsi="Times New Roman"/>
          <w:lang w:val="en-GB"/>
        </w:rPr>
      </w:pPr>
      <w:r w:rsidRPr="006608DD">
        <w:rPr>
          <w:rFonts w:ascii="Times New Roman" w:eastAsia="TimesNewRomanPSMT" w:hAnsi="Times New Roman"/>
          <w:lang w:val="en-GB"/>
        </w:rPr>
        <w:t xml:space="preserve">Aaker D., </w:t>
      </w:r>
      <w:r w:rsidRPr="006608DD">
        <w:rPr>
          <w:rFonts w:ascii="Times New Roman" w:eastAsia="TimesNewRomanPS-ItalicMT" w:hAnsi="Times New Roman"/>
          <w:lang w:val="en-GB"/>
        </w:rPr>
        <w:t>Strategic Marketing Management</w:t>
      </w:r>
      <w:r w:rsidRPr="006608DD">
        <w:rPr>
          <w:rFonts w:ascii="Times New Roman" w:eastAsia="TimesNewRomanPSMT" w:hAnsi="Times New Roman"/>
          <w:lang w:val="en-GB"/>
        </w:rPr>
        <w:t xml:space="preserve">, John Wiley </w:t>
      </w:r>
      <w:r w:rsidR="002969C8">
        <w:rPr>
          <w:rFonts w:ascii="Times New Roman" w:eastAsia="TimesNewRomanPSMT" w:hAnsi="Times New Roman"/>
          <w:lang w:val="en-GB"/>
        </w:rPr>
        <w:t>and</w:t>
      </w:r>
      <w:r w:rsidRPr="006608DD">
        <w:rPr>
          <w:rFonts w:ascii="Times New Roman" w:eastAsia="TimesNewRomanPSMT" w:hAnsi="Times New Roman"/>
          <w:lang w:val="en-GB"/>
        </w:rPr>
        <w:t xml:space="preserve"> Sons, 2001.</w:t>
      </w:r>
    </w:p>
    <w:p w:rsidR="00F80803" w:rsidRPr="006608DD" w:rsidRDefault="00F80803" w:rsidP="00F80803">
      <w:pPr>
        <w:pStyle w:val="FootnoteText"/>
        <w:numPr>
          <w:ilvl w:val="0"/>
          <w:numId w:val="8"/>
        </w:numPr>
        <w:spacing w:line="276" w:lineRule="auto"/>
        <w:jc w:val="both"/>
        <w:rPr>
          <w:sz w:val="24"/>
          <w:szCs w:val="24"/>
          <w:lang w:val="en-GB"/>
        </w:rPr>
      </w:pPr>
      <w:r w:rsidRPr="006608DD">
        <w:rPr>
          <w:sz w:val="24"/>
          <w:szCs w:val="24"/>
          <w:lang w:val="en-GB"/>
        </w:rPr>
        <w:t>Barringer, B.R., Ireland, R.D.</w:t>
      </w:r>
      <w:r w:rsidR="002969C8">
        <w:rPr>
          <w:sz w:val="24"/>
          <w:szCs w:val="24"/>
          <w:lang w:val="en-GB"/>
        </w:rPr>
        <w:t xml:space="preserve">, </w:t>
      </w:r>
      <w:r w:rsidRPr="006608DD">
        <w:rPr>
          <w:sz w:val="24"/>
          <w:szCs w:val="24"/>
          <w:lang w:val="en-GB"/>
        </w:rPr>
        <w:t xml:space="preserve">Entrepreneurship, Pearson Education, New Jersey, </w:t>
      </w:r>
      <w:r w:rsidR="002969C8">
        <w:rPr>
          <w:sz w:val="24"/>
          <w:szCs w:val="24"/>
          <w:lang w:val="en-GB"/>
        </w:rPr>
        <w:t>2008.</w:t>
      </w:r>
    </w:p>
    <w:p w:rsidR="00F80803" w:rsidRPr="006608DD" w:rsidRDefault="00F80803" w:rsidP="00F80803">
      <w:pPr>
        <w:pStyle w:val="NoSpacing"/>
        <w:numPr>
          <w:ilvl w:val="0"/>
          <w:numId w:val="8"/>
        </w:numPr>
        <w:spacing w:line="276" w:lineRule="auto"/>
        <w:rPr>
          <w:rFonts w:cs="Times New Roman"/>
        </w:rPr>
      </w:pPr>
      <w:r w:rsidRPr="006608DD">
        <w:rPr>
          <w:rFonts w:cs="Times New Roman"/>
        </w:rPr>
        <w:t>C</w:t>
      </w:r>
      <w:r w:rsidRPr="006608DD">
        <w:rPr>
          <w:rFonts w:eastAsia="WarnockPro-Regular" w:cs="Times New Roman"/>
        </w:rPr>
        <w:t>vetinović M.,</w:t>
      </w:r>
      <w:r w:rsidRPr="006608DD">
        <w:rPr>
          <w:rFonts w:eastAsia="Calibri" w:cs="Times New Roman"/>
        </w:rPr>
        <w:t xml:space="preserve"> Managerial economics, U</w:t>
      </w:r>
      <w:r w:rsidRPr="006608DD">
        <w:rPr>
          <w:rFonts w:eastAsia="WarnockPro-Regular" w:cs="Times New Roman"/>
        </w:rPr>
        <w:t>niversity Singidunum, Belgrade, 2009.</w:t>
      </w:r>
    </w:p>
    <w:p w:rsidR="00F80803" w:rsidRPr="006608DD" w:rsidRDefault="00F80803" w:rsidP="00F80803">
      <w:pPr>
        <w:pStyle w:val="Style22"/>
        <w:widowControl/>
        <w:numPr>
          <w:ilvl w:val="0"/>
          <w:numId w:val="8"/>
        </w:numPr>
        <w:tabs>
          <w:tab w:val="left" w:pos="283"/>
          <w:tab w:val="left" w:pos="3317"/>
        </w:tabs>
        <w:spacing w:line="276" w:lineRule="auto"/>
        <w:rPr>
          <w:rFonts w:ascii="Times New Roman" w:hAnsi="Times New Roman"/>
          <w:lang w:val="en-GB"/>
        </w:rPr>
      </w:pPr>
      <w:r w:rsidRPr="006608DD">
        <w:rPr>
          <w:rFonts w:ascii="Times New Roman" w:hAnsi="Times New Roman"/>
          <w:lang w:val="en-GB"/>
        </w:rPr>
        <w:t>Dees, Lumpikin, Eisner, Strategic management, Delta status, Belgrade, 2007.</w:t>
      </w:r>
    </w:p>
    <w:p w:rsidR="00F80803" w:rsidRPr="006608DD" w:rsidRDefault="00F80803" w:rsidP="00F80803">
      <w:pPr>
        <w:pStyle w:val="ListParagraph"/>
        <w:numPr>
          <w:ilvl w:val="0"/>
          <w:numId w:val="8"/>
        </w:numPr>
        <w:spacing w:before="0" w:line="276" w:lineRule="auto"/>
        <w:contextualSpacing w:val="0"/>
        <w:jc w:val="both"/>
        <w:rPr>
          <w:rFonts w:cs="Times New Roman"/>
          <w:lang w:val="en-GB"/>
        </w:rPr>
      </w:pPr>
      <w:r w:rsidRPr="006608DD">
        <w:rPr>
          <w:rFonts w:cs="Times New Roman"/>
          <w:lang w:val="en-GB"/>
        </w:rPr>
        <w:t>Domazet A, The Strategy of export promotion, Institute of Economy Sarajevo, 2006.</w:t>
      </w:r>
    </w:p>
    <w:p w:rsidR="00F80803" w:rsidRPr="006608DD" w:rsidRDefault="00F80803" w:rsidP="00F80803">
      <w:pPr>
        <w:pStyle w:val="NoSpacing"/>
        <w:numPr>
          <w:ilvl w:val="0"/>
          <w:numId w:val="8"/>
        </w:numPr>
        <w:spacing w:line="276" w:lineRule="auto"/>
        <w:rPr>
          <w:rFonts w:eastAsia="WarnockPro-Regular" w:cs="Times New Roman"/>
        </w:rPr>
      </w:pPr>
      <w:r w:rsidRPr="006608DD">
        <w:rPr>
          <w:rFonts w:eastAsia="WarnockPro-Regular" w:cs="Times New Roman"/>
        </w:rPr>
        <w:t>Mašic B.</w:t>
      </w:r>
      <w:r w:rsidRPr="006608DD">
        <w:rPr>
          <w:rFonts w:eastAsia="Calibri" w:cs="Times New Roman"/>
        </w:rPr>
        <w:t xml:space="preserve">  at. all, Management: Principles, concepts and procedures, </w:t>
      </w:r>
      <w:r w:rsidRPr="006608DD">
        <w:rPr>
          <w:rFonts w:eastAsia="WarnockPro-Regular" w:cs="Times New Roman"/>
        </w:rPr>
        <w:t>Belgrade, 2010.</w:t>
      </w:r>
    </w:p>
    <w:p w:rsidR="00F80803" w:rsidRPr="006608DD" w:rsidRDefault="00F80803" w:rsidP="00F80803">
      <w:pPr>
        <w:pStyle w:val="NoSpacing"/>
        <w:numPr>
          <w:ilvl w:val="0"/>
          <w:numId w:val="8"/>
        </w:numPr>
        <w:spacing w:line="276" w:lineRule="auto"/>
        <w:rPr>
          <w:rFonts w:cs="Times New Roman"/>
        </w:rPr>
      </w:pPr>
      <w:r w:rsidRPr="006608DD">
        <w:rPr>
          <w:rFonts w:cs="Times New Roman"/>
        </w:rPr>
        <w:t>Mathis, R. L.</w:t>
      </w:r>
      <w:r w:rsidR="002969C8">
        <w:rPr>
          <w:rFonts w:cs="Times New Roman"/>
        </w:rPr>
        <w:t>, J</w:t>
      </w:r>
      <w:r w:rsidRPr="006608DD">
        <w:rPr>
          <w:rFonts w:cs="Times New Roman"/>
        </w:rPr>
        <w:t xml:space="preserve">ackson, J. H. Human Resource Management: Essential Perspectives. 3th edition.  Mason : South-Western College Pub., 2004. </w:t>
      </w:r>
    </w:p>
    <w:p w:rsidR="00F80803" w:rsidRPr="006608DD" w:rsidRDefault="002969C8" w:rsidP="00F80803">
      <w:pPr>
        <w:pStyle w:val="NoSpacing"/>
        <w:numPr>
          <w:ilvl w:val="0"/>
          <w:numId w:val="8"/>
        </w:numPr>
        <w:spacing w:line="276" w:lineRule="auto"/>
        <w:rPr>
          <w:rFonts w:cs="Times New Roman"/>
        </w:rPr>
      </w:pPr>
      <w:r>
        <w:rPr>
          <w:rFonts w:cs="Times New Roman"/>
        </w:rPr>
        <w:t xml:space="preserve">Marković, M., </w:t>
      </w:r>
      <w:r w:rsidR="00F80803" w:rsidRPr="006608DD">
        <w:rPr>
          <w:rFonts w:cs="Times New Roman"/>
        </w:rPr>
        <w:t>International marketing. Split, Logos</w:t>
      </w:r>
      <w:r>
        <w:rPr>
          <w:rFonts w:cs="Times New Roman"/>
        </w:rPr>
        <w:t>, 1994.</w:t>
      </w:r>
    </w:p>
    <w:p w:rsidR="00F80803" w:rsidRPr="006608DD" w:rsidRDefault="00F80803" w:rsidP="00F80803">
      <w:pPr>
        <w:pStyle w:val="ListParagraph"/>
        <w:numPr>
          <w:ilvl w:val="0"/>
          <w:numId w:val="8"/>
        </w:numPr>
        <w:spacing w:before="0" w:line="276" w:lineRule="auto"/>
        <w:contextualSpacing w:val="0"/>
        <w:jc w:val="both"/>
        <w:rPr>
          <w:rFonts w:cs="Times New Roman"/>
          <w:lang w:val="en-GB"/>
        </w:rPr>
      </w:pPr>
      <w:r w:rsidRPr="006608DD">
        <w:rPr>
          <w:rFonts w:cs="Times New Roman"/>
          <w:lang w:val="en-GB"/>
        </w:rPr>
        <w:lastRenderedPageBreak/>
        <w:t>Mencer, I., Strategic management and business policy. Vitagraf, Rijeka, 2003.</w:t>
      </w:r>
    </w:p>
    <w:p w:rsidR="00F80803" w:rsidRPr="006608DD" w:rsidRDefault="00F80803" w:rsidP="00F80803">
      <w:pPr>
        <w:pStyle w:val="Style22"/>
        <w:widowControl/>
        <w:numPr>
          <w:ilvl w:val="0"/>
          <w:numId w:val="8"/>
        </w:numPr>
        <w:tabs>
          <w:tab w:val="left" w:pos="283"/>
          <w:tab w:val="left" w:pos="3317"/>
        </w:tabs>
        <w:spacing w:line="276" w:lineRule="auto"/>
        <w:rPr>
          <w:rFonts w:ascii="Times New Roman" w:hAnsi="Times New Roman"/>
          <w:lang w:val="en-GB"/>
        </w:rPr>
      </w:pPr>
      <w:r w:rsidRPr="006608DD">
        <w:rPr>
          <w:rFonts w:ascii="Times New Roman" w:hAnsi="Times New Roman"/>
          <w:lang w:val="en-GB"/>
        </w:rPr>
        <w:t>Omazić, M., Baljkas, S., Project Managment, Sinergija nakladništvo,  Zagreb,  2005.</w:t>
      </w:r>
    </w:p>
    <w:p w:rsidR="00F80803" w:rsidRPr="006608DD" w:rsidRDefault="00F80803" w:rsidP="00F80803">
      <w:pPr>
        <w:pStyle w:val="ListParagraph"/>
        <w:numPr>
          <w:ilvl w:val="0"/>
          <w:numId w:val="8"/>
        </w:numPr>
        <w:spacing w:before="0" w:line="276" w:lineRule="auto"/>
        <w:contextualSpacing w:val="0"/>
        <w:jc w:val="both"/>
        <w:rPr>
          <w:rFonts w:eastAsia="WarnockPro-Regular" w:cs="Times New Roman"/>
          <w:lang w:val="en-GB"/>
        </w:rPr>
      </w:pPr>
      <w:r w:rsidRPr="006608DD">
        <w:rPr>
          <w:rFonts w:eastAsia="WarnockPro-Regular" w:cs="Times New Roman"/>
          <w:lang w:val="en-GB"/>
        </w:rPr>
        <w:t>Osmanagić-Bedenik N., Operational plan, Školska knjiga, Zagreb, 2002</w:t>
      </w:r>
      <w:r w:rsidR="002969C8">
        <w:rPr>
          <w:rFonts w:eastAsia="WarnockPro-Regular" w:cs="Times New Roman"/>
          <w:lang w:val="en-GB"/>
        </w:rPr>
        <w:t>.</w:t>
      </w:r>
    </w:p>
    <w:p w:rsidR="00F80803" w:rsidRPr="006608DD" w:rsidRDefault="00F80803" w:rsidP="00F80803">
      <w:pPr>
        <w:pStyle w:val="ListParagraph"/>
        <w:numPr>
          <w:ilvl w:val="0"/>
          <w:numId w:val="8"/>
        </w:numPr>
        <w:spacing w:before="0" w:line="276" w:lineRule="auto"/>
        <w:contextualSpacing w:val="0"/>
        <w:jc w:val="both"/>
        <w:rPr>
          <w:rFonts w:eastAsia="WarnockPro-Regular" w:cs="Times New Roman"/>
          <w:lang w:val="en-GB"/>
        </w:rPr>
      </w:pPr>
      <w:r w:rsidRPr="006608DD">
        <w:rPr>
          <w:rFonts w:cs="Times New Roman"/>
          <w:lang w:val="en-GB"/>
        </w:rPr>
        <w:t>Previšić, J.; Ozrešić Došen, Đ.</w:t>
      </w:r>
      <w:r w:rsidR="002969C8">
        <w:rPr>
          <w:rFonts w:cs="Times New Roman"/>
          <w:lang w:val="en-GB"/>
        </w:rPr>
        <w:t>,</w:t>
      </w:r>
      <w:r w:rsidRPr="006608DD">
        <w:rPr>
          <w:rFonts w:cs="Times New Roman"/>
          <w:lang w:val="en-GB"/>
        </w:rPr>
        <w:t xml:space="preserve"> International markting. Zagreb,  Masmedia</w:t>
      </w:r>
      <w:r w:rsidR="002969C8">
        <w:rPr>
          <w:rFonts w:cs="Times New Roman"/>
          <w:lang w:val="en-GB"/>
        </w:rPr>
        <w:t>, 1999.</w:t>
      </w:r>
    </w:p>
    <w:p w:rsidR="00F80803" w:rsidRPr="006608DD" w:rsidRDefault="00F80803" w:rsidP="00F80803">
      <w:pPr>
        <w:pStyle w:val="ListParagraph"/>
        <w:numPr>
          <w:ilvl w:val="0"/>
          <w:numId w:val="8"/>
        </w:numPr>
        <w:spacing w:before="0" w:line="276" w:lineRule="auto"/>
        <w:contextualSpacing w:val="0"/>
        <w:jc w:val="both"/>
        <w:rPr>
          <w:rFonts w:cs="Times New Roman"/>
          <w:lang w:val="en-GB"/>
        </w:rPr>
      </w:pPr>
      <w:r w:rsidRPr="006608DD">
        <w:rPr>
          <w:rFonts w:cs="Times New Roman"/>
          <w:lang w:val="en-GB"/>
        </w:rPr>
        <w:t>Pupavac, D. Ethics Management. Rijeka: Veleučilište, 2006.</w:t>
      </w:r>
    </w:p>
    <w:p w:rsidR="00F80803" w:rsidRPr="006608DD" w:rsidRDefault="00F80803" w:rsidP="00F80803">
      <w:pPr>
        <w:pStyle w:val="ListParagraph"/>
        <w:numPr>
          <w:ilvl w:val="0"/>
          <w:numId w:val="8"/>
        </w:numPr>
        <w:spacing w:before="0" w:line="276" w:lineRule="auto"/>
        <w:contextualSpacing w:val="0"/>
        <w:jc w:val="both"/>
        <w:rPr>
          <w:rFonts w:eastAsia="TimesNewRomanPSMT" w:cs="Times New Roman"/>
          <w:lang w:val="en-GB"/>
        </w:rPr>
      </w:pPr>
      <w:r w:rsidRPr="006608DD">
        <w:rPr>
          <w:rFonts w:eastAsia="TimesNewRomanPSMT" w:cs="Times New Roman"/>
          <w:lang w:val="en-GB"/>
        </w:rPr>
        <w:t xml:space="preserve">Rajkov M., Sajfer Z., </w:t>
      </w:r>
      <w:r w:rsidRPr="006608DD">
        <w:rPr>
          <w:rFonts w:eastAsia="TimesNewRomanPS-ItalicMT" w:cs="Times New Roman"/>
          <w:lang w:val="en-GB"/>
        </w:rPr>
        <w:t>Human side of management</w:t>
      </w:r>
      <w:r w:rsidRPr="006608DD">
        <w:rPr>
          <w:rFonts w:eastAsia="TimesNewRomanPSMT" w:cs="Times New Roman"/>
          <w:lang w:val="en-GB"/>
        </w:rPr>
        <w:t>, FON, Beograd, 1996.</w:t>
      </w:r>
    </w:p>
    <w:p w:rsidR="00F80803" w:rsidRPr="006608DD" w:rsidRDefault="00F80803" w:rsidP="00F80803">
      <w:pPr>
        <w:pStyle w:val="NoSpacing"/>
        <w:numPr>
          <w:ilvl w:val="0"/>
          <w:numId w:val="8"/>
        </w:numPr>
        <w:spacing w:line="276" w:lineRule="auto"/>
        <w:rPr>
          <w:rFonts w:cs="Times New Roman"/>
        </w:rPr>
      </w:pPr>
      <w:r w:rsidRPr="006608DD">
        <w:rPr>
          <w:rFonts w:cs="Times New Roman"/>
        </w:rPr>
        <w:t>R. Duane Ireland, Robert E. Hoskisson, Michael A., The management of strategy: concepts and cases / Hitt. 9th ed., international ed.  South</w:t>
      </w:r>
      <w:r w:rsidR="002969C8">
        <w:rPr>
          <w:rFonts w:cs="Times New Roman"/>
        </w:rPr>
        <w:t xml:space="preserve">-Western, Cengage Learning, </w:t>
      </w:r>
      <w:r w:rsidRPr="006608DD">
        <w:rPr>
          <w:rFonts w:cs="Times New Roman"/>
        </w:rPr>
        <w:t xml:space="preserve"> 2011.</w:t>
      </w:r>
    </w:p>
    <w:p w:rsidR="00F80803" w:rsidRPr="006608DD" w:rsidRDefault="00F80803" w:rsidP="00F80803">
      <w:pPr>
        <w:pStyle w:val="ListParagraph"/>
        <w:numPr>
          <w:ilvl w:val="0"/>
          <w:numId w:val="8"/>
        </w:numPr>
        <w:spacing w:before="0" w:line="276" w:lineRule="auto"/>
        <w:contextualSpacing w:val="0"/>
        <w:jc w:val="both"/>
        <w:rPr>
          <w:rFonts w:eastAsia="TimesNewRomanPSMT" w:cs="Times New Roman"/>
          <w:lang w:val="en-GB"/>
        </w:rPr>
      </w:pPr>
      <w:r w:rsidRPr="006608DD">
        <w:rPr>
          <w:rFonts w:eastAsia="TimesNewRomanPSMT" w:cs="Times New Roman"/>
          <w:lang w:val="en-GB"/>
        </w:rPr>
        <w:t>Robbins S., Dupree J.</w:t>
      </w:r>
      <w:r w:rsidR="002969C8">
        <w:rPr>
          <w:rFonts w:eastAsia="TimesNewRomanPSMT" w:cs="Times New Roman"/>
          <w:lang w:val="en-GB"/>
        </w:rPr>
        <w:t xml:space="preserve">, </w:t>
      </w:r>
      <w:r w:rsidRPr="006608DD">
        <w:rPr>
          <w:rFonts w:eastAsia="TimesNewRomanPS-ItalicMT" w:cs="Times New Roman"/>
          <w:lang w:val="en-GB"/>
        </w:rPr>
        <w:t>Organizational Behavior: instructor′s resource manual</w:t>
      </w:r>
      <w:r w:rsidRPr="006608DD">
        <w:rPr>
          <w:rFonts w:eastAsia="TimesNewRomanPSMT" w:cs="Times New Roman"/>
          <w:lang w:val="en-GB"/>
        </w:rPr>
        <w:t>, Prentice Hall, 2001.</w:t>
      </w:r>
    </w:p>
    <w:p w:rsidR="00F80803" w:rsidRPr="006608DD" w:rsidRDefault="00F80803" w:rsidP="00F80803">
      <w:pPr>
        <w:pStyle w:val="NoSpacing"/>
        <w:numPr>
          <w:ilvl w:val="0"/>
          <w:numId w:val="8"/>
        </w:numPr>
        <w:spacing w:line="276" w:lineRule="auto"/>
        <w:rPr>
          <w:rFonts w:cs="Times New Roman"/>
        </w:rPr>
      </w:pPr>
      <w:r w:rsidRPr="006608DD">
        <w:rPr>
          <w:rFonts w:cs="Times New Roman"/>
        </w:rPr>
        <w:t>Stacey, R. D. Strategic management and organizational dynamic, Mate, Zagreb, 1997</w:t>
      </w:r>
      <w:r w:rsidR="002969C8">
        <w:rPr>
          <w:rFonts w:cs="Times New Roman"/>
        </w:rPr>
        <w:t>.</w:t>
      </w:r>
    </w:p>
    <w:p w:rsidR="00F80803" w:rsidRPr="006608DD" w:rsidRDefault="00F80803" w:rsidP="00F80803">
      <w:pPr>
        <w:pStyle w:val="NoSpacing"/>
        <w:numPr>
          <w:ilvl w:val="0"/>
          <w:numId w:val="8"/>
        </w:numPr>
        <w:spacing w:line="276" w:lineRule="auto"/>
        <w:rPr>
          <w:rFonts w:eastAsia="WarnockPro-Regular" w:cs="Times New Roman"/>
        </w:rPr>
      </w:pPr>
      <w:r w:rsidRPr="006608DD">
        <w:rPr>
          <w:rFonts w:eastAsia="WarnockPro-Regular" w:cs="Times New Roman"/>
        </w:rPr>
        <w:t>Sikavica P. &amp; Bahtijarević-Šiber F.,</w:t>
      </w:r>
      <w:r w:rsidRPr="006608DD">
        <w:rPr>
          <w:rFonts w:eastAsia="Calibri" w:cs="Times New Roman"/>
        </w:rPr>
        <w:t xml:space="preserve"> Managment, Masmedia</w:t>
      </w:r>
      <w:r w:rsidRPr="006608DD">
        <w:rPr>
          <w:rFonts w:eastAsia="WarnockPro-Regular" w:cs="Times New Roman"/>
        </w:rPr>
        <w:t>, Zagreb, 2012.</w:t>
      </w:r>
    </w:p>
    <w:p w:rsidR="00F80803" w:rsidRPr="00F80803" w:rsidRDefault="00F80803" w:rsidP="00F80803">
      <w:pPr>
        <w:pStyle w:val="ListParagraph"/>
        <w:numPr>
          <w:ilvl w:val="0"/>
          <w:numId w:val="8"/>
        </w:numPr>
        <w:autoSpaceDE w:val="0"/>
        <w:autoSpaceDN w:val="0"/>
        <w:adjustRightInd w:val="0"/>
        <w:spacing w:before="0" w:line="276" w:lineRule="auto"/>
        <w:contextualSpacing w:val="0"/>
        <w:jc w:val="both"/>
        <w:rPr>
          <w:rFonts w:cs="Times New Roman"/>
          <w:lang w:val="de-AT"/>
        </w:rPr>
      </w:pPr>
      <w:r w:rsidRPr="00F80803">
        <w:rPr>
          <w:rFonts w:cs="Times New Roman"/>
          <w:lang w:val="de-AT"/>
        </w:rPr>
        <w:t>Sikavica, P., Organisation., Školska knjiga, Zagreb, 2011</w:t>
      </w:r>
    </w:p>
    <w:p w:rsidR="00F80803" w:rsidRPr="006608DD" w:rsidRDefault="00F80803" w:rsidP="00F80803">
      <w:pPr>
        <w:pStyle w:val="ListParagraph"/>
        <w:numPr>
          <w:ilvl w:val="0"/>
          <w:numId w:val="8"/>
        </w:numPr>
        <w:autoSpaceDE w:val="0"/>
        <w:autoSpaceDN w:val="0"/>
        <w:adjustRightInd w:val="0"/>
        <w:spacing w:before="0" w:line="276" w:lineRule="auto"/>
        <w:contextualSpacing w:val="0"/>
        <w:jc w:val="both"/>
        <w:rPr>
          <w:rFonts w:cs="Times New Roman"/>
          <w:lang w:val="en-GB"/>
        </w:rPr>
      </w:pPr>
      <w:r w:rsidRPr="006608DD">
        <w:rPr>
          <w:rFonts w:cs="Times New Roman"/>
          <w:lang w:val="en-GB"/>
        </w:rPr>
        <w:t>Sendić R. Market entry strategies, Sarajevo, 2010.god.</w:t>
      </w:r>
    </w:p>
    <w:p w:rsidR="00F80803" w:rsidRPr="006608DD" w:rsidRDefault="00F80803" w:rsidP="00F80803">
      <w:pPr>
        <w:pStyle w:val="FootnoteText"/>
        <w:numPr>
          <w:ilvl w:val="0"/>
          <w:numId w:val="8"/>
        </w:numPr>
        <w:spacing w:line="276" w:lineRule="auto"/>
        <w:jc w:val="both"/>
        <w:rPr>
          <w:sz w:val="24"/>
          <w:szCs w:val="24"/>
          <w:lang w:val="en-GB"/>
        </w:rPr>
      </w:pPr>
      <w:r w:rsidRPr="006608DD">
        <w:rPr>
          <w:sz w:val="24"/>
          <w:szCs w:val="24"/>
          <w:lang w:val="en-GB"/>
        </w:rPr>
        <w:t>Stopford, J.M., Baden-Fuller, C.W.F., „Creating corporate entrepreneurship“, Strategic management journal, Vol. 15, 1994.</w:t>
      </w:r>
    </w:p>
    <w:p w:rsidR="004824D3" w:rsidRDefault="00F80803" w:rsidP="004824D3">
      <w:pPr>
        <w:pStyle w:val="NoSpacing"/>
      </w:pPr>
      <w:r w:rsidRPr="006608DD">
        <w:t xml:space="preserve">      22.Thompson, Jr. A, A. J. Strickland III, John E. Gamble. Strategic management in </w:t>
      </w:r>
    </w:p>
    <w:p w:rsidR="00F80803" w:rsidRDefault="004824D3" w:rsidP="004824D3">
      <w:pPr>
        <w:pStyle w:val="NoSpacing"/>
      </w:pPr>
      <w:r>
        <w:t xml:space="preserve">            </w:t>
      </w:r>
      <w:r w:rsidR="00F80803" w:rsidRPr="006608DD">
        <w:t>pursuit of competitive advantage - theory and case studies, Mate, Zagreb, 2008.</w:t>
      </w:r>
    </w:p>
    <w:p w:rsidR="004824D3" w:rsidRPr="006608DD" w:rsidRDefault="004824D3" w:rsidP="004824D3">
      <w:pPr>
        <w:pStyle w:val="NoSpacing"/>
      </w:pPr>
    </w:p>
    <w:p w:rsidR="00F80803" w:rsidRPr="00CC2E29" w:rsidRDefault="00F80803" w:rsidP="00F80803">
      <w:pPr>
        <w:spacing w:line="276" w:lineRule="auto"/>
      </w:pPr>
    </w:p>
    <w:p w:rsidR="00F80803" w:rsidRPr="00CC2E29" w:rsidRDefault="00F80803" w:rsidP="00F80803">
      <w:pPr>
        <w:spacing w:line="276" w:lineRule="auto"/>
      </w:pPr>
    </w:p>
    <w:p w:rsidR="00F80803" w:rsidRPr="00CC2E29" w:rsidRDefault="00F80803" w:rsidP="00F80803">
      <w:pPr>
        <w:spacing w:line="276" w:lineRule="auto"/>
      </w:pPr>
    </w:p>
    <w:p w:rsidR="00F80803" w:rsidRPr="00CC2E29" w:rsidRDefault="00F80803" w:rsidP="00F80803">
      <w:pPr>
        <w:tabs>
          <w:tab w:val="left" w:pos="7290"/>
        </w:tabs>
        <w:rPr>
          <w:rFonts w:cs="Times New Roman"/>
          <w:b/>
        </w:rPr>
      </w:pPr>
    </w:p>
    <w:p w:rsidR="00F80803" w:rsidRPr="00CC2E29" w:rsidRDefault="00F80803" w:rsidP="00F80803">
      <w:pPr>
        <w:tabs>
          <w:tab w:val="left" w:pos="7290"/>
        </w:tabs>
        <w:rPr>
          <w:rFonts w:cs="Times New Roman"/>
          <w:b/>
        </w:rPr>
      </w:pPr>
    </w:p>
    <w:p w:rsidR="00F80803" w:rsidRDefault="00F80803" w:rsidP="00F80803"/>
    <w:p w:rsidR="0059733A" w:rsidRDefault="0059733A" w:rsidP="000D69BB">
      <w:pPr>
        <w:pStyle w:val="NoSpacing"/>
      </w:pPr>
    </w:p>
    <w:sectPr w:rsidR="0059733A" w:rsidSect="008B2625">
      <w:headerReference w:type="even" r:id="rId8"/>
      <w:headerReference w:type="default" r:id="rId9"/>
      <w:pgSz w:w="12240" w:h="15840"/>
      <w:pgMar w:top="1440" w:right="1797" w:bottom="1440" w:left="179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01A3" w:rsidRDefault="008601A3" w:rsidP="00D3231E">
      <w:pPr>
        <w:spacing w:before="0"/>
      </w:pPr>
      <w:r>
        <w:separator/>
      </w:r>
    </w:p>
  </w:endnote>
  <w:endnote w:type="continuationSeparator" w:id="0">
    <w:p w:rsidR="008601A3" w:rsidRDefault="008601A3" w:rsidP="00D3231E">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Franklin Gothic Demi">
    <w:altName w:val="Arial"/>
    <w:panose1 w:val="020B07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imesNewRomanPSMT">
    <w:altName w:val="Arial Unicode MS"/>
    <w:panose1 w:val="00000000000000000000"/>
    <w:charset w:val="80"/>
    <w:family w:val="auto"/>
    <w:notTrueType/>
    <w:pitch w:val="default"/>
    <w:sig w:usb0="00000005" w:usb1="08070000" w:usb2="00000010" w:usb3="00000000" w:csb0="00020002" w:csb1="00000000"/>
  </w:font>
  <w:font w:name="TimesNewRomanPS-ItalicMT">
    <w:altName w:val="Arial Unicode MS"/>
    <w:panose1 w:val="00000000000000000000"/>
    <w:charset w:val="80"/>
    <w:family w:val="auto"/>
    <w:notTrueType/>
    <w:pitch w:val="default"/>
    <w:sig w:usb0="00000001" w:usb1="08070000" w:usb2="00000010" w:usb3="00000000" w:csb0="00020000" w:csb1="00000000"/>
  </w:font>
  <w:font w:name="WarnockPro-Regular">
    <w:altName w:val="Arial Unicode MS"/>
    <w:panose1 w:val="00000000000000000000"/>
    <w:charset w:val="80"/>
    <w:family w:val="auto"/>
    <w:notTrueType/>
    <w:pitch w:val="default"/>
    <w:sig w:usb0="00000007" w:usb1="08070000" w:usb2="00000010" w:usb3="00000000" w:csb0="0002000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01A3" w:rsidRDefault="008601A3" w:rsidP="00D3231E">
      <w:pPr>
        <w:spacing w:before="0"/>
      </w:pPr>
      <w:r>
        <w:separator/>
      </w:r>
    </w:p>
  </w:footnote>
  <w:footnote w:type="continuationSeparator" w:id="0">
    <w:p w:rsidR="008601A3" w:rsidRDefault="008601A3" w:rsidP="00D3231E">
      <w:pPr>
        <w:spacing w:before="0"/>
      </w:pPr>
      <w:r>
        <w:continuationSeparator/>
      </w:r>
    </w:p>
  </w:footnote>
  <w:footnote w:id="1">
    <w:p w:rsidR="00B72F16" w:rsidRDefault="00B72F16" w:rsidP="00B65CFE">
      <w:pPr>
        <w:jc w:val="left"/>
        <w:rPr>
          <w:i/>
          <w:sz w:val="22"/>
          <w:szCs w:val="22"/>
        </w:rPr>
      </w:pPr>
      <w:r>
        <w:rPr>
          <w:i/>
          <w:sz w:val="22"/>
          <w:szCs w:val="22"/>
        </w:rPr>
        <w:t>Primljeno: 01</w:t>
      </w:r>
      <w:r w:rsidRPr="003D0620">
        <w:rPr>
          <w:i/>
          <w:sz w:val="22"/>
          <w:szCs w:val="22"/>
        </w:rPr>
        <w:t>.</w:t>
      </w:r>
      <w:r>
        <w:rPr>
          <w:i/>
          <w:sz w:val="22"/>
          <w:szCs w:val="22"/>
        </w:rPr>
        <w:t>06.2016; Prihvaćeno:18</w:t>
      </w:r>
      <w:r w:rsidRPr="003D0620">
        <w:rPr>
          <w:i/>
          <w:sz w:val="22"/>
          <w:szCs w:val="22"/>
        </w:rPr>
        <w:t>.0</w:t>
      </w:r>
      <w:r>
        <w:rPr>
          <w:i/>
          <w:sz w:val="22"/>
          <w:szCs w:val="22"/>
        </w:rPr>
        <w:t>7</w:t>
      </w:r>
      <w:r w:rsidRPr="003D0620">
        <w:rPr>
          <w:i/>
          <w:sz w:val="22"/>
          <w:szCs w:val="22"/>
        </w:rPr>
        <w:t xml:space="preserve">.2016                                                                                </w:t>
      </w:r>
      <w:r>
        <w:rPr>
          <w:i/>
          <w:sz w:val="22"/>
          <w:szCs w:val="22"/>
        </w:rPr>
        <w:t>Submitted: 01</w:t>
      </w:r>
      <w:r w:rsidRPr="003D0620">
        <w:rPr>
          <w:i/>
          <w:sz w:val="22"/>
          <w:szCs w:val="22"/>
        </w:rPr>
        <w:t>-</w:t>
      </w:r>
      <w:r>
        <w:rPr>
          <w:i/>
          <w:sz w:val="22"/>
          <w:szCs w:val="22"/>
        </w:rPr>
        <w:t>06-2016; Accepted: 18</w:t>
      </w:r>
      <w:r w:rsidRPr="003D0620">
        <w:rPr>
          <w:i/>
          <w:sz w:val="22"/>
          <w:szCs w:val="22"/>
        </w:rPr>
        <w:t>-0</w:t>
      </w:r>
      <w:r>
        <w:rPr>
          <w:i/>
          <w:sz w:val="22"/>
          <w:szCs w:val="22"/>
        </w:rPr>
        <w:t>7</w:t>
      </w:r>
      <w:r w:rsidRPr="003D0620">
        <w:rPr>
          <w:i/>
          <w:sz w:val="22"/>
          <w:szCs w:val="22"/>
        </w:rPr>
        <w:t>-2016</w:t>
      </w:r>
    </w:p>
    <w:p w:rsidR="00B72F16" w:rsidRPr="003D0620" w:rsidRDefault="00B72F16" w:rsidP="003D0620">
      <w:pPr>
        <w:pStyle w:val="NoSpacing"/>
        <w:rPr>
          <w:rStyle w:val="FootnoteReference"/>
          <w:i/>
          <w:sz w:val="22"/>
          <w:szCs w:val="22"/>
          <w:vertAlign w:val="baseline"/>
        </w:rPr>
      </w:pPr>
    </w:p>
    <w:p w:rsidR="00B72F16" w:rsidRDefault="00B72F16" w:rsidP="008B76C0">
      <w:pPr>
        <w:pStyle w:val="NoSpacing"/>
        <w:rPr>
          <w:rFonts w:cs="Times New Roman"/>
          <w:sz w:val="22"/>
          <w:szCs w:val="22"/>
        </w:rPr>
      </w:pPr>
      <w:r w:rsidRPr="003D0620">
        <w:rPr>
          <w:rStyle w:val="FootnoteReference"/>
          <w:b/>
          <w:sz w:val="22"/>
          <w:szCs w:val="22"/>
        </w:rPr>
        <w:t>*</w:t>
      </w:r>
      <w:r w:rsidRPr="003D0620">
        <w:rPr>
          <w:b/>
          <w:sz w:val="22"/>
          <w:szCs w:val="22"/>
        </w:rPr>
        <w:t xml:space="preserve"> </w:t>
      </w:r>
      <w:r w:rsidRPr="008B76C0">
        <w:rPr>
          <w:rFonts w:cs="Times New Roman"/>
          <w:b/>
          <w:sz w:val="22"/>
          <w:szCs w:val="22"/>
        </w:rPr>
        <w:t>Dr.</w:t>
      </w:r>
      <w:r>
        <w:rPr>
          <w:rFonts w:cs="Times New Roman"/>
          <w:b/>
          <w:sz w:val="22"/>
          <w:szCs w:val="22"/>
        </w:rPr>
        <w:t xml:space="preserve"> </w:t>
      </w:r>
      <w:r w:rsidRPr="008B76C0">
        <w:rPr>
          <w:rFonts w:cs="Times New Roman"/>
          <w:b/>
          <w:sz w:val="22"/>
          <w:szCs w:val="22"/>
        </w:rPr>
        <w:t>sc. Fahrudin Fehrić</w:t>
      </w:r>
      <w:r w:rsidRPr="008B76C0">
        <w:rPr>
          <w:rFonts w:cs="Times New Roman"/>
          <w:sz w:val="22"/>
          <w:szCs w:val="22"/>
        </w:rPr>
        <w:t>,</w:t>
      </w:r>
      <w:r>
        <w:rPr>
          <w:rFonts w:cs="Times New Roman"/>
          <w:sz w:val="22"/>
          <w:szCs w:val="22"/>
        </w:rPr>
        <w:t xml:space="preserve"> </w:t>
      </w:r>
      <w:r w:rsidRPr="008B76C0">
        <w:rPr>
          <w:rFonts w:cs="Times New Roman"/>
          <w:sz w:val="22"/>
          <w:szCs w:val="22"/>
        </w:rPr>
        <w:t xml:space="preserve">vanredni </w:t>
      </w:r>
      <w:r>
        <w:rPr>
          <w:rFonts w:cs="Times New Roman"/>
          <w:sz w:val="22"/>
          <w:szCs w:val="22"/>
        </w:rPr>
        <w:t xml:space="preserve">profesor, Fakultet poslovne ekonomije, Sveučilište “Vitez” u </w:t>
      </w:r>
    </w:p>
    <w:p w:rsidR="00B72F16" w:rsidRDefault="00B72F16" w:rsidP="008B76C0">
      <w:pPr>
        <w:pStyle w:val="NoSpacing"/>
        <w:rPr>
          <w:rStyle w:val="Hyperlink"/>
          <w:sz w:val="22"/>
          <w:szCs w:val="22"/>
        </w:rPr>
      </w:pPr>
      <w:r>
        <w:rPr>
          <w:rFonts w:cs="Times New Roman"/>
          <w:sz w:val="22"/>
          <w:szCs w:val="22"/>
        </w:rPr>
        <w:t xml:space="preserve">  Vitezu, Bosna i Hercegovina; e-mail: </w:t>
      </w:r>
      <w:hyperlink r:id="rId1" w:history="1">
        <w:r w:rsidRPr="008B76C0">
          <w:rPr>
            <w:rStyle w:val="Hyperlink"/>
            <w:sz w:val="22"/>
            <w:szCs w:val="22"/>
          </w:rPr>
          <w:t>fahrudin.fehric@unvi.edu.ba</w:t>
        </w:r>
      </w:hyperlink>
      <w:r w:rsidRPr="008B76C0">
        <w:rPr>
          <w:rStyle w:val="Hyperlink"/>
          <w:sz w:val="22"/>
          <w:szCs w:val="22"/>
        </w:rPr>
        <w:t>,</w:t>
      </w:r>
    </w:p>
    <w:p w:rsidR="00B72F16" w:rsidRDefault="00B72F16" w:rsidP="008B76C0">
      <w:pPr>
        <w:pStyle w:val="NoSpacing"/>
        <w:rPr>
          <w:rStyle w:val="Hyperlink"/>
          <w:color w:val="auto"/>
          <w:sz w:val="22"/>
          <w:szCs w:val="22"/>
          <w:u w:val="none"/>
        </w:rPr>
      </w:pPr>
      <w:r w:rsidRPr="008B76C0">
        <w:rPr>
          <w:rStyle w:val="Hyperlink"/>
          <w:sz w:val="22"/>
          <w:szCs w:val="22"/>
          <w:u w:val="none"/>
          <w:lang w:val="en-US"/>
        </w:rPr>
        <w:t xml:space="preserve">  </w:t>
      </w:r>
      <w:r w:rsidRPr="003E7768">
        <w:rPr>
          <w:rStyle w:val="Hyperlink"/>
          <w:b/>
          <w:color w:val="auto"/>
          <w:sz w:val="22"/>
          <w:szCs w:val="22"/>
          <w:u w:val="none"/>
        </w:rPr>
        <w:t>Sanja Zekić</w:t>
      </w:r>
      <w:r w:rsidRPr="003E7768">
        <w:rPr>
          <w:rStyle w:val="Hyperlink"/>
          <w:sz w:val="22"/>
          <w:szCs w:val="22"/>
          <w:u w:val="none"/>
        </w:rPr>
        <w:t xml:space="preserve">, </w:t>
      </w:r>
      <w:r w:rsidRPr="003E7768">
        <w:rPr>
          <w:rStyle w:val="Hyperlink"/>
          <w:color w:val="auto"/>
          <w:sz w:val="22"/>
          <w:szCs w:val="22"/>
          <w:u w:val="none"/>
        </w:rPr>
        <w:t xml:space="preserve">doktorant </w:t>
      </w:r>
      <w:r>
        <w:rPr>
          <w:rStyle w:val="Hyperlink"/>
          <w:color w:val="auto"/>
          <w:sz w:val="22"/>
          <w:szCs w:val="22"/>
          <w:u w:val="none"/>
        </w:rPr>
        <w:t>Fakulteta poslovne ekonomije Sv</w:t>
      </w:r>
      <w:r w:rsidR="009808EF">
        <w:rPr>
          <w:rStyle w:val="Hyperlink"/>
          <w:color w:val="auto"/>
          <w:sz w:val="22"/>
          <w:szCs w:val="22"/>
          <w:u w:val="none"/>
        </w:rPr>
        <w:t>e</w:t>
      </w:r>
      <w:bookmarkStart w:id="0" w:name="_GoBack"/>
      <w:bookmarkEnd w:id="0"/>
      <w:r w:rsidRPr="003E7768">
        <w:rPr>
          <w:rStyle w:val="Hyperlink"/>
          <w:color w:val="auto"/>
          <w:sz w:val="22"/>
          <w:szCs w:val="22"/>
          <w:u w:val="none"/>
        </w:rPr>
        <w:t>učilišta „Vitez“ u Vizetu,</w:t>
      </w:r>
      <w:r w:rsidRPr="003E7768">
        <w:rPr>
          <w:rStyle w:val="Hyperlink"/>
          <w:sz w:val="22"/>
          <w:szCs w:val="22"/>
          <w:u w:val="none"/>
        </w:rPr>
        <w:t xml:space="preserve"> </w:t>
      </w:r>
      <w:r w:rsidRPr="003E7768">
        <w:rPr>
          <w:rStyle w:val="Hyperlink"/>
          <w:color w:val="auto"/>
          <w:sz w:val="22"/>
          <w:szCs w:val="22"/>
          <w:u w:val="none"/>
        </w:rPr>
        <w:t xml:space="preserve">viši </w:t>
      </w:r>
    </w:p>
    <w:p w:rsidR="00B72F16" w:rsidRPr="003E7768" w:rsidRDefault="00B72F16" w:rsidP="008B76C0">
      <w:pPr>
        <w:pStyle w:val="NoSpacing"/>
        <w:rPr>
          <w:rStyle w:val="Hyperlink"/>
          <w:color w:val="auto"/>
          <w:sz w:val="22"/>
          <w:szCs w:val="22"/>
          <w:u w:val="none"/>
          <w:lang w:val="de-AT"/>
        </w:rPr>
      </w:pPr>
      <w:r w:rsidRPr="009808EF">
        <w:rPr>
          <w:rStyle w:val="Hyperlink"/>
          <w:color w:val="auto"/>
          <w:sz w:val="22"/>
          <w:szCs w:val="22"/>
          <w:u w:val="none"/>
          <w:lang w:val="en-US"/>
        </w:rPr>
        <w:t xml:space="preserve">  </w:t>
      </w:r>
      <w:r w:rsidRPr="003E7768">
        <w:rPr>
          <w:rStyle w:val="Hyperlink"/>
          <w:color w:val="auto"/>
          <w:sz w:val="22"/>
          <w:szCs w:val="22"/>
          <w:u w:val="none"/>
          <w:lang w:val="de-AT"/>
        </w:rPr>
        <w:t xml:space="preserve">asistent; e-mail: sanjaz13@gmail.com, </w:t>
      </w:r>
    </w:p>
    <w:p w:rsidR="00B72F16" w:rsidRDefault="00B72F16" w:rsidP="008B76C0">
      <w:pPr>
        <w:pStyle w:val="NoSpacing"/>
        <w:rPr>
          <w:rStyle w:val="Hyperlink"/>
          <w:color w:val="auto"/>
          <w:sz w:val="22"/>
          <w:szCs w:val="22"/>
          <w:u w:val="none"/>
          <w:lang w:val="de-AT"/>
        </w:rPr>
      </w:pPr>
      <w:r w:rsidRPr="003E7768">
        <w:rPr>
          <w:rStyle w:val="Hyperlink"/>
          <w:b/>
          <w:sz w:val="22"/>
          <w:szCs w:val="22"/>
          <w:u w:val="none"/>
          <w:lang w:val="de-AT"/>
        </w:rPr>
        <w:t xml:space="preserve">  </w:t>
      </w:r>
      <w:r w:rsidRPr="008B76C0">
        <w:rPr>
          <w:rStyle w:val="Hyperlink"/>
          <w:b/>
          <w:color w:val="auto"/>
          <w:sz w:val="22"/>
          <w:szCs w:val="22"/>
          <w:u w:val="none"/>
          <w:lang w:val="de-AT"/>
        </w:rPr>
        <w:t>Dr.</w:t>
      </w:r>
      <w:r>
        <w:rPr>
          <w:rStyle w:val="Hyperlink"/>
          <w:b/>
          <w:color w:val="auto"/>
          <w:sz w:val="22"/>
          <w:szCs w:val="22"/>
          <w:u w:val="none"/>
          <w:lang w:val="de-AT"/>
        </w:rPr>
        <w:t xml:space="preserve"> </w:t>
      </w:r>
      <w:r w:rsidRPr="008B76C0">
        <w:rPr>
          <w:rStyle w:val="Hyperlink"/>
          <w:b/>
          <w:color w:val="auto"/>
          <w:sz w:val="22"/>
          <w:szCs w:val="22"/>
          <w:u w:val="none"/>
          <w:lang w:val="de-AT"/>
        </w:rPr>
        <w:t>sc.</w:t>
      </w:r>
      <w:r>
        <w:rPr>
          <w:rStyle w:val="Hyperlink"/>
          <w:b/>
          <w:color w:val="auto"/>
          <w:sz w:val="22"/>
          <w:szCs w:val="22"/>
          <w:u w:val="none"/>
          <w:lang w:val="de-AT"/>
        </w:rPr>
        <w:t xml:space="preserve"> </w:t>
      </w:r>
      <w:r w:rsidRPr="008B76C0">
        <w:rPr>
          <w:rStyle w:val="Hyperlink"/>
          <w:b/>
          <w:color w:val="auto"/>
          <w:sz w:val="22"/>
          <w:szCs w:val="22"/>
          <w:u w:val="none"/>
          <w:lang w:val="de-AT"/>
        </w:rPr>
        <w:t>Kemo Čamdžija</w:t>
      </w:r>
      <w:r w:rsidRPr="008B76C0">
        <w:rPr>
          <w:rStyle w:val="Hyperlink"/>
          <w:color w:val="auto"/>
          <w:sz w:val="22"/>
          <w:szCs w:val="22"/>
          <w:u w:val="none"/>
          <w:lang w:val="de-AT"/>
        </w:rPr>
        <w:t xml:space="preserve">, </w:t>
      </w:r>
      <w:r>
        <w:rPr>
          <w:rFonts w:cs="Times New Roman"/>
          <w:sz w:val="22"/>
          <w:szCs w:val="22"/>
          <w:shd w:val="clear" w:color="auto" w:fill="FFFFFF"/>
          <w:lang w:val="de-AT"/>
        </w:rPr>
        <w:t>p</w:t>
      </w:r>
      <w:r w:rsidRPr="003E7768">
        <w:rPr>
          <w:rFonts w:cs="Times New Roman"/>
          <w:sz w:val="22"/>
          <w:szCs w:val="22"/>
          <w:shd w:val="clear" w:color="auto" w:fill="FFFFFF"/>
          <w:lang w:val="de-AT"/>
        </w:rPr>
        <w:t>otpredsjedavajući Vijeća naroda Republike Srpske</w:t>
      </w:r>
      <w:r>
        <w:rPr>
          <w:rFonts w:cs="Times New Roman"/>
          <w:sz w:val="22"/>
          <w:szCs w:val="22"/>
          <w:shd w:val="clear" w:color="auto" w:fill="FFFFFF"/>
          <w:lang w:val="de-AT"/>
        </w:rPr>
        <w:t>;</w:t>
      </w:r>
      <w:r w:rsidRPr="003E7768">
        <w:rPr>
          <w:rStyle w:val="apple-converted-space"/>
          <w:rFonts w:ascii="Arial" w:hAnsi="Arial" w:cs="Arial"/>
          <w:shd w:val="clear" w:color="auto" w:fill="FFFFFF"/>
          <w:lang w:val="de-AT"/>
        </w:rPr>
        <w:t> </w:t>
      </w:r>
      <w:r>
        <w:rPr>
          <w:rStyle w:val="Hyperlink"/>
          <w:color w:val="auto"/>
          <w:sz w:val="22"/>
          <w:szCs w:val="22"/>
          <w:u w:val="none"/>
          <w:lang w:val="de-AT"/>
        </w:rPr>
        <w:t xml:space="preserve">e-mail: </w:t>
      </w:r>
      <w:r w:rsidRPr="008B76C0">
        <w:rPr>
          <w:rStyle w:val="Hyperlink"/>
          <w:color w:val="auto"/>
          <w:sz w:val="22"/>
          <w:szCs w:val="22"/>
          <w:u w:val="none"/>
          <w:lang w:val="de-AT"/>
        </w:rPr>
        <w:t>kemo</w:t>
      </w:r>
      <w:r>
        <w:rPr>
          <w:rStyle w:val="Hyperlink"/>
          <w:color w:val="auto"/>
          <w:sz w:val="22"/>
          <w:szCs w:val="22"/>
          <w:u w:val="none"/>
          <w:lang w:val="de-AT"/>
        </w:rPr>
        <w:t xml:space="preserve">. </w:t>
      </w:r>
    </w:p>
    <w:p w:rsidR="00B72F16" w:rsidRPr="008B76C0" w:rsidRDefault="00B72F16" w:rsidP="008B76C0">
      <w:pPr>
        <w:pStyle w:val="NoSpacing"/>
        <w:rPr>
          <w:rFonts w:cs="Times New Roman"/>
          <w:lang w:val="de-AT"/>
        </w:rPr>
      </w:pPr>
      <w:r>
        <w:rPr>
          <w:rStyle w:val="Hyperlink"/>
          <w:color w:val="auto"/>
          <w:sz w:val="22"/>
          <w:szCs w:val="22"/>
          <w:u w:val="none"/>
          <w:lang w:val="de-AT"/>
        </w:rPr>
        <w:t xml:space="preserve">  </w:t>
      </w:r>
      <w:r w:rsidRPr="008B76C0">
        <w:rPr>
          <w:rStyle w:val="Hyperlink"/>
          <w:color w:val="auto"/>
          <w:sz w:val="22"/>
          <w:szCs w:val="22"/>
          <w:u w:val="none"/>
          <w:lang w:val="de-AT"/>
        </w:rPr>
        <w:t>camdzija@live.com</w:t>
      </w:r>
    </w:p>
    <w:p w:rsidR="00B72F16" w:rsidRPr="008B76C0" w:rsidRDefault="00B72F16" w:rsidP="0059733A">
      <w:pPr>
        <w:pStyle w:val="FootnoteText"/>
        <w:rPr>
          <w:sz w:val="22"/>
          <w:lang w:val="de-AT"/>
        </w:rPr>
      </w:pPr>
      <w:r w:rsidRPr="008B76C0">
        <w:rPr>
          <w:sz w:val="22"/>
          <w:szCs w:val="22"/>
          <w:lang w:val="de-AT"/>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F16" w:rsidRDefault="00980495" w:rsidP="008B2625">
    <w:pPr>
      <w:pStyle w:val="Header"/>
      <w:framePr w:wrap="around" w:vAnchor="text" w:hAnchor="margin" w:xAlign="right" w:y="1"/>
      <w:rPr>
        <w:rStyle w:val="PageNumber"/>
      </w:rPr>
    </w:pPr>
    <w:r>
      <w:rPr>
        <w:rStyle w:val="PageNumber"/>
      </w:rPr>
      <w:fldChar w:fldCharType="begin"/>
    </w:r>
    <w:r w:rsidR="00B72F16">
      <w:rPr>
        <w:rStyle w:val="PageNumber"/>
      </w:rPr>
      <w:instrText xml:space="preserve">PAGE  </w:instrText>
    </w:r>
    <w:r>
      <w:rPr>
        <w:rStyle w:val="PageNumber"/>
      </w:rPr>
      <w:fldChar w:fldCharType="end"/>
    </w:r>
  </w:p>
  <w:p w:rsidR="00B72F16" w:rsidRDefault="00980495" w:rsidP="008B2625">
    <w:pPr>
      <w:pStyle w:val="Header"/>
      <w:ind w:right="360"/>
    </w:pPr>
    <w:sdt>
      <w:sdtPr>
        <w:id w:val="171999623"/>
        <w:placeholder>
          <w:docPart w:val="BAD3C40464CB2141A05EEE4DC531C2ED"/>
        </w:placeholder>
        <w:temporary/>
        <w:showingPlcHdr/>
      </w:sdtPr>
      <w:sdtContent>
        <w:r w:rsidR="00B72F16">
          <w:rPr>
            <w:rFonts w:eastAsia="Times New Roman" w:cs="Times New Roman"/>
            <w:bdr w:val="nil"/>
            <w:lang w:val="sr-Cyrl-CS" w:bidi="sr-Cyrl-CS"/>
          </w:rPr>
          <w:t>[Tip teksta]</w:t>
        </w:r>
      </w:sdtContent>
    </w:sdt>
    <w:r w:rsidR="00B72F16">
      <w:ptab w:relativeTo="margin" w:alignment="center" w:leader="none"/>
    </w:r>
    <w:sdt>
      <w:sdtPr>
        <w:id w:val="171999624"/>
        <w:placeholder>
          <w:docPart w:val="DDE37C1641BA474E886F1BA6E34493CE"/>
        </w:placeholder>
        <w:temporary/>
        <w:showingPlcHdr/>
      </w:sdtPr>
      <w:sdtContent>
        <w:r w:rsidR="00B72F16">
          <w:rPr>
            <w:rFonts w:eastAsia="Times New Roman" w:cs="Times New Roman"/>
            <w:bdr w:val="nil"/>
            <w:lang w:val="sr-Cyrl-CS" w:bidi="sr-Cyrl-CS"/>
          </w:rPr>
          <w:t>[Tip teksta]</w:t>
        </w:r>
      </w:sdtContent>
    </w:sdt>
    <w:r w:rsidR="00B72F16">
      <w:ptab w:relativeTo="margin" w:alignment="right" w:leader="none"/>
    </w:r>
    <w:sdt>
      <w:sdtPr>
        <w:id w:val="171999625"/>
        <w:placeholder>
          <w:docPart w:val="8D23884B1239A54AB632856C9FC6DCB0"/>
        </w:placeholder>
        <w:temporary/>
        <w:showingPlcHdr/>
      </w:sdtPr>
      <w:sdtContent>
        <w:r w:rsidR="00B72F16">
          <w:rPr>
            <w:rFonts w:eastAsia="Times New Roman" w:cs="Times New Roman"/>
            <w:bdr w:val="nil"/>
            <w:lang w:val="sr-Cyrl-CS" w:bidi="sr-Cyrl-CS"/>
          </w:rPr>
          <w:t>[Tip teksta]</w:t>
        </w:r>
      </w:sdtContent>
    </w:sdt>
  </w:p>
  <w:p w:rsidR="00B72F16" w:rsidRDefault="00B72F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F16" w:rsidRDefault="00980495" w:rsidP="008B2625">
    <w:pPr>
      <w:pStyle w:val="Header"/>
      <w:framePr w:wrap="around" w:vAnchor="text" w:hAnchor="margin" w:xAlign="right" w:y="1"/>
      <w:rPr>
        <w:rStyle w:val="PageNumber"/>
      </w:rPr>
    </w:pPr>
    <w:r>
      <w:rPr>
        <w:rStyle w:val="PageNumber"/>
      </w:rPr>
      <w:fldChar w:fldCharType="begin"/>
    </w:r>
    <w:r w:rsidR="00B72F16">
      <w:rPr>
        <w:rStyle w:val="PageNumber"/>
      </w:rPr>
      <w:instrText xml:space="preserve">PAGE  </w:instrText>
    </w:r>
    <w:r>
      <w:rPr>
        <w:rStyle w:val="PageNumber"/>
      </w:rPr>
      <w:fldChar w:fldCharType="separate"/>
    </w:r>
    <w:r w:rsidR="002A7818">
      <w:rPr>
        <w:rStyle w:val="PageNumber"/>
        <w:noProof/>
      </w:rPr>
      <w:t>16</w:t>
    </w:r>
    <w:r>
      <w:rPr>
        <w:rStyle w:val="PageNumber"/>
      </w:rPr>
      <w:fldChar w:fldCharType="end"/>
    </w:r>
  </w:p>
  <w:p w:rsidR="00B72F16" w:rsidRPr="000D6F11" w:rsidRDefault="00B72F16" w:rsidP="000D6F11">
    <w:pPr>
      <w:rPr>
        <w:rFonts w:cs="Times New Roman"/>
        <w:i/>
        <w:sz w:val="18"/>
        <w:szCs w:val="18"/>
        <w:lang w:val="hr-HR"/>
      </w:rPr>
    </w:pPr>
    <w:r>
      <w:rPr>
        <w:rFonts w:eastAsia="Times New Roman" w:cs="Times New Roman"/>
        <w:sz w:val="18"/>
        <w:szCs w:val="18"/>
        <w:bdr w:val="nil"/>
        <w:lang w:val="hr-HR" w:bidi="sr-Cyrl-CS"/>
      </w:rPr>
      <w:t xml:space="preserve">Fahrudin Fehrić, Sanaj Zekić, Kemo Ćamdžija: THE INFLUENCE </w:t>
    </w:r>
    <w:r w:rsidRPr="000D6F11">
      <w:rPr>
        <w:rFonts w:cs="Times New Roman"/>
        <w:sz w:val="18"/>
        <w:szCs w:val="18"/>
      </w:rPr>
      <w:t>OF ENTREPRENEURIAL STRATEGIES ON CREATING EXPORT CAPACITY OF BH PRODUCTION ENTERPRISES</w:t>
    </w:r>
    <w:r>
      <w:rPr>
        <w:rFonts w:cs="Times New Roman"/>
        <w:sz w:val="18"/>
        <w:szCs w:val="18"/>
      </w:rPr>
      <w:t>,</w:t>
    </w:r>
  </w:p>
  <w:p w:rsidR="00B72F16" w:rsidRDefault="00B72F16" w:rsidP="00CC0B6B">
    <w:pPr>
      <w:pStyle w:val="Header"/>
      <w:ind w:right="360"/>
      <w:rPr>
        <w:rFonts w:eastAsia="Times New Roman" w:cs="Times New Roman"/>
        <w:sz w:val="16"/>
        <w:szCs w:val="16"/>
        <w:bdr w:val="nil"/>
        <w:lang w:val="hr-HR" w:bidi="sr-Cyrl-CS"/>
      </w:rPr>
    </w:pPr>
    <w:r>
      <w:rPr>
        <w:rFonts w:eastAsia="Times New Roman" w:cs="Times New Roman"/>
        <w:sz w:val="16"/>
        <w:szCs w:val="16"/>
        <w:bdr w:val="nil"/>
        <w:lang w:val="hr-HR" w:bidi="sr-Cyrl-CS"/>
      </w:rPr>
      <w:t>„</w:t>
    </w:r>
    <w:r w:rsidRPr="00CC0B6B">
      <w:rPr>
        <w:rFonts w:eastAsia="Times New Roman" w:cs="Times New Roman"/>
        <w:sz w:val="16"/>
        <w:szCs w:val="16"/>
        <w:bdr w:val="nil"/>
        <w:lang w:val="hr-HR" w:bidi="sr-Cyrl-CS"/>
      </w:rPr>
      <w:t>TRANSITION/TRANZICIJA</w:t>
    </w:r>
    <w:r>
      <w:rPr>
        <w:rFonts w:eastAsia="Times New Roman" w:cs="Times New Roman"/>
        <w:sz w:val="16"/>
        <w:szCs w:val="16"/>
        <w:bdr w:val="nil"/>
        <w:lang w:val="hr-HR" w:bidi="sr-Cyrl-CS"/>
      </w:rPr>
      <w:t>“</w:t>
    </w:r>
    <w:r w:rsidRPr="00CC0B6B">
      <w:rPr>
        <w:rFonts w:eastAsia="Times New Roman" w:cs="Times New Roman"/>
        <w:sz w:val="16"/>
        <w:szCs w:val="16"/>
        <w:bdr w:val="nil"/>
        <w:lang w:val="hr-HR" w:bidi="sr-Cyrl-CS"/>
      </w:rPr>
      <w:t>,  201</w:t>
    </w:r>
    <w:r>
      <w:rPr>
        <w:rFonts w:eastAsia="Times New Roman" w:cs="Times New Roman"/>
        <w:sz w:val="16"/>
        <w:szCs w:val="16"/>
        <w:bdr w:val="nil"/>
        <w:lang w:val="hr-HR" w:bidi="sr-Cyrl-CS"/>
      </w:rPr>
      <w:t>6</w:t>
    </w:r>
    <w:r w:rsidRPr="00CC0B6B">
      <w:rPr>
        <w:rFonts w:eastAsia="Times New Roman" w:cs="Times New Roman"/>
        <w:sz w:val="16"/>
        <w:szCs w:val="16"/>
        <w:bdr w:val="nil"/>
        <w:lang w:val="hr-HR" w:bidi="sr-Cyrl-CS"/>
      </w:rPr>
      <w:t>, Vol. XVI</w:t>
    </w:r>
    <w:r>
      <w:rPr>
        <w:rFonts w:eastAsia="Times New Roman" w:cs="Times New Roman"/>
        <w:sz w:val="16"/>
        <w:szCs w:val="16"/>
        <w:bdr w:val="nil"/>
        <w:lang w:val="hr-HR" w:bidi="sr-Cyrl-CS"/>
      </w:rPr>
      <w:t>I</w:t>
    </w:r>
    <w:r w:rsidRPr="00CC0B6B">
      <w:rPr>
        <w:rFonts w:eastAsia="Times New Roman" w:cs="Times New Roman"/>
        <w:sz w:val="16"/>
        <w:szCs w:val="16"/>
        <w:bdr w:val="nil"/>
        <w:lang w:val="hr-HR" w:bidi="sr-Cyrl-CS"/>
      </w:rPr>
      <w:t>I, No. 3</w:t>
    </w:r>
    <w:r>
      <w:rPr>
        <w:rFonts w:eastAsia="Times New Roman" w:cs="Times New Roman"/>
        <w:sz w:val="16"/>
        <w:szCs w:val="16"/>
        <w:bdr w:val="nil"/>
        <w:lang w:val="hr-HR" w:bidi="sr-Cyrl-CS"/>
      </w:rPr>
      <w:t>7</w:t>
    </w:r>
  </w:p>
  <w:p w:rsidR="00B72F16" w:rsidRDefault="00B72F16" w:rsidP="00CC0B6B">
    <w:pPr>
      <w:pStyle w:val="Header"/>
      <w:ind w:right="360"/>
    </w:pPr>
    <w:r>
      <w:rPr>
        <w:rFonts w:eastAsia="Times New Roman" w:cs="Times New Roman"/>
        <w:sz w:val="16"/>
        <w:szCs w:val="16"/>
        <w:bdr w:val="nil"/>
        <w:lang w:val="hr-HR" w:bidi="sr-Cyrl-CS"/>
      </w:rPr>
      <w:t>______________________________________________________________________________________________________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3EE"/>
    <w:multiLevelType w:val="hybridMultilevel"/>
    <w:tmpl w:val="E5489E00"/>
    <w:lvl w:ilvl="0" w:tplc="77B24960">
      <w:start w:val="1"/>
      <w:numFmt w:val="decimal"/>
      <w:pStyle w:val="Heading2"/>
      <w:lvlText w:val="%1."/>
      <w:lvlJc w:val="left"/>
      <w:pPr>
        <w:ind w:left="720" w:hanging="360"/>
      </w:pPr>
    </w:lvl>
    <w:lvl w:ilvl="1" w:tplc="40CA0446" w:tentative="1">
      <w:start w:val="1"/>
      <w:numFmt w:val="lowerLetter"/>
      <w:lvlText w:val="%2."/>
      <w:lvlJc w:val="left"/>
      <w:pPr>
        <w:ind w:left="1440" w:hanging="360"/>
      </w:pPr>
    </w:lvl>
    <w:lvl w:ilvl="2" w:tplc="5C7C6CB6" w:tentative="1">
      <w:start w:val="1"/>
      <w:numFmt w:val="lowerRoman"/>
      <w:lvlText w:val="%3."/>
      <w:lvlJc w:val="right"/>
      <w:pPr>
        <w:ind w:left="2160" w:hanging="180"/>
      </w:pPr>
    </w:lvl>
    <w:lvl w:ilvl="3" w:tplc="0D8042D6" w:tentative="1">
      <w:start w:val="1"/>
      <w:numFmt w:val="decimal"/>
      <w:lvlText w:val="%4."/>
      <w:lvlJc w:val="left"/>
      <w:pPr>
        <w:ind w:left="2880" w:hanging="360"/>
      </w:pPr>
    </w:lvl>
    <w:lvl w:ilvl="4" w:tplc="766A5D24" w:tentative="1">
      <w:start w:val="1"/>
      <w:numFmt w:val="lowerLetter"/>
      <w:lvlText w:val="%5."/>
      <w:lvlJc w:val="left"/>
      <w:pPr>
        <w:ind w:left="3600" w:hanging="360"/>
      </w:pPr>
    </w:lvl>
    <w:lvl w:ilvl="5" w:tplc="9A8EC9FC" w:tentative="1">
      <w:start w:val="1"/>
      <w:numFmt w:val="lowerRoman"/>
      <w:lvlText w:val="%6."/>
      <w:lvlJc w:val="right"/>
      <w:pPr>
        <w:ind w:left="4320" w:hanging="180"/>
      </w:pPr>
    </w:lvl>
    <w:lvl w:ilvl="6" w:tplc="4D9858BE" w:tentative="1">
      <w:start w:val="1"/>
      <w:numFmt w:val="decimal"/>
      <w:lvlText w:val="%7."/>
      <w:lvlJc w:val="left"/>
      <w:pPr>
        <w:ind w:left="5040" w:hanging="360"/>
      </w:pPr>
    </w:lvl>
    <w:lvl w:ilvl="7" w:tplc="0E02BC12" w:tentative="1">
      <w:start w:val="1"/>
      <w:numFmt w:val="lowerLetter"/>
      <w:lvlText w:val="%8."/>
      <w:lvlJc w:val="left"/>
      <w:pPr>
        <w:ind w:left="5760" w:hanging="360"/>
      </w:pPr>
    </w:lvl>
    <w:lvl w:ilvl="8" w:tplc="862A6DCE" w:tentative="1">
      <w:start w:val="1"/>
      <w:numFmt w:val="lowerRoman"/>
      <w:lvlText w:val="%9."/>
      <w:lvlJc w:val="right"/>
      <w:pPr>
        <w:ind w:left="6480" w:hanging="180"/>
      </w:pPr>
    </w:lvl>
  </w:abstractNum>
  <w:abstractNum w:abstractNumId="1">
    <w:nsid w:val="15D36BFC"/>
    <w:multiLevelType w:val="hybridMultilevel"/>
    <w:tmpl w:val="6F826CC6"/>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nsid w:val="18052934"/>
    <w:multiLevelType w:val="hybridMultilevel"/>
    <w:tmpl w:val="5C2EBFF8"/>
    <w:lvl w:ilvl="0" w:tplc="141A000F">
      <w:start w:val="1"/>
      <w:numFmt w:val="decimal"/>
      <w:lvlText w:val="%1."/>
      <w:lvlJc w:val="left"/>
      <w:pPr>
        <w:ind w:left="720" w:hanging="360"/>
      </w:pPr>
      <w:rPr>
        <w:rFonts w:cs="Times New Roman" w:hint="default"/>
      </w:rPr>
    </w:lvl>
    <w:lvl w:ilvl="1" w:tplc="141A0019">
      <w:start w:val="1"/>
      <w:numFmt w:val="lowerLetter"/>
      <w:lvlText w:val="%2."/>
      <w:lvlJc w:val="left"/>
      <w:pPr>
        <w:ind w:left="1440" w:hanging="360"/>
      </w:pPr>
      <w:rPr>
        <w:rFonts w:cs="Times New Roman"/>
      </w:rPr>
    </w:lvl>
    <w:lvl w:ilvl="2" w:tplc="141A001B">
      <w:start w:val="1"/>
      <w:numFmt w:val="lowerRoman"/>
      <w:lvlText w:val="%3."/>
      <w:lvlJc w:val="right"/>
      <w:pPr>
        <w:ind w:left="2160" w:hanging="180"/>
      </w:pPr>
      <w:rPr>
        <w:rFonts w:cs="Times New Roman"/>
      </w:rPr>
    </w:lvl>
    <w:lvl w:ilvl="3" w:tplc="141A000F">
      <w:start w:val="1"/>
      <w:numFmt w:val="decimal"/>
      <w:lvlText w:val="%4."/>
      <w:lvlJc w:val="left"/>
      <w:pPr>
        <w:ind w:left="2880" w:hanging="360"/>
      </w:pPr>
      <w:rPr>
        <w:rFonts w:cs="Times New Roman"/>
      </w:rPr>
    </w:lvl>
    <w:lvl w:ilvl="4" w:tplc="141A0019">
      <w:start w:val="1"/>
      <w:numFmt w:val="lowerLetter"/>
      <w:lvlText w:val="%5."/>
      <w:lvlJc w:val="left"/>
      <w:pPr>
        <w:ind w:left="3600" w:hanging="360"/>
      </w:pPr>
      <w:rPr>
        <w:rFonts w:cs="Times New Roman"/>
      </w:rPr>
    </w:lvl>
    <w:lvl w:ilvl="5" w:tplc="141A001B">
      <w:start w:val="1"/>
      <w:numFmt w:val="lowerRoman"/>
      <w:lvlText w:val="%6."/>
      <w:lvlJc w:val="right"/>
      <w:pPr>
        <w:ind w:left="4320" w:hanging="180"/>
      </w:pPr>
      <w:rPr>
        <w:rFonts w:cs="Times New Roman"/>
      </w:rPr>
    </w:lvl>
    <w:lvl w:ilvl="6" w:tplc="141A000F">
      <w:start w:val="1"/>
      <w:numFmt w:val="decimal"/>
      <w:lvlText w:val="%7."/>
      <w:lvlJc w:val="left"/>
      <w:pPr>
        <w:ind w:left="5040" w:hanging="360"/>
      </w:pPr>
      <w:rPr>
        <w:rFonts w:cs="Times New Roman"/>
      </w:rPr>
    </w:lvl>
    <w:lvl w:ilvl="7" w:tplc="141A0019">
      <w:start w:val="1"/>
      <w:numFmt w:val="lowerLetter"/>
      <w:lvlText w:val="%8."/>
      <w:lvlJc w:val="left"/>
      <w:pPr>
        <w:ind w:left="5760" w:hanging="360"/>
      </w:pPr>
      <w:rPr>
        <w:rFonts w:cs="Times New Roman"/>
      </w:rPr>
    </w:lvl>
    <w:lvl w:ilvl="8" w:tplc="141A001B">
      <w:start w:val="1"/>
      <w:numFmt w:val="lowerRoman"/>
      <w:lvlText w:val="%9."/>
      <w:lvlJc w:val="right"/>
      <w:pPr>
        <w:ind w:left="6480" w:hanging="180"/>
      </w:pPr>
      <w:rPr>
        <w:rFonts w:cs="Times New Roman"/>
      </w:rPr>
    </w:lvl>
  </w:abstractNum>
  <w:abstractNum w:abstractNumId="3">
    <w:nsid w:val="1B3E549E"/>
    <w:multiLevelType w:val="hybridMultilevel"/>
    <w:tmpl w:val="10388368"/>
    <w:lvl w:ilvl="0" w:tplc="141A000F">
      <w:start w:val="1"/>
      <w:numFmt w:val="decimal"/>
      <w:lvlText w:val="%1."/>
      <w:lvlJc w:val="left"/>
      <w:pPr>
        <w:ind w:left="720" w:hanging="360"/>
      </w:pPr>
      <w:rPr>
        <w:rFonts w:cs="Times New Roman" w:hint="default"/>
      </w:rPr>
    </w:lvl>
    <w:lvl w:ilvl="1" w:tplc="141A0019">
      <w:start w:val="1"/>
      <w:numFmt w:val="lowerLetter"/>
      <w:lvlText w:val="%2."/>
      <w:lvlJc w:val="left"/>
      <w:pPr>
        <w:ind w:left="1440" w:hanging="360"/>
      </w:pPr>
      <w:rPr>
        <w:rFonts w:cs="Times New Roman"/>
      </w:rPr>
    </w:lvl>
    <w:lvl w:ilvl="2" w:tplc="141A001B">
      <w:start w:val="1"/>
      <w:numFmt w:val="lowerRoman"/>
      <w:lvlText w:val="%3."/>
      <w:lvlJc w:val="right"/>
      <w:pPr>
        <w:ind w:left="2160" w:hanging="180"/>
      </w:pPr>
      <w:rPr>
        <w:rFonts w:cs="Times New Roman"/>
      </w:rPr>
    </w:lvl>
    <w:lvl w:ilvl="3" w:tplc="141A000F">
      <w:start w:val="1"/>
      <w:numFmt w:val="decimal"/>
      <w:lvlText w:val="%4."/>
      <w:lvlJc w:val="left"/>
      <w:pPr>
        <w:ind w:left="2880" w:hanging="360"/>
      </w:pPr>
      <w:rPr>
        <w:rFonts w:cs="Times New Roman"/>
      </w:rPr>
    </w:lvl>
    <w:lvl w:ilvl="4" w:tplc="141A0019">
      <w:start w:val="1"/>
      <w:numFmt w:val="lowerLetter"/>
      <w:lvlText w:val="%5."/>
      <w:lvlJc w:val="left"/>
      <w:pPr>
        <w:ind w:left="3600" w:hanging="360"/>
      </w:pPr>
      <w:rPr>
        <w:rFonts w:cs="Times New Roman"/>
      </w:rPr>
    </w:lvl>
    <w:lvl w:ilvl="5" w:tplc="141A001B">
      <w:start w:val="1"/>
      <w:numFmt w:val="lowerRoman"/>
      <w:lvlText w:val="%6."/>
      <w:lvlJc w:val="right"/>
      <w:pPr>
        <w:ind w:left="4320" w:hanging="180"/>
      </w:pPr>
      <w:rPr>
        <w:rFonts w:cs="Times New Roman"/>
      </w:rPr>
    </w:lvl>
    <w:lvl w:ilvl="6" w:tplc="141A000F">
      <w:start w:val="1"/>
      <w:numFmt w:val="decimal"/>
      <w:lvlText w:val="%7."/>
      <w:lvlJc w:val="left"/>
      <w:pPr>
        <w:ind w:left="5040" w:hanging="360"/>
      </w:pPr>
      <w:rPr>
        <w:rFonts w:cs="Times New Roman"/>
      </w:rPr>
    </w:lvl>
    <w:lvl w:ilvl="7" w:tplc="141A0019">
      <w:start w:val="1"/>
      <w:numFmt w:val="lowerLetter"/>
      <w:lvlText w:val="%8."/>
      <w:lvlJc w:val="left"/>
      <w:pPr>
        <w:ind w:left="5760" w:hanging="360"/>
      </w:pPr>
      <w:rPr>
        <w:rFonts w:cs="Times New Roman"/>
      </w:rPr>
    </w:lvl>
    <w:lvl w:ilvl="8" w:tplc="141A001B">
      <w:start w:val="1"/>
      <w:numFmt w:val="lowerRoman"/>
      <w:lvlText w:val="%9."/>
      <w:lvlJc w:val="right"/>
      <w:pPr>
        <w:ind w:left="6480" w:hanging="180"/>
      </w:pPr>
      <w:rPr>
        <w:rFonts w:cs="Times New Roman"/>
      </w:rPr>
    </w:lvl>
  </w:abstractNum>
  <w:abstractNum w:abstractNumId="4">
    <w:nsid w:val="26913C8F"/>
    <w:multiLevelType w:val="hybridMultilevel"/>
    <w:tmpl w:val="A170F008"/>
    <w:lvl w:ilvl="0" w:tplc="141A000F">
      <w:start w:val="1"/>
      <w:numFmt w:val="decimal"/>
      <w:lvlText w:val="%1."/>
      <w:lvlJc w:val="left"/>
      <w:pPr>
        <w:ind w:left="720" w:hanging="360"/>
      </w:pPr>
      <w:rPr>
        <w:rFonts w:cs="Times New Roman" w:hint="default"/>
      </w:rPr>
    </w:lvl>
    <w:lvl w:ilvl="1" w:tplc="141A0019">
      <w:start w:val="1"/>
      <w:numFmt w:val="lowerLetter"/>
      <w:lvlText w:val="%2."/>
      <w:lvlJc w:val="left"/>
      <w:pPr>
        <w:ind w:left="1440" w:hanging="360"/>
      </w:pPr>
      <w:rPr>
        <w:rFonts w:cs="Times New Roman"/>
      </w:rPr>
    </w:lvl>
    <w:lvl w:ilvl="2" w:tplc="141A001B">
      <w:start w:val="1"/>
      <w:numFmt w:val="lowerRoman"/>
      <w:lvlText w:val="%3."/>
      <w:lvlJc w:val="right"/>
      <w:pPr>
        <w:ind w:left="2160" w:hanging="180"/>
      </w:pPr>
      <w:rPr>
        <w:rFonts w:cs="Times New Roman"/>
      </w:rPr>
    </w:lvl>
    <w:lvl w:ilvl="3" w:tplc="141A000F">
      <w:start w:val="1"/>
      <w:numFmt w:val="decimal"/>
      <w:lvlText w:val="%4."/>
      <w:lvlJc w:val="left"/>
      <w:pPr>
        <w:ind w:left="2880" w:hanging="360"/>
      </w:pPr>
      <w:rPr>
        <w:rFonts w:cs="Times New Roman"/>
      </w:rPr>
    </w:lvl>
    <w:lvl w:ilvl="4" w:tplc="141A0019">
      <w:start w:val="1"/>
      <w:numFmt w:val="lowerLetter"/>
      <w:lvlText w:val="%5."/>
      <w:lvlJc w:val="left"/>
      <w:pPr>
        <w:ind w:left="3600" w:hanging="360"/>
      </w:pPr>
      <w:rPr>
        <w:rFonts w:cs="Times New Roman"/>
      </w:rPr>
    </w:lvl>
    <w:lvl w:ilvl="5" w:tplc="141A001B">
      <w:start w:val="1"/>
      <w:numFmt w:val="lowerRoman"/>
      <w:lvlText w:val="%6."/>
      <w:lvlJc w:val="right"/>
      <w:pPr>
        <w:ind w:left="4320" w:hanging="180"/>
      </w:pPr>
      <w:rPr>
        <w:rFonts w:cs="Times New Roman"/>
      </w:rPr>
    </w:lvl>
    <w:lvl w:ilvl="6" w:tplc="141A000F">
      <w:start w:val="1"/>
      <w:numFmt w:val="decimal"/>
      <w:lvlText w:val="%7."/>
      <w:lvlJc w:val="left"/>
      <w:pPr>
        <w:ind w:left="5040" w:hanging="360"/>
      </w:pPr>
      <w:rPr>
        <w:rFonts w:cs="Times New Roman"/>
      </w:rPr>
    </w:lvl>
    <w:lvl w:ilvl="7" w:tplc="141A0019">
      <w:start w:val="1"/>
      <w:numFmt w:val="lowerLetter"/>
      <w:lvlText w:val="%8."/>
      <w:lvlJc w:val="left"/>
      <w:pPr>
        <w:ind w:left="5760" w:hanging="360"/>
      </w:pPr>
      <w:rPr>
        <w:rFonts w:cs="Times New Roman"/>
      </w:rPr>
    </w:lvl>
    <w:lvl w:ilvl="8" w:tplc="141A001B">
      <w:start w:val="1"/>
      <w:numFmt w:val="lowerRoman"/>
      <w:lvlText w:val="%9."/>
      <w:lvlJc w:val="right"/>
      <w:pPr>
        <w:ind w:left="6480" w:hanging="180"/>
      </w:pPr>
      <w:rPr>
        <w:rFonts w:cs="Times New Roman"/>
      </w:rPr>
    </w:lvl>
  </w:abstractNum>
  <w:abstractNum w:abstractNumId="5">
    <w:nsid w:val="28A74C61"/>
    <w:multiLevelType w:val="hybridMultilevel"/>
    <w:tmpl w:val="6F826CC6"/>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nsid w:val="39EC57BB"/>
    <w:multiLevelType w:val="hybridMultilevel"/>
    <w:tmpl w:val="19262C4E"/>
    <w:lvl w:ilvl="0" w:tplc="141A000F">
      <w:start w:val="1"/>
      <w:numFmt w:val="decimal"/>
      <w:lvlText w:val="%1."/>
      <w:lvlJc w:val="left"/>
      <w:pPr>
        <w:ind w:left="720" w:hanging="360"/>
      </w:pPr>
      <w:rPr>
        <w:rFonts w:hint="default"/>
      </w:rPr>
    </w:lvl>
    <w:lvl w:ilvl="1" w:tplc="141A0019">
      <w:start w:val="1"/>
      <w:numFmt w:val="lowerLetter"/>
      <w:lvlText w:val="%2."/>
      <w:lvlJc w:val="left"/>
      <w:pPr>
        <w:ind w:left="1440" w:hanging="360"/>
      </w:pPr>
      <w:rPr>
        <w:rFonts w:cs="Times New Roman"/>
      </w:rPr>
    </w:lvl>
    <w:lvl w:ilvl="2" w:tplc="141A001B">
      <w:start w:val="1"/>
      <w:numFmt w:val="lowerRoman"/>
      <w:lvlText w:val="%3."/>
      <w:lvlJc w:val="right"/>
      <w:pPr>
        <w:ind w:left="2160" w:hanging="180"/>
      </w:pPr>
      <w:rPr>
        <w:rFonts w:cs="Times New Roman"/>
      </w:rPr>
    </w:lvl>
    <w:lvl w:ilvl="3" w:tplc="141A000F">
      <w:start w:val="1"/>
      <w:numFmt w:val="decimal"/>
      <w:lvlText w:val="%4."/>
      <w:lvlJc w:val="left"/>
      <w:pPr>
        <w:ind w:left="2880" w:hanging="360"/>
      </w:pPr>
      <w:rPr>
        <w:rFonts w:cs="Times New Roman"/>
      </w:rPr>
    </w:lvl>
    <w:lvl w:ilvl="4" w:tplc="141A0019">
      <w:start w:val="1"/>
      <w:numFmt w:val="lowerLetter"/>
      <w:lvlText w:val="%5."/>
      <w:lvlJc w:val="left"/>
      <w:pPr>
        <w:ind w:left="3600" w:hanging="360"/>
      </w:pPr>
      <w:rPr>
        <w:rFonts w:cs="Times New Roman"/>
      </w:rPr>
    </w:lvl>
    <w:lvl w:ilvl="5" w:tplc="141A001B">
      <w:start w:val="1"/>
      <w:numFmt w:val="lowerRoman"/>
      <w:lvlText w:val="%6."/>
      <w:lvlJc w:val="right"/>
      <w:pPr>
        <w:ind w:left="4320" w:hanging="180"/>
      </w:pPr>
      <w:rPr>
        <w:rFonts w:cs="Times New Roman"/>
      </w:rPr>
    </w:lvl>
    <w:lvl w:ilvl="6" w:tplc="141A000F">
      <w:start w:val="1"/>
      <w:numFmt w:val="decimal"/>
      <w:lvlText w:val="%7."/>
      <w:lvlJc w:val="left"/>
      <w:pPr>
        <w:ind w:left="5040" w:hanging="360"/>
      </w:pPr>
      <w:rPr>
        <w:rFonts w:cs="Times New Roman"/>
      </w:rPr>
    </w:lvl>
    <w:lvl w:ilvl="7" w:tplc="141A0019">
      <w:start w:val="1"/>
      <w:numFmt w:val="lowerLetter"/>
      <w:lvlText w:val="%8."/>
      <w:lvlJc w:val="left"/>
      <w:pPr>
        <w:ind w:left="5760" w:hanging="360"/>
      </w:pPr>
      <w:rPr>
        <w:rFonts w:cs="Times New Roman"/>
      </w:rPr>
    </w:lvl>
    <w:lvl w:ilvl="8" w:tplc="141A001B">
      <w:start w:val="1"/>
      <w:numFmt w:val="lowerRoman"/>
      <w:lvlText w:val="%9."/>
      <w:lvlJc w:val="right"/>
      <w:pPr>
        <w:ind w:left="6480" w:hanging="180"/>
      </w:pPr>
      <w:rPr>
        <w:rFonts w:cs="Times New Roman"/>
      </w:rPr>
    </w:lvl>
  </w:abstractNum>
  <w:abstractNum w:abstractNumId="7">
    <w:nsid w:val="3E700A4D"/>
    <w:multiLevelType w:val="hybridMultilevel"/>
    <w:tmpl w:val="531845A0"/>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
    <w:nsid w:val="41EE79F8"/>
    <w:multiLevelType w:val="hybridMultilevel"/>
    <w:tmpl w:val="105A979A"/>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
    <w:nsid w:val="44D60D88"/>
    <w:multiLevelType w:val="hybridMultilevel"/>
    <w:tmpl w:val="795C601C"/>
    <w:lvl w:ilvl="0" w:tplc="141A000F">
      <w:start w:val="9"/>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
    <w:nsid w:val="4DA43F85"/>
    <w:multiLevelType w:val="hybridMultilevel"/>
    <w:tmpl w:val="CC765CF0"/>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
    <w:nsid w:val="4F9E2E98"/>
    <w:multiLevelType w:val="hybridMultilevel"/>
    <w:tmpl w:val="064C13C4"/>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nsid w:val="59A9654A"/>
    <w:multiLevelType w:val="hybridMultilevel"/>
    <w:tmpl w:val="F1FCFAF4"/>
    <w:lvl w:ilvl="0" w:tplc="38C685DC">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3">
    <w:nsid w:val="6D577BEA"/>
    <w:multiLevelType w:val="hybridMultilevel"/>
    <w:tmpl w:val="5C2EBFF8"/>
    <w:lvl w:ilvl="0" w:tplc="141A000F">
      <w:start w:val="1"/>
      <w:numFmt w:val="decimal"/>
      <w:lvlText w:val="%1."/>
      <w:lvlJc w:val="left"/>
      <w:pPr>
        <w:ind w:left="720" w:hanging="360"/>
      </w:pPr>
      <w:rPr>
        <w:rFonts w:cs="Times New Roman" w:hint="default"/>
      </w:rPr>
    </w:lvl>
    <w:lvl w:ilvl="1" w:tplc="141A0019">
      <w:start w:val="1"/>
      <w:numFmt w:val="lowerLetter"/>
      <w:lvlText w:val="%2."/>
      <w:lvlJc w:val="left"/>
      <w:pPr>
        <w:ind w:left="1440" w:hanging="360"/>
      </w:pPr>
      <w:rPr>
        <w:rFonts w:cs="Times New Roman"/>
      </w:rPr>
    </w:lvl>
    <w:lvl w:ilvl="2" w:tplc="141A001B">
      <w:start w:val="1"/>
      <w:numFmt w:val="lowerRoman"/>
      <w:lvlText w:val="%3."/>
      <w:lvlJc w:val="right"/>
      <w:pPr>
        <w:ind w:left="2160" w:hanging="180"/>
      </w:pPr>
      <w:rPr>
        <w:rFonts w:cs="Times New Roman"/>
      </w:rPr>
    </w:lvl>
    <w:lvl w:ilvl="3" w:tplc="141A000F">
      <w:start w:val="1"/>
      <w:numFmt w:val="decimal"/>
      <w:lvlText w:val="%4."/>
      <w:lvlJc w:val="left"/>
      <w:pPr>
        <w:ind w:left="2880" w:hanging="360"/>
      </w:pPr>
      <w:rPr>
        <w:rFonts w:cs="Times New Roman"/>
      </w:rPr>
    </w:lvl>
    <w:lvl w:ilvl="4" w:tplc="141A0019">
      <w:start w:val="1"/>
      <w:numFmt w:val="lowerLetter"/>
      <w:lvlText w:val="%5."/>
      <w:lvlJc w:val="left"/>
      <w:pPr>
        <w:ind w:left="3600" w:hanging="360"/>
      </w:pPr>
      <w:rPr>
        <w:rFonts w:cs="Times New Roman"/>
      </w:rPr>
    </w:lvl>
    <w:lvl w:ilvl="5" w:tplc="141A001B">
      <w:start w:val="1"/>
      <w:numFmt w:val="lowerRoman"/>
      <w:lvlText w:val="%6."/>
      <w:lvlJc w:val="right"/>
      <w:pPr>
        <w:ind w:left="4320" w:hanging="180"/>
      </w:pPr>
      <w:rPr>
        <w:rFonts w:cs="Times New Roman"/>
      </w:rPr>
    </w:lvl>
    <w:lvl w:ilvl="6" w:tplc="141A000F">
      <w:start w:val="1"/>
      <w:numFmt w:val="decimal"/>
      <w:lvlText w:val="%7."/>
      <w:lvlJc w:val="left"/>
      <w:pPr>
        <w:ind w:left="5040" w:hanging="360"/>
      </w:pPr>
      <w:rPr>
        <w:rFonts w:cs="Times New Roman"/>
      </w:rPr>
    </w:lvl>
    <w:lvl w:ilvl="7" w:tplc="141A0019">
      <w:start w:val="1"/>
      <w:numFmt w:val="lowerLetter"/>
      <w:lvlText w:val="%8."/>
      <w:lvlJc w:val="left"/>
      <w:pPr>
        <w:ind w:left="5760" w:hanging="360"/>
      </w:pPr>
      <w:rPr>
        <w:rFonts w:cs="Times New Roman"/>
      </w:rPr>
    </w:lvl>
    <w:lvl w:ilvl="8" w:tplc="141A001B">
      <w:start w:val="1"/>
      <w:numFmt w:val="lowerRoman"/>
      <w:lvlText w:val="%9."/>
      <w:lvlJc w:val="right"/>
      <w:pPr>
        <w:ind w:left="6480" w:hanging="180"/>
      </w:pPr>
      <w:rPr>
        <w:rFonts w:cs="Times New Roman"/>
      </w:rPr>
    </w:lvl>
  </w:abstractNum>
  <w:abstractNum w:abstractNumId="14">
    <w:nsid w:val="722425A2"/>
    <w:multiLevelType w:val="hybridMultilevel"/>
    <w:tmpl w:val="B4B28CC0"/>
    <w:lvl w:ilvl="0" w:tplc="141A000F">
      <w:start w:val="3"/>
      <w:numFmt w:val="decimal"/>
      <w:lvlText w:val="%1."/>
      <w:lvlJc w:val="left"/>
      <w:pPr>
        <w:ind w:left="720" w:hanging="360"/>
      </w:pPr>
      <w:rPr>
        <w:rFonts w:cs="Times New Roman" w:hint="default"/>
      </w:rPr>
    </w:lvl>
    <w:lvl w:ilvl="1" w:tplc="141A0019">
      <w:start w:val="1"/>
      <w:numFmt w:val="lowerLetter"/>
      <w:lvlText w:val="%2."/>
      <w:lvlJc w:val="left"/>
      <w:pPr>
        <w:ind w:left="1440" w:hanging="360"/>
      </w:pPr>
      <w:rPr>
        <w:rFonts w:cs="Times New Roman"/>
      </w:rPr>
    </w:lvl>
    <w:lvl w:ilvl="2" w:tplc="141A001B">
      <w:start w:val="1"/>
      <w:numFmt w:val="lowerRoman"/>
      <w:lvlText w:val="%3."/>
      <w:lvlJc w:val="right"/>
      <w:pPr>
        <w:ind w:left="2160" w:hanging="180"/>
      </w:pPr>
      <w:rPr>
        <w:rFonts w:cs="Times New Roman"/>
      </w:rPr>
    </w:lvl>
    <w:lvl w:ilvl="3" w:tplc="141A000F">
      <w:start w:val="1"/>
      <w:numFmt w:val="decimal"/>
      <w:lvlText w:val="%4."/>
      <w:lvlJc w:val="left"/>
      <w:pPr>
        <w:ind w:left="2880" w:hanging="360"/>
      </w:pPr>
      <w:rPr>
        <w:rFonts w:cs="Times New Roman"/>
      </w:rPr>
    </w:lvl>
    <w:lvl w:ilvl="4" w:tplc="141A0019">
      <w:start w:val="1"/>
      <w:numFmt w:val="lowerLetter"/>
      <w:lvlText w:val="%5."/>
      <w:lvlJc w:val="left"/>
      <w:pPr>
        <w:ind w:left="3600" w:hanging="360"/>
      </w:pPr>
      <w:rPr>
        <w:rFonts w:cs="Times New Roman"/>
      </w:rPr>
    </w:lvl>
    <w:lvl w:ilvl="5" w:tplc="141A001B">
      <w:start w:val="1"/>
      <w:numFmt w:val="lowerRoman"/>
      <w:lvlText w:val="%6."/>
      <w:lvlJc w:val="right"/>
      <w:pPr>
        <w:ind w:left="4320" w:hanging="180"/>
      </w:pPr>
      <w:rPr>
        <w:rFonts w:cs="Times New Roman"/>
      </w:rPr>
    </w:lvl>
    <w:lvl w:ilvl="6" w:tplc="141A000F">
      <w:start w:val="1"/>
      <w:numFmt w:val="decimal"/>
      <w:lvlText w:val="%7."/>
      <w:lvlJc w:val="left"/>
      <w:pPr>
        <w:ind w:left="5040" w:hanging="360"/>
      </w:pPr>
      <w:rPr>
        <w:rFonts w:cs="Times New Roman"/>
      </w:rPr>
    </w:lvl>
    <w:lvl w:ilvl="7" w:tplc="141A0019">
      <w:start w:val="1"/>
      <w:numFmt w:val="lowerLetter"/>
      <w:lvlText w:val="%8."/>
      <w:lvlJc w:val="left"/>
      <w:pPr>
        <w:ind w:left="5760" w:hanging="360"/>
      </w:pPr>
      <w:rPr>
        <w:rFonts w:cs="Times New Roman"/>
      </w:rPr>
    </w:lvl>
    <w:lvl w:ilvl="8" w:tplc="141A001B">
      <w:start w:val="1"/>
      <w:numFmt w:val="lowerRoman"/>
      <w:lvlText w:val="%9."/>
      <w:lvlJc w:val="right"/>
      <w:pPr>
        <w:ind w:left="6480" w:hanging="180"/>
      </w:pPr>
      <w:rPr>
        <w:rFonts w:cs="Times New Roman"/>
      </w:rPr>
    </w:lvl>
  </w:abstractNum>
  <w:abstractNum w:abstractNumId="15">
    <w:nsid w:val="79F03776"/>
    <w:multiLevelType w:val="hybridMultilevel"/>
    <w:tmpl w:val="19262C4E"/>
    <w:lvl w:ilvl="0" w:tplc="141A000F">
      <w:start w:val="1"/>
      <w:numFmt w:val="decimal"/>
      <w:lvlText w:val="%1."/>
      <w:lvlJc w:val="left"/>
      <w:pPr>
        <w:ind w:left="720" w:hanging="360"/>
      </w:pPr>
      <w:rPr>
        <w:rFonts w:hint="default"/>
      </w:rPr>
    </w:lvl>
    <w:lvl w:ilvl="1" w:tplc="141A0019">
      <w:start w:val="1"/>
      <w:numFmt w:val="lowerLetter"/>
      <w:lvlText w:val="%2."/>
      <w:lvlJc w:val="left"/>
      <w:pPr>
        <w:ind w:left="1440" w:hanging="360"/>
      </w:pPr>
      <w:rPr>
        <w:rFonts w:cs="Times New Roman"/>
      </w:rPr>
    </w:lvl>
    <w:lvl w:ilvl="2" w:tplc="141A001B">
      <w:start w:val="1"/>
      <w:numFmt w:val="lowerRoman"/>
      <w:lvlText w:val="%3."/>
      <w:lvlJc w:val="right"/>
      <w:pPr>
        <w:ind w:left="2160" w:hanging="180"/>
      </w:pPr>
      <w:rPr>
        <w:rFonts w:cs="Times New Roman"/>
      </w:rPr>
    </w:lvl>
    <w:lvl w:ilvl="3" w:tplc="141A000F">
      <w:start w:val="1"/>
      <w:numFmt w:val="decimal"/>
      <w:lvlText w:val="%4."/>
      <w:lvlJc w:val="left"/>
      <w:pPr>
        <w:ind w:left="2880" w:hanging="360"/>
      </w:pPr>
      <w:rPr>
        <w:rFonts w:cs="Times New Roman"/>
      </w:rPr>
    </w:lvl>
    <w:lvl w:ilvl="4" w:tplc="141A0019">
      <w:start w:val="1"/>
      <w:numFmt w:val="lowerLetter"/>
      <w:lvlText w:val="%5."/>
      <w:lvlJc w:val="left"/>
      <w:pPr>
        <w:ind w:left="3600" w:hanging="360"/>
      </w:pPr>
      <w:rPr>
        <w:rFonts w:cs="Times New Roman"/>
      </w:rPr>
    </w:lvl>
    <w:lvl w:ilvl="5" w:tplc="141A001B">
      <w:start w:val="1"/>
      <w:numFmt w:val="lowerRoman"/>
      <w:lvlText w:val="%6."/>
      <w:lvlJc w:val="right"/>
      <w:pPr>
        <w:ind w:left="4320" w:hanging="180"/>
      </w:pPr>
      <w:rPr>
        <w:rFonts w:cs="Times New Roman"/>
      </w:rPr>
    </w:lvl>
    <w:lvl w:ilvl="6" w:tplc="141A000F">
      <w:start w:val="1"/>
      <w:numFmt w:val="decimal"/>
      <w:lvlText w:val="%7."/>
      <w:lvlJc w:val="left"/>
      <w:pPr>
        <w:ind w:left="5040" w:hanging="360"/>
      </w:pPr>
      <w:rPr>
        <w:rFonts w:cs="Times New Roman"/>
      </w:rPr>
    </w:lvl>
    <w:lvl w:ilvl="7" w:tplc="141A0019">
      <w:start w:val="1"/>
      <w:numFmt w:val="lowerLetter"/>
      <w:lvlText w:val="%8."/>
      <w:lvlJc w:val="left"/>
      <w:pPr>
        <w:ind w:left="5760" w:hanging="360"/>
      </w:pPr>
      <w:rPr>
        <w:rFonts w:cs="Times New Roman"/>
      </w:rPr>
    </w:lvl>
    <w:lvl w:ilvl="8" w:tplc="141A001B">
      <w:start w:val="1"/>
      <w:numFmt w:val="lowerRoman"/>
      <w:lvlText w:val="%9."/>
      <w:lvlJc w:val="right"/>
      <w:pPr>
        <w:ind w:left="6480" w:hanging="180"/>
      </w:pPr>
      <w:rPr>
        <w:rFonts w:cs="Times New Roman"/>
      </w:rPr>
    </w:lvl>
  </w:abstractNum>
  <w:abstractNum w:abstractNumId="16">
    <w:nsid w:val="7D167883"/>
    <w:multiLevelType w:val="hybridMultilevel"/>
    <w:tmpl w:val="6F826CC6"/>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0"/>
  </w:num>
  <w:num w:numId="2">
    <w:abstractNumId w:val="4"/>
  </w:num>
  <w:num w:numId="3">
    <w:abstractNumId w:val="13"/>
  </w:num>
  <w:num w:numId="4">
    <w:abstractNumId w:val="2"/>
  </w:num>
  <w:num w:numId="5">
    <w:abstractNumId w:val="15"/>
  </w:num>
  <w:num w:numId="6">
    <w:abstractNumId w:val="14"/>
  </w:num>
  <w:num w:numId="7">
    <w:abstractNumId w:val="3"/>
  </w:num>
  <w:num w:numId="8">
    <w:abstractNumId w:val="6"/>
  </w:num>
  <w:num w:numId="9">
    <w:abstractNumId w:val="8"/>
  </w:num>
  <w:num w:numId="10">
    <w:abstractNumId w:val="12"/>
  </w:num>
  <w:num w:numId="11">
    <w:abstractNumId w:val="10"/>
  </w:num>
  <w:num w:numId="12">
    <w:abstractNumId w:val="1"/>
  </w:num>
  <w:num w:numId="13">
    <w:abstractNumId w:val="16"/>
  </w:num>
  <w:num w:numId="14">
    <w:abstractNumId w:val="7"/>
  </w:num>
  <w:num w:numId="15">
    <w:abstractNumId w:val="11"/>
  </w:num>
  <w:num w:numId="16">
    <w:abstractNumId w:val="5"/>
  </w:num>
  <w:num w:numId="17">
    <w:abstractNumId w:val="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defaultTabStop w:val="720"/>
  <w:hyphenationZone w:val="425"/>
  <w:characterSpacingControl w:val="doNotCompress"/>
  <w:hdrShapeDefaults>
    <o:shapedefaults v:ext="edit" spidmax="5122"/>
  </w:hdrShapeDefaults>
  <w:footnotePr>
    <w:footnote w:id="-1"/>
    <w:footnote w:id="0"/>
  </w:footnotePr>
  <w:endnotePr>
    <w:endnote w:id="-1"/>
    <w:endnote w:id="0"/>
  </w:endnotePr>
  <w:compat>
    <w:useFELayout/>
  </w:compat>
  <w:rsids>
    <w:rsidRoot w:val="00D3231E"/>
    <w:rsid w:val="00004E26"/>
    <w:rsid w:val="00005040"/>
    <w:rsid w:val="00006D19"/>
    <w:rsid w:val="00017415"/>
    <w:rsid w:val="000177FD"/>
    <w:rsid w:val="00024918"/>
    <w:rsid w:val="0003098F"/>
    <w:rsid w:val="00034090"/>
    <w:rsid w:val="00065702"/>
    <w:rsid w:val="000740DF"/>
    <w:rsid w:val="00087AAF"/>
    <w:rsid w:val="0009154C"/>
    <w:rsid w:val="00095750"/>
    <w:rsid w:val="000B29A6"/>
    <w:rsid w:val="000D5D7C"/>
    <w:rsid w:val="000D69BB"/>
    <w:rsid w:val="000D6F11"/>
    <w:rsid w:val="000F0A75"/>
    <w:rsid w:val="000F5564"/>
    <w:rsid w:val="000F7BB1"/>
    <w:rsid w:val="00101117"/>
    <w:rsid w:val="00102BC8"/>
    <w:rsid w:val="00102F1E"/>
    <w:rsid w:val="00114F3E"/>
    <w:rsid w:val="001154EE"/>
    <w:rsid w:val="00122C71"/>
    <w:rsid w:val="00135F40"/>
    <w:rsid w:val="00143E4D"/>
    <w:rsid w:val="00152A0A"/>
    <w:rsid w:val="00155E30"/>
    <w:rsid w:val="00163B34"/>
    <w:rsid w:val="0016647B"/>
    <w:rsid w:val="00170A47"/>
    <w:rsid w:val="00172985"/>
    <w:rsid w:val="0019677B"/>
    <w:rsid w:val="001A04D5"/>
    <w:rsid w:val="001A2966"/>
    <w:rsid w:val="001B383D"/>
    <w:rsid w:val="001C562A"/>
    <w:rsid w:val="001E00CF"/>
    <w:rsid w:val="001F1F8D"/>
    <w:rsid w:val="001F374A"/>
    <w:rsid w:val="00223870"/>
    <w:rsid w:val="0023309B"/>
    <w:rsid w:val="00241240"/>
    <w:rsid w:val="00243A5B"/>
    <w:rsid w:val="00250ED2"/>
    <w:rsid w:val="0026510A"/>
    <w:rsid w:val="00267AD3"/>
    <w:rsid w:val="00272307"/>
    <w:rsid w:val="002844E1"/>
    <w:rsid w:val="0028562E"/>
    <w:rsid w:val="00294CBC"/>
    <w:rsid w:val="002962D2"/>
    <w:rsid w:val="002969C8"/>
    <w:rsid w:val="002A3DAD"/>
    <w:rsid w:val="002A7818"/>
    <w:rsid w:val="00301183"/>
    <w:rsid w:val="00301969"/>
    <w:rsid w:val="00314BEF"/>
    <w:rsid w:val="00320BCB"/>
    <w:rsid w:val="00321752"/>
    <w:rsid w:val="00322ED3"/>
    <w:rsid w:val="00326CFA"/>
    <w:rsid w:val="0034790B"/>
    <w:rsid w:val="00371515"/>
    <w:rsid w:val="00381B59"/>
    <w:rsid w:val="003A3685"/>
    <w:rsid w:val="003B6218"/>
    <w:rsid w:val="003D0620"/>
    <w:rsid w:val="003E0BC9"/>
    <w:rsid w:val="003E1192"/>
    <w:rsid w:val="003E3B8A"/>
    <w:rsid w:val="003E7768"/>
    <w:rsid w:val="00400F6A"/>
    <w:rsid w:val="00406588"/>
    <w:rsid w:val="00430955"/>
    <w:rsid w:val="00451C87"/>
    <w:rsid w:val="004553C1"/>
    <w:rsid w:val="004560BB"/>
    <w:rsid w:val="004744FD"/>
    <w:rsid w:val="00475139"/>
    <w:rsid w:val="004824D3"/>
    <w:rsid w:val="0048382D"/>
    <w:rsid w:val="004956C5"/>
    <w:rsid w:val="004B769F"/>
    <w:rsid w:val="004D1E5D"/>
    <w:rsid w:val="004D334D"/>
    <w:rsid w:val="00510FF3"/>
    <w:rsid w:val="00520B39"/>
    <w:rsid w:val="00547EF1"/>
    <w:rsid w:val="0055799A"/>
    <w:rsid w:val="005836E1"/>
    <w:rsid w:val="0059733A"/>
    <w:rsid w:val="005B7059"/>
    <w:rsid w:val="005C0A8A"/>
    <w:rsid w:val="005D01DA"/>
    <w:rsid w:val="005D236A"/>
    <w:rsid w:val="005E35C0"/>
    <w:rsid w:val="005F4A92"/>
    <w:rsid w:val="006139FB"/>
    <w:rsid w:val="00625640"/>
    <w:rsid w:val="0063040A"/>
    <w:rsid w:val="00635F77"/>
    <w:rsid w:val="006369D2"/>
    <w:rsid w:val="00644BA4"/>
    <w:rsid w:val="00647B13"/>
    <w:rsid w:val="00655178"/>
    <w:rsid w:val="0067290A"/>
    <w:rsid w:val="006735AC"/>
    <w:rsid w:val="00687D90"/>
    <w:rsid w:val="006A0F21"/>
    <w:rsid w:val="006B3E95"/>
    <w:rsid w:val="006C6635"/>
    <w:rsid w:val="006D784A"/>
    <w:rsid w:val="006D797B"/>
    <w:rsid w:val="006E7C86"/>
    <w:rsid w:val="00704705"/>
    <w:rsid w:val="00705F2F"/>
    <w:rsid w:val="0074164D"/>
    <w:rsid w:val="007509C7"/>
    <w:rsid w:val="00775A75"/>
    <w:rsid w:val="00783EF3"/>
    <w:rsid w:val="00787665"/>
    <w:rsid w:val="0079481A"/>
    <w:rsid w:val="007A04DD"/>
    <w:rsid w:val="007A3EFC"/>
    <w:rsid w:val="007A4DC0"/>
    <w:rsid w:val="007A7198"/>
    <w:rsid w:val="007D6714"/>
    <w:rsid w:val="007E6C67"/>
    <w:rsid w:val="007F4074"/>
    <w:rsid w:val="00804BA9"/>
    <w:rsid w:val="008121E3"/>
    <w:rsid w:val="00843D1E"/>
    <w:rsid w:val="008601A3"/>
    <w:rsid w:val="008734B5"/>
    <w:rsid w:val="0088076D"/>
    <w:rsid w:val="008A3B9A"/>
    <w:rsid w:val="008A518F"/>
    <w:rsid w:val="008B2625"/>
    <w:rsid w:val="008B3196"/>
    <w:rsid w:val="008B4EC6"/>
    <w:rsid w:val="008B76C0"/>
    <w:rsid w:val="008B7B75"/>
    <w:rsid w:val="008C7EF3"/>
    <w:rsid w:val="008F126B"/>
    <w:rsid w:val="00905873"/>
    <w:rsid w:val="00923202"/>
    <w:rsid w:val="0094511E"/>
    <w:rsid w:val="00973BE4"/>
    <w:rsid w:val="00980495"/>
    <w:rsid w:val="009808EF"/>
    <w:rsid w:val="009C0ED5"/>
    <w:rsid w:val="009E7DD5"/>
    <w:rsid w:val="00A30076"/>
    <w:rsid w:val="00A346C6"/>
    <w:rsid w:val="00A47DB2"/>
    <w:rsid w:val="00A5168D"/>
    <w:rsid w:val="00A5560D"/>
    <w:rsid w:val="00A55DED"/>
    <w:rsid w:val="00A60DAC"/>
    <w:rsid w:val="00A732CB"/>
    <w:rsid w:val="00AA322D"/>
    <w:rsid w:val="00AB3C48"/>
    <w:rsid w:val="00AC4C47"/>
    <w:rsid w:val="00AF20B7"/>
    <w:rsid w:val="00AF50F6"/>
    <w:rsid w:val="00B2529C"/>
    <w:rsid w:val="00B31EE0"/>
    <w:rsid w:val="00B32AB3"/>
    <w:rsid w:val="00B43396"/>
    <w:rsid w:val="00B45292"/>
    <w:rsid w:val="00B65CFE"/>
    <w:rsid w:val="00B72F16"/>
    <w:rsid w:val="00B730DD"/>
    <w:rsid w:val="00B82C22"/>
    <w:rsid w:val="00BA5DC1"/>
    <w:rsid w:val="00BB1875"/>
    <w:rsid w:val="00BC4477"/>
    <w:rsid w:val="00C21AF9"/>
    <w:rsid w:val="00C316FD"/>
    <w:rsid w:val="00C53457"/>
    <w:rsid w:val="00C90135"/>
    <w:rsid w:val="00CC0169"/>
    <w:rsid w:val="00CC0313"/>
    <w:rsid w:val="00CC0B6B"/>
    <w:rsid w:val="00CD5909"/>
    <w:rsid w:val="00CD5DCB"/>
    <w:rsid w:val="00CD6F9C"/>
    <w:rsid w:val="00CE4788"/>
    <w:rsid w:val="00D3231E"/>
    <w:rsid w:val="00D36B2E"/>
    <w:rsid w:val="00D5245D"/>
    <w:rsid w:val="00D5778A"/>
    <w:rsid w:val="00D778A3"/>
    <w:rsid w:val="00D91956"/>
    <w:rsid w:val="00DA0E8D"/>
    <w:rsid w:val="00DA101E"/>
    <w:rsid w:val="00DA1267"/>
    <w:rsid w:val="00DA5B93"/>
    <w:rsid w:val="00DA635F"/>
    <w:rsid w:val="00DC0189"/>
    <w:rsid w:val="00DC51DD"/>
    <w:rsid w:val="00DD47B0"/>
    <w:rsid w:val="00DD6216"/>
    <w:rsid w:val="00DE6297"/>
    <w:rsid w:val="00DE7EE4"/>
    <w:rsid w:val="00DF27D4"/>
    <w:rsid w:val="00E05ED5"/>
    <w:rsid w:val="00E2479B"/>
    <w:rsid w:val="00E333ED"/>
    <w:rsid w:val="00E445C2"/>
    <w:rsid w:val="00E6065E"/>
    <w:rsid w:val="00E709EC"/>
    <w:rsid w:val="00E90F14"/>
    <w:rsid w:val="00E952C2"/>
    <w:rsid w:val="00EC05B0"/>
    <w:rsid w:val="00EC1921"/>
    <w:rsid w:val="00EC3DD1"/>
    <w:rsid w:val="00EC5E2F"/>
    <w:rsid w:val="00EF71D7"/>
    <w:rsid w:val="00F164AE"/>
    <w:rsid w:val="00F16B26"/>
    <w:rsid w:val="00F428FB"/>
    <w:rsid w:val="00F439F9"/>
    <w:rsid w:val="00F5082C"/>
    <w:rsid w:val="00F62BEE"/>
    <w:rsid w:val="00F6533F"/>
    <w:rsid w:val="00F80803"/>
    <w:rsid w:val="00F84344"/>
    <w:rsid w:val="00F94BDC"/>
    <w:rsid w:val="00F9552F"/>
    <w:rsid w:val="00FA4CB2"/>
    <w:rsid w:val="00FB427A"/>
    <w:rsid w:val="00FB451C"/>
    <w:rsid w:val="00FC2D5C"/>
  </w:rsids>
  <m:mathPr>
    <m:mathFont m:val="Cambria Math"/>
    <m:brkBin m:val="before"/>
    <m:brkBinSub m:val="--"/>
    <m:smallFrac m:val="off"/>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5E6"/>
    <w:pPr>
      <w:spacing w:before="240"/>
      <w:jc w:val="both"/>
    </w:pPr>
    <w:rPr>
      <w:rFonts w:ascii="Times New Roman" w:hAnsi="Times New Roman"/>
      <w:lang w:val="en-GB"/>
    </w:rPr>
  </w:style>
  <w:style w:type="paragraph" w:styleId="Heading1">
    <w:name w:val="heading 1"/>
    <w:basedOn w:val="Normal"/>
    <w:next w:val="Normal"/>
    <w:link w:val="Heading1Char"/>
    <w:qFormat/>
    <w:rsid w:val="009E5613"/>
    <w:pPr>
      <w:keepNext/>
      <w:keepLines/>
      <w:spacing w:before="480" w:after="240"/>
      <w:ind w:left="360" w:hanging="360"/>
      <w:jc w:val="left"/>
      <w:outlineLvl w:val="0"/>
    </w:pPr>
    <w:rPr>
      <w:rFonts w:asciiTheme="minorHAnsi" w:eastAsiaTheme="majorEastAsia" w:hAnsiTheme="minorHAnsi" w:cstheme="majorBidi"/>
      <w:b/>
      <w:bCs/>
      <w:lang w:val="en-US"/>
    </w:rPr>
  </w:style>
  <w:style w:type="paragraph" w:styleId="Heading2">
    <w:name w:val="heading 2"/>
    <w:basedOn w:val="Normal"/>
    <w:next w:val="Normal"/>
    <w:link w:val="Heading2Char"/>
    <w:autoRedefine/>
    <w:uiPriority w:val="9"/>
    <w:unhideWhenUsed/>
    <w:qFormat/>
    <w:rsid w:val="00122BE1"/>
    <w:pPr>
      <w:keepNext/>
      <w:keepLines/>
      <w:numPr>
        <w:numId w:val="1"/>
      </w:numPr>
      <w:spacing w:before="200"/>
      <w:ind w:left="360"/>
      <w:outlineLvl w:val="1"/>
    </w:pPr>
    <w:rPr>
      <w:rFonts w:eastAsiaTheme="majorEastAsia" w:cstheme="majorBidi"/>
      <w:b/>
      <w:bCs/>
      <w:szCs w:val="26"/>
    </w:rPr>
  </w:style>
  <w:style w:type="paragraph" w:styleId="Heading8">
    <w:name w:val="heading 8"/>
    <w:basedOn w:val="Normal"/>
    <w:next w:val="Normal"/>
    <w:link w:val="Heading8Char"/>
    <w:semiHidden/>
    <w:unhideWhenUsed/>
    <w:qFormat/>
    <w:rsid w:val="00F9552F"/>
    <w:pPr>
      <w:spacing w:after="60"/>
      <w:jc w:val="left"/>
      <w:outlineLvl w:val="7"/>
    </w:pPr>
    <w:rPr>
      <w:rFonts w:eastAsia="Times New Roman" w:cs="Times New Roman"/>
      <w:i/>
      <w:i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5613"/>
    <w:rPr>
      <w:rFonts w:eastAsiaTheme="majorEastAsia" w:cstheme="majorBidi"/>
      <w:b/>
      <w:bCs/>
    </w:rPr>
  </w:style>
  <w:style w:type="character" w:customStyle="1" w:styleId="Heading2Char">
    <w:name w:val="Heading 2 Char"/>
    <w:basedOn w:val="DefaultParagraphFont"/>
    <w:link w:val="Heading2"/>
    <w:uiPriority w:val="9"/>
    <w:rsid w:val="00122BE1"/>
    <w:rPr>
      <w:rFonts w:ascii="Times New Roman" w:eastAsiaTheme="majorEastAsia" w:hAnsi="Times New Roman" w:cstheme="majorBidi"/>
      <w:b/>
      <w:bCs/>
      <w:szCs w:val="26"/>
      <w:lang w:val="en-GB"/>
    </w:rPr>
  </w:style>
  <w:style w:type="paragraph" w:customStyle="1" w:styleId="Paragraph">
    <w:name w:val="Paragraph"/>
    <w:basedOn w:val="Normal"/>
    <w:next w:val="Normal"/>
    <w:qFormat/>
    <w:rsid w:val="00F072CD"/>
    <w:rPr>
      <w:lang w:val="en-US"/>
    </w:rPr>
  </w:style>
  <w:style w:type="paragraph" w:customStyle="1" w:styleId="IndentedQuote">
    <w:name w:val="Indented Quote"/>
    <w:basedOn w:val="Normal"/>
    <w:qFormat/>
    <w:rsid w:val="00EF1F1A"/>
    <w:pPr>
      <w:widowControl w:val="0"/>
      <w:autoSpaceDE w:val="0"/>
      <w:autoSpaceDN w:val="0"/>
      <w:adjustRightInd w:val="0"/>
      <w:ind w:left="720"/>
      <w:jc w:val="left"/>
    </w:pPr>
    <w:rPr>
      <w:rFonts w:cs="Times New Roman"/>
      <w:lang w:val="en-US"/>
    </w:rPr>
  </w:style>
  <w:style w:type="paragraph" w:styleId="ListParagraph">
    <w:name w:val="List Paragraph"/>
    <w:basedOn w:val="Normal"/>
    <w:qFormat/>
    <w:rsid w:val="00681B0D"/>
    <w:pPr>
      <w:ind w:left="720"/>
      <w:contextualSpacing/>
      <w:jc w:val="left"/>
    </w:pPr>
    <w:rPr>
      <w:lang w:val="en-US"/>
    </w:rPr>
  </w:style>
  <w:style w:type="paragraph" w:styleId="Quote">
    <w:name w:val="Quote"/>
    <w:basedOn w:val="Normal"/>
    <w:next w:val="Normal"/>
    <w:link w:val="QuoteChar"/>
    <w:autoRedefine/>
    <w:uiPriority w:val="29"/>
    <w:qFormat/>
    <w:rsid w:val="007A3EFC"/>
    <w:pPr>
      <w:ind w:left="720"/>
    </w:pPr>
    <w:rPr>
      <w:iCs/>
      <w:color w:val="000000" w:themeColor="text1"/>
      <w:sz w:val="22"/>
      <w:lang w:val="en-US"/>
    </w:rPr>
  </w:style>
  <w:style w:type="character" w:customStyle="1" w:styleId="QuoteChar">
    <w:name w:val="Quote Char"/>
    <w:basedOn w:val="DefaultParagraphFont"/>
    <w:link w:val="Quote"/>
    <w:uiPriority w:val="29"/>
    <w:rsid w:val="007A3EFC"/>
    <w:rPr>
      <w:rFonts w:ascii="Times New Roman" w:hAnsi="Times New Roman"/>
      <w:iCs/>
      <w:color w:val="000000" w:themeColor="text1"/>
      <w:sz w:val="22"/>
    </w:rPr>
  </w:style>
  <w:style w:type="paragraph" w:styleId="Header">
    <w:name w:val="header"/>
    <w:basedOn w:val="Normal"/>
    <w:link w:val="HeaderChar"/>
    <w:uiPriority w:val="99"/>
    <w:unhideWhenUsed/>
    <w:rsid w:val="00210BE9"/>
    <w:pPr>
      <w:tabs>
        <w:tab w:val="center" w:pos="4320"/>
        <w:tab w:val="right" w:pos="8640"/>
      </w:tabs>
      <w:spacing w:before="0"/>
    </w:pPr>
  </w:style>
  <w:style w:type="character" w:customStyle="1" w:styleId="HeaderChar">
    <w:name w:val="Header Char"/>
    <w:basedOn w:val="DefaultParagraphFont"/>
    <w:link w:val="Header"/>
    <w:uiPriority w:val="99"/>
    <w:rsid w:val="00210BE9"/>
    <w:rPr>
      <w:rFonts w:ascii="Times New Roman" w:hAnsi="Times New Roman"/>
      <w:lang w:val="en-GB"/>
    </w:rPr>
  </w:style>
  <w:style w:type="paragraph" w:styleId="Footer">
    <w:name w:val="footer"/>
    <w:basedOn w:val="Normal"/>
    <w:link w:val="FooterChar"/>
    <w:unhideWhenUsed/>
    <w:rsid w:val="00210BE9"/>
    <w:pPr>
      <w:tabs>
        <w:tab w:val="center" w:pos="4320"/>
        <w:tab w:val="right" w:pos="8640"/>
      </w:tabs>
      <w:spacing w:before="0"/>
    </w:pPr>
  </w:style>
  <w:style w:type="character" w:customStyle="1" w:styleId="FooterChar">
    <w:name w:val="Footer Char"/>
    <w:basedOn w:val="DefaultParagraphFont"/>
    <w:link w:val="Footer"/>
    <w:rsid w:val="00210BE9"/>
    <w:rPr>
      <w:rFonts w:ascii="Times New Roman" w:hAnsi="Times New Roman"/>
      <w:lang w:val="en-GB"/>
    </w:rPr>
  </w:style>
  <w:style w:type="character" w:styleId="PageNumber">
    <w:name w:val="page number"/>
    <w:basedOn w:val="DefaultParagraphFont"/>
    <w:unhideWhenUsed/>
    <w:rsid w:val="00CC44D2"/>
  </w:style>
  <w:style w:type="paragraph" w:styleId="TOC1">
    <w:name w:val="toc 1"/>
    <w:basedOn w:val="Normal"/>
    <w:next w:val="Normal"/>
    <w:autoRedefine/>
    <w:uiPriority w:val="39"/>
    <w:unhideWhenUsed/>
    <w:rsid w:val="00CC44D2"/>
  </w:style>
  <w:style w:type="paragraph" w:styleId="TOC2">
    <w:name w:val="toc 2"/>
    <w:basedOn w:val="Normal"/>
    <w:next w:val="Normal"/>
    <w:autoRedefine/>
    <w:uiPriority w:val="39"/>
    <w:unhideWhenUsed/>
    <w:rsid w:val="00CC44D2"/>
    <w:pPr>
      <w:ind w:left="240"/>
    </w:pPr>
  </w:style>
  <w:style w:type="paragraph" w:styleId="TOC3">
    <w:name w:val="toc 3"/>
    <w:basedOn w:val="Normal"/>
    <w:next w:val="Normal"/>
    <w:autoRedefine/>
    <w:uiPriority w:val="39"/>
    <w:unhideWhenUsed/>
    <w:rsid w:val="00CC44D2"/>
    <w:pPr>
      <w:ind w:left="480"/>
    </w:pPr>
  </w:style>
  <w:style w:type="paragraph" w:styleId="TOC4">
    <w:name w:val="toc 4"/>
    <w:basedOn w:val="Normal"/>
    <w:next w:val="Normal"/>
    <w:autoRedefine/>
    <w:uiPriority w:val="39"/>
    <w:unhideWhenUsed/>
    <w:rsid w:val="00CC44D2"/>
    <w:pPr>
      <w:ind w:left="720"/>
    </w:pPr>
  </w:style>
  <w:style w:type="paragraph" w:styleId="TOC5">
    <w:name w:val="toc 5"/>
    <w:basedOn w:val="Normal"/>
    <w:next w:val="Normal"/>
    <w:autoRedefine/>
    <w:uiPriority w:val="39"/>
    <w:unhideWhenUsed/>
    <w:rsid w:val="00CC44D2"/>
    <w:pPr>
      <w:ind w:left="960"/>
    </w:pPr>
  </w:style>
  <w:style w:type="paragraph" w:styleId="TOC6">
    <w:name w:val="toc 6"/>
    <w:basedOn w:val="Normal"/>
    <w:next w:val="Normal"/>
    <w:autoRedefine/>
    <w:uiPriority w:val="39"/>
    <w:unhideWhenUsed/>
    <w:rsid w:val="00CC44D2"/>
    <w:pPr>
      <w:ind w:left="1200"/>
    </w:pPr>
  </w:style>
  <w:style w:type="paragraph" w:styleId="TOC7">
    <w:name w:val="toc 7"/>
    <w:basedOn w:val="Normal"/>
    <w:next w:val="Normal"/>
    <w:autoRedefine/>
    <w:uiPriority w:val="39"/>
    <w:unhideWhenUsed/>
    <w:rsid w:val="00CC44D2"/>
    <w:pPr>
      <w:ind w:left="1440"/>
    </w:pPr>
  </w:style>
  <w:style w:type="paragraph" w:styleId="TOC8">
    <w:name w:val="toc 8"/>
    <w:basedOn w:val="Normal"/>
    <w:next w:val="Normal"/>
    <w:autoRedefine/>
    <w:uiPriority w:val="39"/>
    <w:unhideWhenUsed/>
    <w:rsid w:val="00CC44D2"/>
    <w:pPr>
      <w:ind w:left="1680"/>
    </w:pPr>
  </w:style>
  <w:style w:type="paragraph" w:styleId="TOC9">
    <w:name w:val="toc 9"/>
    <w:basedOn w:val="Normal"/>
    <w:next w:val="Normal"/>
    <w:autoRedefine/>
    <w:uiPriority w:val="39"/>
    <w:unhideWhenUsed/>
    <w:rsid w:val="00CC44D2"/>
    <w:pPr>
      <w:ind w:left="1920"/>
    </w:pPr>
  </w:style>
  <w:style w:type="paragraph" w:styleId="BodyText">
    <w:name w:val="Body Text"/>
    <w:basedOn w:val="Normal"/>
    <w:link w:val="BodyTextChar"/>
    <w:rsid w:val="00267AD3"/>
    <w:pPr>
      <w:spacing w:before="0"/>
    </w:pPr>
    <w:rPr>
      <w:rFonts w:eastAsia="Times New Roman" w:cs="Times New Roman"/>
      <w:szCs w:val="20"/>
      <w:lang w:val="sr-Latn-CS"/>
    </w:rPr>
  </w:style>
  <w:style w:type="character" w:customStyle="1" w:styleId="BodyTextChar">
    <w:name w:val="Body Text Char"/>
    <w:basedOn w:val="DefaultParagraphFont"/>
    <w:link w:val="BodyText"/>
    <w:rsid w:val="00267AD3"/>
    <w:rPr>
      <w:rFonts w:ascii="Times New Roman" w:eastAsia="Times New Roman" w:hAnsi="Times New Roman" w:cs="Times New Roman"/>
      <w:szCs w:val="20"/>
      <w:lang w:val="sr-Latn-CS"/>
    </w:rPr>
  </w:style>
  <w:style w:type="character" w:styleId="FootnoteReference">
    <w:name w:val="footnote reference"/>
    <w:semiHidden/>
    <w:rsid w:val="00267AD3"/>
    <w:rPr>
      <w:vertAlign w:val="superscript"/>
    </w:rPr>
  </w:style>
  <w:style w:type="paragraph" w:styleId="NoSpacing">
    <w:name w:val="No Spacing"/>
    <w:link w:val="NoSpacingChar"/>
    <w:qFormat/>
    <w:rsid w:val="00267AD3"/>
    <w:pPr>
      <w:jc w:val="both"/>
    </w:pPr>
    <w:rPr>
      <w:rFonts w:ascii="Times New Roman" w:hAnsi="Times New Roman"/>
      <w:lang w:val="en-GB"/>
    </w:rPr>
  </w:style>
  <w:style w:type="paragraph" w:styleId="FootnoteText">
    <w:name w:val="footnote text"/>
    <w:basedOn w:val="Normal"/>
    <w:link w:val="FootnoteTextChar"/>
    <w:semiHidden/>
    <w:rsid w:val="00AF50F6"/>
    <w:pPr>
      <w:spacing w:before="0"/>
      <w:jc w:val="left"/>
    </w:pPr>
    <w:rPr>
      <w:rFonts w:eastAsia="Times New Roman" w:cs="Times New Roman"/>
      <w:sz w:val="20"/>
      <w:szCs w:val="20"/>
      <w:lang w:val="en-US"/>
    </w:rPr>
  </w:style>
  <w:style w:type="character" w:customStyle="1" w:styleId="FootnoteTextChar">
    <w:name w:val="Footnote Text Char"/>
    <w:basedOn w:val="DefaultParagraphFont"/>
    <w:link w:val="FootnoteText"/>
    <w:semiHidden/>
    <w:rsid w:val="00AF50F6"/>
    <w:rPr>
      <w:rFonts w:ascii="Times New Roman" w:eastAsia="Times New Roman" w:hAnsi="Times New Roman" w:cs="Times New Roman"/>
      <w:sz w:val="20"/>
      <w:szCs w:val="20"/>
    </w:rPr>
  </w:style>
  <w:style w:type="character" w:styleId="Hyperlink">
    <w:name w:val="Hyperlink"/>
    <w:basedOn w:val="DefaultParagraphFont"/>
    <w:unhideWhenUsed/>
    <w:rsid w:val="00AF50F6"/>
    <w:rPr>
      <w:color w:val="0000FF"/>
      <w:u w:val="single"/>
    </w:rPr>
  </w:style>
  <w:style w:type="table" w:styleId="TableGrid">
    <w:name w:val="Table Grid"/>
    <w:basedOn w:val="TableNormal"/>
    <w:uiPriority w:val="59"/>
    <w:rsid w:val="00AF50F6"/>
    <w:rPr>
      <w:rFonts w:eastAsiaTheme="minorHAnsi"/>
      <w:sz w:val="22"/>
      <w:szCs w:val="22"/>
      <w:lang w:val="bs-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AF50F6"/>
  </w:style>
  <w:style w:type="character" w:customStyle="1" w:styleId="Heading8Char">
    <w:name w:val="Heading 8 Char"/>
    <w:basedOn w:val="DefaultParagraphFont"/>
    <w:link w:val="Heading8"/>
    <w:semiHidden/>
    <w:rsid w:val="00F9552F"/>
    <w:rPr>
      <w:rFonts w:ascii="Times New Roman" w:eastAsia="Times New Roman" w:hAnsi="Times New Roman" w:cs="Times New Roman"/>
      <w:i/>
      <w:iCs/>
    </w:rPr>
  </w:style>
  <w:style w:type="character" w:customStyle="1" w:styleId="BodyText2Char">
    <w:name w:val="Body Text 2 Char"/>
    <w:basedOn w:val="DefaultParagraphFont"/>
    <w:link w:val="BodyText2"/>
    <w:semiHidden/>
    <w:rsid w:val="00F9552F"/>
    <w:rPr>
      <w:rFonts w:ascii="Times New Roman" w:eastAsia="Times New Roman" w:hAnsi="Times New Roman" w:cs="Times New Roman"/>
    </w:rPr>
  </w:style>
  <w:style w:type="paragraph" w:styleId="BodyText2">
    <w:name w:val="Body Text 2"/>
    <w:basedOn w:val="Normal"/>
    <w:link w:val="BodyText2Char"/>
    <w:semiHidden/>
    <w:unhideWhenUsed/>
    <w:rsid w:val="00F9552F"/>
    <w:pPr>
      <w:spacing w:before="0" w:after="120" w:line="480" w:lineRule="auto"/>
      <w:jc w:val="left"/>
    </w:pPr>
    <w:rPr>
      <w:rFonts w:eastAsia="Times New Roman" w:cs="Times New Roman"/>
      <w:lang w:val="en-US"/>
    </w:rPr>
  </w:style>
  <w:style w:type="character" w:customStyle="1" w:styleId="BodyText3Char">
    <w:name w:val="Body Text 3 Char"/>
    <w:basedOn w:val="DefaultParagraphFont"/>
    <w:link w:val="BodyText3"/>
    <w:semiHidden/>
    <w:rsid w:val="00F9552F"/>
    <w:rPr>
      <w:rFonts w:ascii="Times New Roman" w:eastAsia="Times New Roman" w:hAnsi="Times New Roman" w:cs="Times New Roman"/>
      <w:sz w:val="20"/>
      <w:szCs w:val="20"/>
      <w:lang w:val="bs-Latn-BA" w:eastAsia="bs-Latn-BA"/>
    </w:rPr>
  </w:style>
  <w:style w:type="paragraph" w:styleId="BodyText3">
    <w:name w:val="Body Text 3"/>
    <w:basedOn w:val="Normal"/>
    <w:link w:val="BodyText3Char"/>
    <w:semiHidden/>
    <w:unhideWhenUsed/>
    <w:rsid w:val="00F9552F"/>
    <w:pPr>
      <w:spacing w:before="0"/>
    </w:pPr>
    <w:rPr>
      <w:rFonts w:eastAsia="Times New Roman" w:cs="Times New Roman"/>
      <w:sz w:val="20"/>
      <w:szCs w:val="20"/>
      <w:lang w:val="bs-Latn-BA" w:eastAsia="bs-Latn-BA"/>
    </w:rPr>
  </w:style>
  <w:style w:type="character" w:customStyle="1" w:styleId="BalloonTextChar">
    <w:name w:val="Balloon Text Char"/>
    <w:basedOn w:val="DefaultParagraphFont"/>
    <w:link w:val="BalloonText"/>
    <w:semiHidden/>
    <w:rsid w:val="00F9552F"/>
    <w:rPr>
      <w:rFonts w:ascii="Tahoma" w:eastAsia="Times New Roman" w:hAnsi="Tahoma" w:cs="Times New Roman"/>
      <w:sz w:val="16"/>
      <w:szCs w:val="16"/>
      <w:lang/>
    </w:rPr>
  </w:style>
  <w:style w:type="paragraph" w:styleId="BalloonText">
    <w:name w:val="Balloon Text"/>
    <w:basedOn w:val="Normal"/>
    <w:link w:val="BalloonTextChar"/>
    <w:semiHidden/>
    <w:unhideWhenUsed/>
    <w:rsid w:val="00F9552F"/>
    <w:pPr>
      <w:spacing w:before="0"/>
      <w:jc w:val="left"/>
    </w:pPr>
    <w:rPr>
      <w:rFonts w:ascii="Tahoma" w:eastAsia="Times New Roman" w:hAnsi="Tahoma" w:cs="Times New Roman"/>
      <w:sz w:val="16"/>
      <w:szCs w:val="16"/>
      <w:lang/>
    </w:rPr>
  </w:style>
  <w:style w:type="character" w:customStyle="1" w:styleId="FontStyle27">
    <w:name w:val="Font Style27"/>
    <w:basedOn w:val="DefaultParagraphFont"/>
    <w:rsid w:val="0059733A"/>
    <w:rPr>
      <w:rFonts w:ascii="Arial Unicode MS" w:eastAsia="Arial Unicode MS" w:cs="Arial Unicode MS"/>
      <w:b/>
      <w:bCs/>
      <w:sz w:val="22"/>
      <w:szCs w:val="22"/>
    </w:rPr>
  </w:style>
  <w:style w:type="paragraph" w:customStyle="1" w:styleId="Default">
    <w:name w:val="Default"/>
    <w:rsid w:val="0059733A"/>
    <w:pPr>
      <w:autoSpaceDE w:val="0"/>
      <w:autoSpaceDN w:val="0"/>
      <w:adjustRightInd w:val="0"/>
    </w:pPr>
    <w:rPr>
      <w:rFonts w:ascii="Times New Roman" w:eastAsia="Calibri" w:hAnsi="Times New Roman" w:cs="Times New Roman"/>
      <w:color w:val="000000"/>
      <w:lang w:val="hr-HR" w:eastAsia="hr-HR"/>
    </w:rPr>
  </w:style>
  <w:style w:type="character" w:customStyle="1" w:styleId="apple-converted-space">
    <w:name w:val="apple-converted-space"/>
    <w:basedOn w:val="DefaultParagraphFont"/>
    <w:rsid w:val="0059733A"/>
  </w:style>
  <w:style w:type="paragraph" w:customStyle="1" w:styleId="Style9">
    <w:name w:val="Style9"/>
    <w:basedOn w:val="Normal"/>
    <w:rsid w:val="0059733A"/>
    <w:pPr>
      <w:widowControl w:val="0"/>
      <w:autoSpaceDE w:val="0"/>
      <w:autoSpaceDN w:val="0"/>
      <w:adjustRightInd w:val="0"/>
      <w:spacing w:before="0" w:line="418" w:lineRule="exact"/>
      <w:ind w:hanging="350"/>
    </w:pPr>
    <w:rPr>
      <w:rFonts w:ascii="Arial Unicode MS" w:eastAsia="Arial Unicode MS" w:hAnsi="Calibri" w:cs="Arial Unicode MS"/>
      <w:lang w:val="en-US"/>
    </w:rPr>
  </w:style>
  <w:style w:type="character" w:customStyle="1" w:styleId="FontStyle28">
    <w:name w:val="Font Style28"/>
    <w:basedOn w:val="DefaultParagraphFont"/>
    <w:rsid w:val="0059733A"/>
    <w:rPr>
      <w:rFonts w:ascii="Arial Unicode MS" w:eastAsia="Times New Roman" w:cs="Arial Unicode MS"/>
      <w:sz w:val="22"/>
      <w:szCs w:val="22"/>
    </w:rPr>
  </w:style>
  <w:style w:type="paragraph" w:customStyle="1" w:styleId="Style6">
    <w:name w:val="Style6"/>
    <w:basedOn w:val="Normal"/>
    <w:rsid w:val="0059733A"/>
    <w:pPr>
      <w:widowControl w:val="0"/>
      <w:autoSpaceDE w:val="0"/>
      <w:autoSpaceDN w:val="0"/>
      <w:adjustRightInd w:val="0"/>
      <w:spacing w:before="0" w:line="413" w:lineRule="exact"/>
      <w:ind w:firstLine="454"/>
    </w:pPr>
    <w:rPr>
      <w:rFonts w:ascii="Arial Unicode MS" w:eastAsia="Arial Unicode MS" w:hAnsi="Calibri" w:cs="Arial Unicode MS"/>
      <w:lang w:val="en-US"/>
    </w:rPr>
  </w:style>
  <w:style w:type="character" w:customStyle="1" w:styleId="NoSpacingChar">
    <w:name w:val="No Spacing Char"/>
    <w:link w:val="NoSpacing"/>
    <w:rsid w:val="0059733A"/>
    <w:rPr>
      <w:rFonts w:ascii="Times New Roman" w:hAnsi="Times New Roman"/>
      <w:lang w:val="en-GB"/>
    </w:rPr>
  </w:style>
  <w:style w:type="paragraph" w:styleId="Caption">
    <w:name w:val="caption"/>
    <w:basedOn w:val="Normal"/>
    <w:next w:val="Normal"/>
    <w:qFormat/>
    <w:rsid w:val="0059733A"/>
    <w:pPr>
      <w:spacing w:before="120"/>
      <w:ind w:firstLine="567"/>
    </w:pPr>
    <w:rPr>
      <w:rFonts w:ascii="Calibri" w:eastAsia="Times New Roman" w:hAnsi="Calibri" w:cs="Times New Roman"/>
      <w:b/>
      <w:bCs/>
      <w:szCs w:val="22"/>
      <w:lang w:val="en-US"/>
    </w:rPr>
  </w:style>
  <w:style w:type="paragraph" w:customStyle="1" w:styleId="Style22">
    <w:name w:val="Style22"/>
    <w:basedOn w:val="Normal"/>
    <w:rsid w:val="0059733A"/>
    <w:pPr>
      <w:widowControl w:val="0"/>
      <w:autoSpaceDE w:val="0"/>
      <w:autoSpaceDN w:val="0"/>
      <w:adjustRightInd w:val="0"/>
      <w:spacing w:before="0" w:line="240" w:lineRule="exact"/>
      <w:ind w:hanging="264"/>
    </w:pPr>
    <w:rPr>
      <w:rFonts w:ascii="Franklin Gothic Demi" w:eastAsia="Times New Roman" w:hAnsi="Franklin Gothic Demi" w:cs="Times New Roman"/>
      <w:lang w:val="en-US"/>
    </w:rPr>
  </w:style>
  <w:style w:type="character" w:customStyle="1" w:styleId="FontStyle495">
    <w:name w:val="Font Style495"/>
    <w:basedOn w:val="DefaultParagraphFont"/>
    <w:rsid w:val="0059733A"/>
    <w:rPr>
      <w:rFonts w:ascii="Franklin Gothic Demi" w:hAnsi="Franklin Gothic Demi" w:cs="Franklin Gothic Demi"/>
      <w:sz w:val="16"/>
      <w:szCs w:val="16"/>
    </w:rPr>
  </w:style>
  <w:style w:type="character" w:customStyle="1" w:styleId="st">
    <w:name w:val="st"/>
    <w:basedOn w:val="DefaultParagraphFont"/>
    <w:rsid w:val="0059733A"/>
  </w:style>
  <w:style w:type="character" w:styleId="Emphasis">
    <w:name w:val="Emphasis"/>
    <w:basedOn w:val="DefaultParagraphFont"/>
    <w:uiPriority w:val="20"/>
    <w:qFormat/>
    <w:rsid w:val="0059733A"/>
    <w:rPr>
      <w:i/>
      <w:iCs/>
    </w:rPr>
  </w:style>
  <w:style w:type="paragraph" w:styleId="NormalWeb">
    <w:name w:val="Normal (Web)"/>
    <w:basedOn w:val="Normal"/>
    <w:uiPriority w:val="99"/>
    <w:rsid w:val="0059733A"/>
    <w:pPr>
      <w:spacing w:before="100" w:beforeAutospacing="1" w:after="100" w:afterAutospacing="1"/>
      <w:ind w:firstLine="454"/>
    </w:pPr>
    <w:rPr>
      <w:rFonts w:eastAsia="Times New Roman" w:cs="Times New Roman"/>
      <w:lang w:val="hr-HR" w:eastAsia="hr-HR"/>
    </w:rPr>
  </w:style>
  <w:style w:type="character" w:customStyle="1" w:styleId="FontStyle669">
    <w:name w:val="Font Style669"/>
    <w:basedOn w:val="DefaultParagraphFont"/>
    <w:rsid w:val="0059733A"/>
    <w:rPr>
      <w:rFonts w:ascii="Calibri" w:hAnsi="Calibri" w:cs="Calibri"/>
      <w:b/>
      <w:bCs/>
      <w:sz w:val="18"/>
      <w:szCs w:val="18"/>
    </w:rPr>
  </w:style>
  <w:style w:type="character" w:customStyle="1" w:styleId="skimlinks-unlinked">
    <w:name w:val="skimlinks-unlinked"/>
    <w:basedOn w:val="DefaultParagraphFont"/>
    <w:rsid w:val="0059733A"/>
  </w:style>
  <w:style w:type="character" w:customStyle="1" w:styleId="CharChar">
    <w:name w:val="Char Char"/>
    <w:basedOn w:val="DefaultParagraphFont"/>
    <w:rsid w:val="0059733A"/>
    <w:rPr>
      <w:sz w:val="24"/>
      <w:szCs w:val="24"/>
      <w:lang w:val="hr-HR" w:eastAsia="hr-HR" w:bidi="ar-SA"/>
    </w:rPr>
  </w:style>
  <w:style w:type="character" w:customStyle="1" w:styleId="FontStyle675">
    <w:name w:val="Font Style675"/>
    <w:basedOn w:val="DefaultParagraphFont"/>
    <w:rsid w:val="0059733A"/>
    <w:rPr>
      <w:rFonts w:ascii="Calibri" w:hAnsi="Calibri" w:cs="Calibri"/>
      <w:sz w:val="18"/>
      <w:szCs w:val="18"/>
    </w:rPr>
  </w:style>
  <w:style w:type="character" w:customStyle="1" w:styleId="FontStyle494">
    <w:name w:val="Font Style494"/>
    <w:basedOn w:val="DefaultParagraphFont"/>
    <w:rsid w:val="0059733A"/>
    <w:rPr>
      <w:rFonts w:ascii="Franklin Gothic Demi" w:hAnsi="Franklin Gothic Demi" w:cs="Franklin Gothic Demi"/>
      <w:b/>
      <w:bCs/>
      <w:sz w:val="18"/>
      <w:szCs w:val="18"/>
    </w:rPr>
  </w:style>
  <w:style w:type="paragraph" w:customStyle="1" w:styleId="Style1">
    <w:name w:val="Style1"/>
    <w:basedOn w:val="NoSpacing"/>
    <w:link w:val="Style1Char"/>
    <w:qFormat/>
    <w:rsid w:val="0059733A"/>
    <w:pPr>
      <w:jc w:val="left"/>
    </w:pPr>
    <w:rPr>
      <w:rFonts w:eastAsia="Times New Roman" w:cs="Times New Roman"/>
      <w:sz w:val="10"/>
      <w:szCs w:val="22"/>
      <w:lang w:val="hr-HR" w:eastAsia="hr-HR"/>
    </w:rPr>
  </w:style>
  <w:style w:type="character" w:customStyle="1" w:styleId="Style1Char">
    <w:name w:val="Style1 Char"/>
    <w:basedOn w:val="NoSpacingChar"/>
    <w:link w:val="Style1"/>
    <w:rsid w:val="0059733A"/>
    <w:rPr>
      <w:rFonts w:ascii="Times New Roman" w:eastAsia="Times New Roman" w:hAnsi="Times New Roman" w:cs="Times New Roman"/>
      <w:sz w:val="10"/>
      <w:szCs w:val="22"/>
      <w:lang w:val="hr-HR" w:eastAsia="hr-HR"/>
    </w:rPr>
  </w:style>
  <w:style w:type="character" w:styleId="Strong">
    <w:name w:val="Strong"/>
    <w:basedOn w:val="DefaultParagraphFont"/>
    <w:uiPriority w:val="22"/>
    <w:qFormat/>
    <w:rsid w:val="0059733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5E6"/>
    <w:pPr>
      <w:spacing w:before="240"/>
      <w:jc w:val="both"/>
    </w:pPr>
    <w:rPr>
      <w:rFonts w:ascii="Times New Roman" w:hAnsi="Times New Roman"/>
      <w:lang w:val="en-GB"/>
    </w:rPr>
  </w:style>
  <w:style w:type="paragraph" w:styleId="Heading1">
    <w:name w:val="heading 1"/>
    <w:basedOn w:val="Normal"/>
    <w:next w:val="Normal"/>
    <w:link w:val="Heading1Char"/>
    <w:qFormat/>
    <w:rsid w:val="009E5613"/>
    <w:pPr>
      <w:keepNext/>
      <w:keepLines/>
      <w:spacing w:before="480" w:after="240"/>
      <w:ind w:left="360" w:hanging="360"/>
      <w:jc w:val="left"/>
      <w:outlineLvl w:val="0"/>
    </w:pPr>
    <w:rPr>
      <w:rFonts w:asciiTheme="minorHAnsi" w:eastAsiaTheme="majorEastAsia" w:hAnsiTheme="minorHAnsi" w:cstheme="majorBidi"/>
      <w:b/>
      <w:bCs/>
      <w:lang w:val="en-US"/>
    </w:rPr>
  </w:style>
  <w:style w:type="paragraph" w:styleId="Heading2">
    <w:name w:val="heading 2"/>
    <w:basedOn w:val="Normal"/>
    <w:next w:val="Normal"/>
    <w:link w:val="Heading2Char"/>
    <w:autoRedefine/>
    <w:uiPriority w:val="9"/>
    <w:unhideWhenUsed/>
    <w:qFormat/>
    <w:rsid w:val="00122BE1"/>
    <w:pPr>
      <w:keepNext/>
      <w:keepLines/>
      <w:numPr>
        <w:numId w:val="1"/>
      </w:numPr>
      <w:spacing w:before="200"/>
      <w:ind w:left="360"/>
      <w:outlineLvl w:val="1"/>
    </w:pPr>
    <w:rPr>
      <w:rFonts w:eastAsiaTheme="majorEastAsia" w:cstheme="majorBidi"/>
      <w:b/>
      <w:bCs/>
      <w:szCs w:val="26"/>
    </w:rPr>
  </w:style>
  <w:style w:type="paragraph" w:styleId="Heading8">
    <w:name w:val="heading 8"/>
    <w:basedOn w:val="Normal"/>
    <w:next w:val="Normal"/>
    <w:link w:val="Heading8Char"/>
    <w:semiHidden/>
    <w:unhideWhenUsed/>
    <w:qFormat/>
    <w:rsid w:val="00F9552F"/>
    <w:pPr>
      <w:spacing w:after="60"/>
      <w:jc w:val="left"/>
      <w:outlineLvl w:val="7"/>
    </w:pPr>
    <w:rPr>
      <w:rFonts w:eastAsia="Times New Roman" w:cs="Times New Roman"/>
      <w:i/>
      <w:i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5613"/>
    <w:rPr>
      <w:rFonts w:eastAsiaTheme="majorEastAsia" w:cstheme="majorBidi"/>
      <w:b/>
      <w:bCs/>
    </w:rPr>
  </w:style>
  <w:style w:type="character" w:customStyle="1" w:styleId="Heading2Char">
    <w:name w:val="Heading 2 Char"/>
    <w:basedOn w:val="DefaultParagraphFont"/>
    <w:link w:val="Heading2"/>
    <w:uiPriority w:val="9"/>
    <w:rsid w:val="00122BE1"/>
    <w:rPr>
      <w:rFonts w:ascii="Times New Roman" w:eastAsiaTheme="majorEastAsia" w:hAnsi="Times New Roman" w:cstheme="majorBidi"/>
      <w:b/>
      <w:bCs/>
      <w:szCs w:val="26"/>
      <w:lang w:val="en-GB"/>
    </w:rPr>
  </w:style>
  <w:style w:type="paragraph" w:customStyle="1" w:styleId="Paragraph">
    <w:name w:val="Paragraph"/>
    <w:basedOn w:val="Normal"/>
    <w:next w:val="Normal"/>
    <w:qFormat/>
    <w:rsid w:val="00F072CD"/>
    <w:rPr>
      <w:lang w:val="en-US"/>
    </w:rPr>
  </w:style>
  <w:style w:type="paragraph" w:customStyle="1" w:styleId="IndentedQuote">
    <w:name w:val="Indented Quote"/>
    <w:basedOn w:val="Normal"/>
    <w:qFormat/>
    <w:rsid w:val="00EF1F1A"/>
    <w:pPr>
      <w:widowControl w:val="0"/>
      <w:autoSpaceDE w:val="0"/>
      <w:autoSpaceDN w:val="0"/>
      <w:adjustRightInd w:val="0"/>
      <w:ind w:left="720"/>
      <w:jc w:val="left"/>
    </w:pPr>
    <w:rPr>
      <w:rFonts w:cs="Times New Roman"/>
      <w:lang w:val="en-US"/>
    </w:rPr>
  </w:style>
  <w:style w:type="paragraph" w:styleId="ListParagraph">
    <w:name w:val="List Paragraph"/>
    <w:basedOn w:val="Normal"/>
    <w:qFormat/>
    <w:rsid w:val="00681B0D"/>
    <w:pPr>
      <w:ind w:left="720"/>
      <w:contextualSpacing/>
      <w:jc w:val="left"/>
    </w:pPr>
    <w:rPr>
      <w:lang w:val="en-US"/>
    </w:rPr>
  </w:style>
  <w:style w:type="paragraph" w:styleId="Quote">
    <w:name w:val="Quote"/>
    <w:basedOn w:val="Normal"/>
    <w:next w:val="Normal"/>
    <w:link w:val="QuoteChar"/>
    <w:autoRedefine/>
    <w:uiPriority w:val="29"/>
    <w:qFormat/>
    <w:rsid w:val="007A3EFC"/>
    <w:pPr>
      <w:ind w:left="720"/>
    </w:pPr>
    <w:rPr>
      <w:iCs/>
      <w:color w:val="000000" w:themeColor="text1"/>
      <w:sz w:val="22"/>
      <w:lang w:val="en-US"/>
    </w:rPr>
  </w:style>
  <w:style w:type="character" w:customStyle="1" w:styleId="QuoteChar">
    <w:name w:val="Quote Char"/>
    <w:basedOn w:val="DefaultParagraphFont"/>
    <w:link w:val="Quote"/>
    <w:uiPriority w:val="29"/>
    <w:rsid w:val="007A3EFC"/>
    <w:rPr>
      <w:rFonts w:ascii="Times New Roman" w:hAnsi="Times New Roman"/>
      <w:iCs/>
      <w:color w:val="000000" w:themeColor="text1"/>
      <w:sz w:val="22"/>
    </w:rPr>
  </w:style>
  <w:style w:type="paragraph" w:styleId="Header">
    <w:name w:val="header"/>
    <w:basedOn w:val="Normal"/>
    <w:link w:val="HeaderChar"/>
    <w:uiPriority w:val="99"/>
    <w:unhideWhenUsed/>
    <w:rsid w:val="00210BE9"/>
    <w:pPr>
      <w:tabs>
        <w:tab w:val="center" w:pos="4320"/>
        <w:tab w:val="right" w:pos="8640"/>
      </w:tabs>
      <w:spacing w:before="0"/>
    </w:pPr>
  </w:style>
  <w:style w:type="character" w:customStyle="1" w:styleId="HeaderChar">
    <w:name w:val="Header Char"/>
    <w:basedOn w:val="DefaultParagraphFont"/>
    <w:link w:val="Header"/>
    <w:uiPriority w:val="99"/>
    <w:rsid w:val="00210BE9"/>
    <w:rPr>
      <w:rFonts w:ascii="Times New Roman" w:hAnsi="Times New Roman"/>
      <w:lang w:val="en-GB"/>
    </w:rPr>
  </w:style>
  <w:style w:type="paragraph" w:styleId="Footer">
    <w:name w:val="footer"/>
    <w:basedOn w:val="Normal"/>
    <w:link w:val="FooterChar"/>
    <w:unhideWhenUsed/>
    <w:rsid w:val="00210BE9"/>
    <w:pPr>
      <w:tabs>
        <w:tab w:val="center" w:pos="4320"/>
        <w:tab w:val="right" w:pos="8640"/>
      </w:tabs>
      <w:spacing w:before="0"/>
    </w:pPr>
  </w:style>
  <w:style w:type="character" w:customStyle="1" w:styleId="FooterChar">
    <w:name w:val="Footer Char"/>
    <w:basedOn w:val="DefaultParagraphFont"/>
    <w:link w:val="Footer"/>
    <w:rsid w:val="00210BE9"/>
    <w:rPr>
      <w:rFonts w:ascii="Times New Roman" w:hAnsi="Times New Roman"/>
      <w:lang w:val="en-GB"/>
    </w:rPr>
  </w:style>
  <w:style w:type="character" w:styleId="PageNumber">
    <w:name w:val="page number"/>
    <w:basedOn w:val="DefaultParagraphFont"/>
    <w:unhideWhenUsed/>
    <w:rsid w:val="00CC44D2"/>
  </w:style>
  <w:style w:type="paragraph" w:styleId="TOC1">
    <w:name w:val="toc 1"/>
    <w:basedOn w:val="Normal"/>
    <w:next w:val="Normal"/>
    <w:autoRedefine/>
    <w:uiPriority w:val="39"/>
    <w:unhideWhenUsed/>
    <w:rsid w:val="00CC44D2"/>
  </w:style>
  <w:style w:type="paragraph" w:styleId="TOC2">
    <w:name w:val="toc 2"/>
    <w:basedOn w:val="Normal"/>
    <w:next w:val="Normal"/>
    <w:autoRedefine/>
    <w:uiPriority w:val="39"/>
    <w:unhideWhenUsed/>
    <w:rsid w:val="00CC44D2"/>
    <w:pPr>
      <w:ind w:left="240"/>
    </w:pPr>
  </w:style>
  <w:style w:type="paragraph" w:styleId="TOC3">
    <w:name w:val="toc 3"/>
    <w:basedOn w:val="Normal"/>
    <w:next w:val="Normal"/>
    <w:autoRedefine/>
    <w:uiPriority w:val="39"/>
    <w:unhideWhenUsed/>
    <w:rsid w:val="00CC44D2"/>
    <w:pPr>
      <w:ind w:left="480"/>
    </w:pPr>
  </w:style>
  <w:style w:type="paragraph" w:styleId="TOC4">
    <w:name w:val="toc 4"/>
    <w:basedOn w:val="Normal"/>
    <w:next w:val="Normal"/>
    <w:autoRedefine/>
    <w:uiPriority w:val="39"/>
    <w:unhideWhenUsed/>
    <w:rsid w:val="00CC44D2"/>
    <w:pPr>
      <w:ind w:left="720"/>
    </w:pPr>
  </w:style>
  <w:style w:type="paragraph" w:styleId="TOC5">
    <w:name w:val="toc 5"/>
    <w:basedOn w:val="Normal"/>
    <w:next w:val="Normal"/>
    <w:autoRedefine/>
    <w:uiPriority w:val="39"/>
    <w:unhideWhenUsed/>
    <w:rsid w:val="00CC44D2"/>
    <w:pPr>
      <w:ind w:left="960"/>
    </w:pPr>
  </w:style>
  <w:style w:type="paragraph" w:styleId="TOC6">
    <w:name w:val="toc 6"/>
    <w:basedOn w:val="Normal"/>
    <w:next w:val="Normal"/>
    <w:autoRedefine/>
    <w:uiPriority w:val="39"/>
    <w:unhideWhenUsed/>
    <w:rsid w:val="00CC44D2"/>
    <w:pPr>
      <w:ind w:left="1200"/>
    </w:pPr>
  </w:style>
  <w:style w:type="paragraph" w:styleId="TOC7">
    <w:name w:val="toc 7"/>
    <w:basedOn w:val="Normal"/>
    <w:next w:val="Normal"/>
    <w:autoRedefine/>
    <w:uiPriority w:val="39"/>
    <w:unhideWhenUsed/>
    <w:rsid w:val="00CC44D2"/>
    <w:pPr>
      <w:ind w:left="1440"/>
    </w:pPr>
  </w:style>
  <w:style w:type="paragraph" w:styleId="TOC8">
    <w:name w:val="toc 8"/>
    <w:basedOn w:val="Normal"/>
    <w:next w:val="Normal"/>
    <w:autoRedefine/>
    <w:uiPriority w:val="39"/>
    <w:unhideWhenUsed/>
    <w:rsid w:val="00CC44D2"/>
    <w:pPr>
      <w:ind w:left="1680"/>
    </w:pPr>
  </w:style>
  <w:style w:type="paragraph" w:styleId="TOC9">
    <w:name w:val="toc 9"/>
    <w:basedOn w:val="Normal"/>
    <w:next w:val="Normal"/>
    <w:autoRedefine/>
    <w:uiPriority w:val="39"/>
    <w:unhideWhenUsed/>
    <w:rsid w:val="00CC44D2"/>
    <w:pPr>
      <w:ind w:left="1920"/>
    </w:pPr>
  </w:style>
  <w:style w:type="paragraph" w:styleId="BodyText">
    <w:name w:val="Body Text"/>
    <w:basedOn w:val="Normal"/>
    <w:link w:val="BodyTextChar"/>
    <w:rsid w:val="00267AD3"/>
    <w:pPr>
      <w:spacing w:before="0"/>
    </w:pPr>
    <w:rPr>
      <w:rFonts w:eastAsia="Times New Roman" w:cs="Times New Roman"/>
      <w:szCs w:val="20"/>
      <w:lang w:val="sr-Latn-CS"/>
    </w:rPr>
  </w:style>
  <w:style w:type="character" w:customStyle="1" w:styleId="BodyTextChar">
    <w:name w:val="Body Text Char"/>
    <w:basedOn w:val="DefaultParagraphFont"/>
    <w:link w:val="BodyText"/>
    <w:rsid w:val="00267AD3"/>
    <w:rPr>
      <w:rFonts w:ascii="Times New Roman" w:eastAsia="Times New Roman" w:hAnsi="Times New Roman" w:cs="Times New Roman"/>
      <w:szCs w:val="20"/>
      <w:lang w:val="sr-Latn-CS"/>
    </w:rPr>
  </w:style>
  <w:style w:type="character" w:styleId="FootnoteReference">
    <w:name w:val="footnote reference"/>
    <w:semiHidden/>
    <w:rsid w:val="00267AD3"/>
    <w:rPr>
      <w:vertAlign w:val="superscript"/>
    </w:rPr>
  </w:style>
  <w:style w:type="paragraph" w:styleId="NoSpacing">
    <w:name w:val="No Spacing"/>
    <w:link w:val="NoSpacingChar"/>
    <w:qFormat/>
    <w:rsid w:val="00267AD3"/>
    <w:pPr>
      <w:jc w:val="both"/>
    </w:pPr>
    <w:rPr>
      <w:rFonts w:ascii="Times New Roman" w:hAnsi="Times New Roman"/>
      <w:lang w:val="en-GB"/>
    </w:rPr>
  </w:style>
  <w:style w:type="paragraph" w:styleId="FootnoteText">
    <w:name w:val="footnote text"/>
    <w:basedOn w:val="Normal"/>
    <w:link w:val="FootnoteTextChar"/>
    <w:semiHidden/>
    <w:rsid w:val="00AF50F6"/>
    <w:pPr>
      <w:spacing w:before="0"/>
      <w:jc w:val="left"/>
    </w:pPr>
    <w:rPr>
      <w:rFonts w:eastAsia="Times New Roman" w:cs="Times New Roman"/>
      <w:sz w:val="20"/>
      <w:szCs w:val="20"/>
      <w:lang w:val="en-US"/>
    </w:rPr>
  </w:style>
  <w:style w:type="character" w:customStyle="1" w:styleId="FootnoteTextChar">
    <w:name w:val="Footnote Text Char"/>
    <w:basedOn w:val="DefaultParagraphFont"/>
    <w:link w:val="FootnoteText"/>
    <w:semiHidden/>
    <w:rsid w:val="00AF50F6"/>
    <w:rPr>
      <w:rFonts w:ascii="Times New Roman" w:eastAsia="Times New Roman" w:hAnsi="Times New Roman" w:cs="Times New Roman"/>
      <w:sz w:val="20"/>
      <w:szCs w:val="20"/>
    </w:rPr>
  </w:style>
  <w:style w:type="character" w:styleId="Hyperlink">
    <w:name w:val="Hyperlink"/>
    <w:basedOn w:val="DefaultParagraphFont"/>
    <w:unhideWhenUsed/>
    <w:rsid w:val="00AF50F6"/>
    <w:rPr>
      <w:color w:val="0000FF"/>
      <w:u w:val="single"/>
    </w:rPr>
  </w:style>
  <w:style w:type="table" w:styleId="TableGrid">
    <w:name w:val="Table Grid"/>
    <w:basedOn w:val="TableNormal"/>
    <w:uiPriority w:val="59"/>
    <w:rsid w:val="00AF50F6"/>
    <w:rPr>
      <w:rFonts w:eastAsiaTheme="minorHAnsi"/>
      <w:sz w:val="22"/>
      <w:szCs w:val="22"/>
      <w:lang w:val="bs-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AF50F6"/>
  </w:style>
  <w:style w:type="character" w:customStyle="1" w:styleId="Heading8Char">
    <w:name w:val="Heading 8 Char"/>
    <w:basedOn w:val="DefaultParagraphFont"/>
    <w:link w:val="Heading8"/>
    <w:semiHidden/>
    <w:rsid w:val="00F9552F"/>
    <w:rPr>
      <w:rFonts w:ascii="Times New Roman" w:eastAsia="Times New Roman" w:hAnsi="Times New Roman" w:cs="Times New Roman"/>
      <w:i/>
      <w:iCs/>
    </w:rPr>
  </w:style>
  <w:style w:type="character" w:customStyle="1" w:styleId="BodyText2Char">
    <w:name w:val="Body Text 2 Char"/>
    <w:basedOn w:val="DefaultParagraphFont"/>
    <w:link w:val="BodyText2"/>
    <w:semiHidden/>
    <w:rsid w:val="00F9552F"/>
    <w:rPr>
      <w:rFonts w:ascii="Times New Roman" w:eastAsia="Times New Roman" w:hAnsi="Times New Roman" w:cs="Times New Roman"/>
    </w:rPr>
  </w:style>
  <w:style w:type="paragraph" w:styleId="BodyText2">
    <w:name w:val="Body Text 2"/>
    <w:basedOn w:val="Normal"/>
    <w:link w:val="BodyText2Char"/>
    <w:semiHidden/>
    <w:unhideWhenUsed/>
    <w:rsid w:val="00F9552F"/>
    <w:pPr>
      <w:spacing w:before="0" w:after="120" w:line="480" w:lineRule="auto"/>
      <w:jc w:val="left"/>
    </w:pPr>
    <w:rPr>
      <w:rFonts w:eastAsia="Times New Roman" w:cs="Times New Roman"/>
      <w:lang w:val="en-US"/>
    </w:rPr>
  </w:style>
  <w:style w:type="character" w:customStyle="1" w:styleId="BodyText3Char">
    <w:name w:val="Body Text 3 Char"/>
    <w:basedOn w:val="DefaultParagraphFont"/>
    <w:link w:val="BodyText3"/>
    <w:semiHidden/>
    <w:rsid w:val="00F9552F"/>
    <w:rPr>
      <w:rFonts w:ascii="Times New Roman" w:eastAsia="Times New Roman" w:hAnsi="Times New Roman" w:cs="Times New Roman"/>
      <w:sz w:val="20"/>
      <w:szCs w:val="20"/>
      <w:lang w:val="bs-Latn-BA" w:eastAsia="bs-Latn-BA"/>
    </w:rPr>
  </w:style>
  <w:style w:type="paragraph" w:styleId="BodyText3">
    <w:name w:val="Body Text 3"/>
    <w:basedOn w:val="Normal"/>
    <w:link w:val="BodyText3Char"/>
    <w:semiHidden/>
    <w:unhideWhenUsed/>
    <w:rsid w:val="00F9552F"/>
    <w:pPr>
      <w:spacing w:before="0"/>
    </w:pPr>
    <w:rPr>
      <w:rFonts w:eastAsia="Times New Roman" w:cs="Times New Roman"/>
      <w:sz w:val="20"/>
      <w:szCs w:val="20"/>
      <w:lang w:val="bs-Latn-BA" w:eastAsia="bs-Latn-BA"/>
    </w:rPr>
  </w:style>
  <w:style w:type="character" w:customStyle="1" w:styleId="BalloonTextChar">
    <w:name w:val="Balloon Text Char"/>
    <w:basedOn w:val="DefaultParagraphFont"/>
    <w:link w:val="BalloonText"/>
    <w:semiHidden/>
    <w:rsid w:val="00F9552F"/>
    <w:rPr>
      <w:rFonts w:ascii="Tahoma" w:eastAsia="Times New Roman" w:hAnsi="Tahoma" w:cs="Times New Roman"/>
      <w:sz w:val="16"/>
      <w:szCs w:val="16"/>
      <w:lang w:val="x-none" w:eastAsia="x-none"/>
    </w:rPr>
  </w:style>
  <w:style w:type="paragraph" w:styleId="BalloonText">
    <w:name w:val="Balloon Text"/>
    <w:basedOn w:val="Normal"/>
    <w:link w:val="BalloonTextChar"/>
    <w:semiHidden/>
    <w:unhideWhenUsed/>
    <w:rsid w:val="00F9552F"/>
    <w:pPr>
      <w:spacing w:before="0"/>
      <w:jc w:val="left"/>
    </w:pPr>
    <w:rPr>
      <w:rFonts w:ascii="Tahoma" w:eastAsia="Times New Roman" w:hAnsi="Tahoma" w:cs="Times New Roman"/>
      <w:sz w:val="16"/>
      <w:szCs w:val="16"/>
      <w:lang w:val="x-none" w:eastAsia="x-none"/>
    </w:rPr>
  </w:style>
  <w:style w:type="character" w:customStyle="1" w:styleId="FontStyle27">
    <w:name w:val="Font Style27"/>
    <w:basedOn w:val="DefaultParagraphFont"/>
    <w:rsid w:val="0059733A"/>
    <w:rPr>
      <w:rFonts w:ascii="Arial Unicode MS" w:eastAsia="Arial Unicode MS" w:cs="Arial Unicode MS"/>
      <w:b/>
      <w:bCs/>
      <w:sz w:val="22"/>
      <w:szCs w:val="22"/>
    </w:rPr>
  </w:style>
  <w:style w:type="paragraph" w:customStyle="1" w:styleId="Default">
    <w:name w:val="Default"/>
    <w:rsid w:val="0059733A"/>
    <w:pPr>
      <w:autoSpaceDE w:val="0"/>
      <w:autoSpaceDN w:val="0"/>
      <w:adjustRightInd w:val="0"/>
    </w:pPr>
    <w:rPr>
      <w:rFonts w:ascii="Times New Roman" w:eastAsia="Calibri" w:hAnsi="Times New Roman" w:cs="Times New Roman"/>
      <w:color w:val="000000"/>
      <w:lang w:val="hr-HR" w:eastAsia="hr-HR"/>
    </w:rPr>
  </w:style>
  <w:style w:type="character" w:customStyle="1" w:styleId="apple-converted-space">
    <w:name w:val="apple-converted-space"/>
    <w:basedOn w:val="DefaultParagraphFont"/>
    <w:rsid w:val="0059733A"/>
  </w:style>
  <w:style w:type="paragraph" w:customStyle="1" w:styleId="Style9">
    <w:name w:val="Style9"/>
    <w:basedOn w:val="Normal"/>
    <w:rsid w:val="0059733A"/>
    <w:pPr>
      <w:widowControl w:val="0"/>
      <w:autoSpaceDE w:val="0"/>
      <w:autoSpaceDN w:val="0"/>
      <w:adjustRightInd w:val="0"/>
      <w:spacing w:before="0" w:line="418" w:lineRule="exact"/>
      <w:ind w:hanging="350"/>
    </w:pPr>
    <w:rPr>
      <w:rFonts w:ascii="Arial Unicode MS" w:eastAsia="Arial Unicode MS" w:hAnsi="Calibri" w:cs="Arial Unicode MS"/>
      <w:lang w:val="en-US"/>
    </w:rPr>
  </w:style>
  <w:style w:type="character" w:customStyle="1" w:styleId="FontStyle28">
    <w:name w:val="Font Style28"/>
    <w:basedOn w:val="DefaultParagraphFont"/>
    <w:rsid w:val="0059733A"/>
    <w:rPr>
      <w:rFonts w:ascii="Arial Unicode MS" w:eastAsia="Times New Roman" w:cs="Arial Unicode MS"/>
      <w:sz w:val="22"/>
      <w:szCs w:val="22"/>
    </w:rPr>
  </w:style>
  <w:style w:type="paragraph" w:customStyle="1" w:styleId="Style6">
    <w:name w:val="Style6"/>
    <w:basedOn w:val="Normal"/>
    <w:rsid w:val="0059733A"/>
    <w:pPr>
      <w:widowControl w:val="0"/>
      <w:autoSpaceDE w:val="0"/>
      <w:autoSpaceDN w:val="0"/>
      <w:adjustRightInd w:val="0"/>
      <w:spacing w:before="0" w:line="413" w:lineRule="exact"/>
      <w:ind w:firstLine="454"/>
    </w:pPr>
    <w:rPr>
      <w:rFonts w:ascii="Arial Unicode MS" w:eastAsia="Arial Unicode MS" w:hAnsi="Calibri" w:cs="Arial Unicode MS"/>
      <w:lang w:val="en-US"/>
    </w:rPr>
  </w:style>
  <w:style w:type="character" w:customStyle="1" w:styleId="NoSpacingChar">
    <w:name w:val="No Spacing Char"/>
    <w:link w:val="NoSpacing"/>
    <w:rsid w:val="0059733A"/>
    <w:rPr>
      <w:rFonts w:ascii="Times New Roman" w:hAnsi="Times New Roman"/>
      <w:lang w:val="en-GB"/>
    </w:rPr>
  </w:style>
  <w:style w:type="paragraph" w:styleId="Caption">
    <w:name w:val="caption"/>
    <w:basedOn w:val="Normal"/>
    <w:next w:val="Normal"/>
    <w:qFormat/>
    <w:rsid w:val="0059733A"/>
    <w:pPr>
      <w:spacing w:before="120"/>
      <w:ind w:firstLine="567"/>
    </w:pPr>
    <w:rPr>
      <w:rFonts w:ascii="Calibri" w:eastAsia="Times New Roman" w:hAnsi="Calibri" w:cs="Times New Roman"/>
      <w:b/>
      <w:bCs/>
      <w:szCs w:val="22"/>
      <w:lang w:val="en-US"/>
    </w:rPr>
  </w:style>
  <w:style w:type="paragraph" w:customStyle="1" w:styleId="Style22">
    <w:name w:val="Style22"/>
    <w:basedOn w:val="Normal"/>
    <w:rsid w:val="0059733A"/>
    <w:pPr>
      <w:widowControl w:val="0"/>
      <w:autoSpaceDE w:val="0"/>
      <w:autoSpaceDN w:val="0"/>
      <w:adjustRightInd w:val="0"/>
      <w:spacing w:before="0" w:line="240" w:lineRule="exact"/>
      <w:ind w:hanging="264"/>
    </w:pPr>
    <w:rPr>
      <w:rFonts w:ascii="Franklin Gothic Demi" w:eastAsia="Times New Roman" w:hAnsi="Franklin Gothic Demi" w:cs="Times New Roman"/>
      <w:lang w:val="en-US"/>
    </w:rPr>
  </w:style>
  <w:style w:type="character" w:customStyle="1" w:styleId="FontStyle495">
    <w:name w:val="Font Style495"/>
    <w:basedOn w:val="DefaultParagraphFont"/>
    <w:rsid w:val="0059733A"/>
    <w:rPr>
      <w:rFonts w:ascii="Franklin Gothic Demi" w:hAnsi="Franklin Gothic Demi" w:cs="Franklin Gothic Demi"/>
      <w:sz w:val="16"/>
      <w:szCs w:val="16"/>
    </w:rPr>
  </w:style>
  <w:style w:type="character" w:customStyle="1" w:styleId="st">
    <w:name w:val="st"/>
    <w:basedOn w:val="DefaultParagraphFont"/>
    <w:rsid w:val="0059733A"/>
  </w:style>
  <w:style w:type="character" w:styleId="Emphasis">
    <w:name w:val="Emphasis"/>
    <w:basedOn w:val="DefaultParagraphFont"/>
    <w:uiPriority w:val="20"/>
    <w:qFormat/>
    <w:rsid w:val="0059733A"/>
    <w:rPr>
      <w:i/>
      <w:iCs/>
    </w:rPr>
  </w:style>
  <w:style w:type="paragraph" w:styleId="NormalWeb">
    <w:name w:val="Normal (Web)"/>
    <w:basedOn w:val="Normal"/>
    <w:uiPriority w:val="99"/>
    <w:rsid w:val="0059733A"/>
    <w:pPr>
      <w:spacing w:before="100" w:beforeAutospacing="1" w:after="100" w:afterAutospacing="1"/>
      <w:ind w:firstLine="454"/>
    </w:pPr>
    <w:rPr>
      <w:rFonts w:eastAsia="Times New Roman" w:cs="Times New Roman"/>
      <w:lang w:val="hr-HR" w:eastAsia="hr-HR"/>
    </w:rPr>
  </w:style>
  <w:style w:type="character" w:customStyle="1" w:styleId="FontStyle669">
    <w:name w:val="Font Style669"/>
    <w:basedOn w:val="DefaultParagraphFont"/>
    <w:rsid w:val="0059733A"/>
    <w:rPr>
      <w:rFonts w:ascii="Calibri" w:hAnsi="Calibri" w:cs="Calibri"/>
      <w:b/>
      <w:bCs/>
      <w:sz w:val="18"/>
      <w:szCs w:val="18"/>
    </w:rPr>
  </w:style>
  <w:style w:type="character" w:customStyle="1" w:styleId="skimlinks-unlinked">
    <w:name w:val="skimlinks-unlinked"/>
    <w:basedOn w:val="DefaultParagraphFont"/>
    <w:rsid w:val="0059733A"/>
  </w:style>
  <w:style w:type="character" w:customStyle="1" w:styleId="CharChar">
    <w:name w:val="Char Char"/>
    <w:basedOn w:val="DefaultParagraphFont"/>
    <w:rsid w:val="0059733A"/>
    <w:rPr>
      <w:sz w:val="24"/>
      <w:szCs w:val="24"/>
      <w:lang w:val="hr-HR" w:eastAsia="hr-HR" w:bidi="ar-SA"/>
    </w:rPr>
  </w:style>
  <w:style w:type="character" w:customStyle="1" w:styleId="FontStyle675">
    <w:name w:val="Font Style675"/>
    <w:basedOn w:val="DefaultParagraphFont"/>
    <w:rsid w:val="0059733A"/>
    <w:rPr>
      <w:rFonts w:ascii="Calibri" w:hAnsi="Calibri" w:cs="Calibri"/>
      <w:sz w:val="18"/>
      <w:szCs w:val="18"/>
    </w:rPr>
  </w:style>
  <w:style w:type="character" w:customStyle="1" w:styleId="FontStyle494">
    <w:name w:val="Font Style494"/>
    <w:basedOn w:val="DefaultParagraphFont"/>
    <w:rsid w:val="0059733A"/>
    <w:rPr>
      <w:rFonts w:ascii="Franklin Gothic Demi" w:hAnsi="Franklin Gothic Demi" w:cs="Franklin Gothic Demi"/>
      <w:b/>
      <w:bCs/>
      <w:sz w:val="18"/>
      <w:szCs w:val="18"/>
    </w:rPr>
  </w:style>
  <w:style w:type="paragraph" w:customStyle="1" w:styleId="Style1">
    <w:name w:val="Style1"/>
    <w:basedOn w:val="NoSpacing"/>
    <w:link w:val="Style1Char"/>
    <w:qFormat/>
    <w:rsid w:val="0059733A"/>
    <w:pPr>
      <w:jc w:val="left"/>
    </w:pPr>
    <w:rPr>
      <w:rFonts w:eastAsia="Times New Roman" w:cs="Times New Roman"/>
      <w:sz w:val="10"/>
      <w:szCs w:val="22"/>
      <w:lang w:val="hr-HR" w:eastAsia="hr-HR"/>
    </w:rPr>
  </w:style>
  <w:style w:type="character" w:customStyle="1" w:styleId="Style1Char">
    <w:name w:val="Style1 Char"/>
    <w:basedOn w:val="NoSpacingChar"/>
    <w:link w:val="Style1"/>
    <w:rsid w:val="0059733A"/>
    <w:rPr>
      <w:rFonts w:ascii="Times New Roman" w:eastAsia="Times New Roman" w:hAnsi="Times New Roman" w:cs="Times New Roman"/>
      <w:sz w:val="10"/>
      <w:szCs w:val="22"/>
      <w:lang w:val="hr-HR" w:eastAsia="hr-HR"/>
    </w:rPr>
  </w:style>
  <w:style w:type="character" w:styleId="Strong">
    <w:name w:val="Strong"/>
    <w:basedOn w:val="DefaultParagraphFont"/>
    <w:uiPriority w:val="22"/>
    <w:qFormat/>
    <w:rsid w:val="0059733A"/>
    <w:rPr>
      <w:b/>
      <w:bCs/>
    </w:rPr>
  </w:style>
</w:styles>
</file>

<file path=word/webSettings.xml><?xml version="1.0" encoding="utf-8"?>
<w:webSettings xmlns:r="http://schemas.openxmlformats.org/officeDocument/2006/relationships" xmlns:w="http://schemas.openxmlformats.org/wordprocessingml/2006/main">
  <w:divs>
    <w:div w:id="42296464">
      <w:bodyDiv w:val="1"/>
      <w:marLeft w:val="0"/>
      <w:marRight w:val="0"/>
      <w:marTop w:val="0"/>
      <w:marBottom w:val="0"/>
      <w:divBdr>
        <w:top w:val="none" w:sz="0" w:space="0" w:color="auto"/>
        <w:left w:val="none" w:sz="0" w:space="0" w:color="auto"/>
        <w:bottom w:val="none" w:sz="0" w:space="0" w:color="auto"/>
        <w:right w:val="none" w:sz="0" w:space="0" w:color="auto"/>
      </w:divBdr>
    </w:div>
    <w:div w:id="1288900767">
      <w:bodyDiv w:val="1"/>
      <w:marLeft w:val="0"/>
      <w:marRight w:val="0"/>
      <w:marTop w:val="0"/>
      <w:marBottom w:val="0"/>
      <w:divBdr>
        <w:top w:val="none" w:sz="0" w:space="0" w:color="auto"/>
        <w:left w:val="none" w:sz="0" w:space="0" w:color="auto"/>
        <w:bottom w:val="none" w:sz="0" w:space="0" w:color="auto"/>
        <w:right w:val="none" w:sz="0" w:space="0" w:color="auto"/>
      </w:divBdr>
    </w:div>
    <w:div w:id="14461960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fahrudin.fehric@unvi.edu.b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AD3C40464CB2141A05EEE4DC531C2ED"/>
        <w:category>
          <w:name w:val="General"/>
          <w:gallery w:val="placeholder"/>
        </w:category>
        <w:types>
          <w:type w:val="bbPlcHdr"/>
        </w:types>
        <w:behaviors>
          <w:behavior w:val="content"/>
        </w:behaviors>
        <w:guid w:val="{FF51171A-C6CD-B14A-90D5-60C748105F0B}"/>
      </w:docPartPr>
      <w:docPartBody>
        <w:p w:rsidR="00F67B01" w:rsidRDefault="00F67B01" w:rsidP="00F67B01">
          <w:pPr>
            <w:pStyle w:val="BAD3C40464CB2141A05EEE4DC531C2ED"/>
          </w:pPr>
          <w:r>
            <w:t>[Type text]</w:t>
          </w:r>
        </w:p>
      </w:docPartBody>
    </w:docPart>
    <w:docPart>
      <w:docPartPr>
        <w:name w:val="DDE37C1641BA474E886F1BA6E34493CE"/>
        <w:category>
          <w:name w:val="General"/>
          <w:gallery w:val="placeholder"/>
        </w:category>
        <w:types>
          <w:type w:val="bbPlcHdr"/>
        </w:types>
        <w:behaviors>
          <w:behavior w:val="content"/>
        </w:behaviors>
        <w:guid w:val="{59C878D8-2F90-6243-BF05-F8096E94AE0B}"/>
      </w:docPartPr>
      <w:docPartBody>
        <w:p w:rsidR="00F67B01" w:rsidRDefault="00F67B01" w:rsidP="00F67B01">
          <w:pPr>
            <w:pStyle w:val="DDE37C1641BA474E886F1BA6E34493CE"/>
          </w:pPr>
          <w:r>
            <w:t>[Type text]</w:t>
          </w:r>
        </w:p>
      </w:docPartBody>
    </w:docPart>
    <w:docPart>
      <w:docPartPr>
        <w:name w:val="8D23884B1239A54AB632856C9FC6DCB0"/>
        <w:category>
          <w:name w:val="General"/>
          <w:gallery w:val="placeholder"/>
        </w:category>
        <w:types>
          <w:type w:val="bbPlcHdr"/>
        </w:types>
        <w:behaviors>
          <w:behavior w:val="content"/>
        </w:behaviors>
        <w:guid w:val="{3581C60C-8AB7-C74C-875C-8A5ACE095BC2}"/>
      </w:docPartPr>
      <w:docPartBody>
        <w:p w:rsidR="00F67B01" w:rsidRDefault="00F67B01" w:rsidP="00F67B01">
          <w:pPr>
            <w:pStyle w:val="8D23884B1239A54AB632856C9FC6DCB0"/>
          </w:pPr>
          <w: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Franklin Gothic Demi">
    <w:altName w:val="Arial"/>
    <w:panose1 w:val="020B07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imesNewRomanPSMT">
    <w:altName w:val="Arial Unicode MS"/>
    <w:panose1 w:val="00000000000000000000"/>
    <w:charset w:val="80"/>
    <w:family w:val="auto"/>
    <w:notTrueType/>
    <w:pitch w:val="default"/>
    <w:sig w:usb0="00000005" w:usb1="08070000" w:usb2="00000010" w:usb3="00000000" w:csb0="00020002" w:csb1="00000000"/>
  </w:font>
  <w:font w:name="TimesNewRomanPS-ItalicMT">
    <w:altName w:val="Arial Unicode MS"/>
    <w:panose1 w:val="00000000000000000000"/>
    <w:charset w:val="80"/>
    <w:family w:val="auto"/>
    <w:notTrueType/>
    <w:pitch w:val="default"/>
    <w:sig w:usb0="00000001" w:usb1="08070000" w:usb2="00000010" w:usb3="00000000" w:csb0="00020000" w:csb1="00000000"/>
  </w:font>
  <w:font w:name="WarnockPro-Regular">
    <w:altName w:val="Arial Unicode MS"/>
    <w:panose1 w:val="00000000000000000000"/>
    <w:charset w:val="80"/>
    <w:family w:val="auto"/>
    <w:notTrueType/>
    <w:pitch w:val="default"/>
    <w:sig w:usb0="00000007" w:usb1="08070000" w:usb2="00000010" w:usb3="00000000" w:csb0="00020003"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425"/>
  <w:characterSpacingControl w:val="doNotCompress"/>
  <w:compat>
    <w:useFELayout/>
  </w:compat>
  <w:rsids>
    <w:rsidRoot w:val="00F67B01"/>
    <w:rsid w:val="00080D50"/>
    <w:rsid w:val="000B6F30"/>
    <w:rsid w:val="000E5B66"/>
    <w:rsid w:val="001A1E12"/>
    <w:rsid w:val="001B6785"/>
    <w:rsid w:val="0027016F"/>
    <w:rsid w:val="003C324A"/>
    <w:rsid w:val="003E314E"/>
    <w:rsid w:val="0042035B"/>
    <w:rsid w:val="00567293"/>
    <w:rsid w:val="006F3D7B"/>
    <w:rsid w:val="00705E1C"/>
    <w:rsid w:val="00781167"/>
    <w:rsid w:val="00A01BE5"/>
    <w:rsid w:val="00A2609C"/>
    <w:rsid w:val="00B26914"/>
    <w:rsid w:val="00C1450D"/>
    <w:rsid w:val="00C37A09"/>
    <w:rsid w:val="00CB4FFD"/>
    <w:rsid w:val="00CD50F1"/>
    <w:rsid w:val="00D6370B"/>
    <w:rsid w:val="00E603CA"/>
    <w:rsid w:val="00F67B01"/>
  </w:rsids>
  <m:mathPr>
    <m:mathFont m:val="Cambria Math"/>
    <m:brkBin m:val="before"/>
    <m:brkBinSub m:val="--"/>
    <m:smallFrac m:val="off"/>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B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D3C40464CB2141A05EEE4DC531C2ED">
    <w:name w:val="BAD3C40464CB2141A05EEE4DC531C2ED"/>
    <w:rsid w:val="00AC0685"/>
  </w:style>
  <w:style w:type="paragraph" w:customStyle="1" w:styleId="DDE37C1641BA474E886F1BA6E34493CE">
    <w:name w:val="DDE37C1641BA474E886F1BA6E34493CE"/>
    <w:rsid w:val="00AC0685"/>
  </w:style>
  <w:style w:type="paragraph" w:customStyle="1" w:styleId="8D23884B1239A54AB632856C9FC6DCB0">
    <w:name w:val="8D23884B1239A54AB632856C9FC6DCB0"/>
    <w:rsid w:val="00AC0685"/>
  </w:style>
  <w:style w:type="paragraph" w:customStyle="1" w:styleId="3E7ADFD64E936740BB272849AFF8496B">
    <w:name w:val="3E7ADFD64E936740BB272849AFF8496B"/>
    <w:rsid w:val="00AC0685"/>
  </w:style>
  <w:style w:type="paragraph" w:customStyle="1" w:styleId="4C08CB594E36F34192C3CF716C714C39">
    <w:name w:val="4C08CB594E36F34192C3CF716C714C39"/>
    <w:rsid w:val="00AC0685"/>
  </w:style>
  <w:style w:type="paragraph" w:customStyle="1" w:styleId="164EB99DF87D6042A2B058B1C611D849">
    <w:name w:val="164EB99DF87D6042A2B058B1C611D849"/>
    <w:rsid w:val="00AC0685"/>
  </w:style>
</w:styles>
</file>

<file path=word/glossary/webSettings.xml><?xml version="1.0" encoding="utf-8"?>
<w:webSettings xmlns:r="http://schemas.openxmlformats.org/officeDocument/2006/relationships" xmlns:w="http://schemas.openxmlformats.org/wordprocessingml/2006/main">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2453A-0065-4020-8F09-46C281537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6248</Words>
  <Characters>35619</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Lough</dc:creator>
  <cp:lastModifiedBy>admin</cp:lastModifiedBy>
  <cp:revision>2</cp:revision>
  <dcterms:created xsi:type="dcterms:W3CDTF">2016-12-12T20:23:00Z</dcterms:created>
  <dcterms:modified xsi:type="dcterms:W3CDTF">2016-12-12T20:23:00Z</dcterms:modified>
</cp:coreProperties>
</file>