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EE7" w:rsidRDefault="009F3EE7"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41</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9F3EE7" w:rsidRPr="00E9768D" w:rsidRDefault="009F3EE7" w:rsidP="00E9768D">
      <w:pPr>
        <w:pStyle w:val="Title"/>
        <w:ind w:left="7200"/>
        <w:jc w:val="right"/>
        <w:rPr>
          <w:rFonts w:ascii="Times New Roman" w:hAnsi="Times New Roman"/>
          <w:b/>
          <w:i/>
          <w:sz w:val="24"/>
          <w:szCs w:val="24"/>
        </w:rPr>
      </w:pPr>
      <w:r w:rsidRPr="00E9768D">
        <w:rPr>
          <w:rFonts w:ascii="Times New Roman" w:hAnsi="Times New Roman"/>
          <w:i/>
          <w:sz w:val="24"/>
          <w:szCs w:val="24"/>
        </w:rPr>
        <w:t xml:space="preserve">Pregledni rad                                                                                                                     </w:t>
      </w:r>
      <w:r>
        <w:rPr>
          <w:rFonts w:ascii="Times New Roman" w:hAnsi="Times New Roman"/>
          <w:i/>
          <w:sz w:val="24"/>
          <w:szCs w:val="24"/>
        </w:rPr>
        <w:t xml:space="preserve">      </w:t>
      </w:r>
      <w:r w:rsidRPr="00E9768D">
        <w:rPr>
          <w:rFonts w:ascii="Times New Roman" w:hAnsi="Times New Roman"/>
          <w:i/>
          <w:sz w:val="24"/>
          <w:szCs w:val="24"/>
        </w:rPr>
        <w:t>Review article</w:t>
      </w:r>
    </w:p>
    <w:p w:rsidR="009F3EE7" w:rsidRPr="00E9768D" w:rsidRDefault="009F3EE7" w:rsidP="00B53F42">
      <w:pPr>
        <w:pStyle w:val="IndentedQuote"/>
        <w:jc w:val="right"/>
        <w:rPr>
          <w:i/>
        </w:rPr>
      </w:pPr>
      <w:r w:rsidRPr="00E9768D">
        <w:rPr>
          <w:b/>
          <w:i/>
        </w:rPr>
        <w:t>JEL Classification</w:t>
      </w:r>
      <w:r w:rsidRPr="00E9768D">
        <w:rPr>
          <w:i/>
        </w:rPr>
        <w:t>: L15, E61</w:t>
      </w:r>
    </w:p>
    <w:p w:rsidR="009F3EE7" w:rsidRPr="00B53F42" w:rsidRDefault="009F3EE7" w:rsidP="003F6B6D">
      <w:pPr>
        <w:pStyle w:val="NoSpacing"/>
        <w:rPr>
          <w:rFonts w:ascii="Times New Roman" w:hAnsi="Times New Roman"/>
        </w:rPr>
      </w:pPr>
      <w:bookmarkStart w:id="0" w:name="_Toc462440602"/>
      <w:r>
        <w:rPr>
          <w:rFonts w:ascii="Times New Roman" w:hAnsi="Times New Roman"/>
        </w:rPr>
        <w:t>Jozo Piljić</w:t>
      </w:r>
      <w:r w:rsidRPr="003F6B6D">
        <w:rPr>
          <w:rStyle w:val="FootnoteReference"/>
          <w:rFonts w:ascii="Times New Roman" w:hAnsi="Times New Roman"/>
        </w:rPr>
        <w:footnoteReference w:customMarkFollows="1" w:id="1"/>
        <w:t>*</w:t>
      </w:r>
    </w:p>
    <w:bookmarkEnd w:id="0"/>
    <w:p w:rsidR="009F3EE7" w:rsidRPr="003B719F" w:rsidRDefault="009F3EE7" w:rsidP="003B719F">
      <w:pPr>
        <w:shd w:val="clear" w:color="auto" w:fill="FFFFFF"/>
        <w:jc w:val="center"/>
        <w:rPr>
          <w:b/>
          <w:color w:val="000000"/>
          <w:sz w:val="32"/>
          <w:szCs w:val="32"/>
          <w:lang w:val="hr-HR"/>
        </w:rPr>
      </w:pPr>
      <w:r w:rsidRPr="003B719F">
        <w:rPr>
          <w:b/>
          <w:color w:val="000000"/>
          <w:sz w:val="32"/>
          <w:szCs w:val="32"/>
          <w:lang w:val="hr-HR"/>
        </w:rPr>
        <w:t>ANALIZA KONKURENTNOSTI B</w:t>
      </w:r>
      <w:r>
        <w:rPr>
          <w:b/>
          <w:color w:val="000000"/>
          <w:sz w:val="32"/>
          <w:szCs w:val="32"/>
          <w:lang w:val="hr-HR"/>
        </w:rPr>
        <w:t>OSNE i HERCEGOVINE</w:t>
      </w:r>
      <w:r w:rsidRPr="003B719F">
        <w:rPr>
          <w:b/>
          <w:color w:val="000000"/>
          <w:sz w:val="32"/>
          <w:szCs w:val="32"/>
          <w:lang w:val="hr-HR"/>
        </w:rPr>
        <w:t xml:space="preserve"> I PREPORUKE ZA JAČANJE KONKURENTNOSTI</w:t>
      </w:r>
    </w:p>
    <w:p w:rsidR="009F3EE7" w:rsidRPr="003B719F" w:rsidRDefault="009F3EE7" w:rsidP="003B719F">
      <w:pPr>
        <w:jc w:val="center"/>
        <w:rPr>
          <w:b/>
          <w:bCs/>
          <w:sz w:val="32"/>
          <w:szCs w:val="32"/>
          <w:lang w:val="hr-HR"/>
        </w:rPr>
      </w:pPr>
      <w:r w:rsidRPr="003B719F">
        <w:rPr>
          <w:b/>
          <w:sz w:val="32"/>
          <w:szCs w:val="32"/>
          <w:lang/>
        </w:rPr>
        <w:t>COMPETITIVENESS ANALYSIS OF BIH AND RECOMMENDATIONS FOR STRENGTHENING COMPETITIVENESS</w:t>
      </w:r>
    </w:p>
    <w:p w:rsidR="009F3EE7" w:rsidRDefault="009F3EE7" w:rsidP="00783CE8">
      <w:pPr>
        <w:spacing w:after="200"/>
        <w:rPr>
          <w:b/>
          <w:i/>
          <w:color w:val="222222"/>
          <w:lang w:val="bs-Latn-BA"/>
        </w:rPr>
      </w:pPr>
      <w:r>
        <w:rPr>
          <w:b/>
          <w:i/>
          <w:color w:val="222222"/>
        </w:rPr>
        <w:t xml:space="preserve">Sažetak </w:t>
      </w:r>
    </w:p>
    <w:p w:rsidR="009F3EE7" w:rsidRPr="00783CE8" w:rsidRDefault="009F3EE7" w:rsidP="00B003F5">
      <w:pPr>
        <w:spacing w:after="200"/>
        <w:ind w:left="720"/>
        <w:rPr>
          <w:b/>
          <w:i/>
          <w:color w:val="222222"/>
          <w:lang w:val="bs-Latn-BA"/>
        </w:rPr>
      </w:pPr>
      <w:r>
        <w:rPr>
          <w:i/>
          <w:lang w:val="hr-HR"/>
        </w:rPr>
        <w:t>Konkurentnost podrazumijeva stalni rast produktivnosti uz kvalitetnu strategiju i poslovanje poduzeća, na koju zajednički utječu makroekonomsko i mikroekonomsko okruženje. Kako današnju svjetsku ekonomiju, karakterizira otvorenost i integracija, konkurentnost ima ključnu ulogu u svim ekonomijama svijeta bile one razvijene ili u razvoju.</w:t>
      </w:r>
      <w:r>
        <w:rPr>
          <w:i/>
        </w:rPr>
        <w:t xml:space="preserve"> </w:t>
      </w:r>
      <w:r>
        <w:rPr>
          <w:i/>
          <w:lang w:val="hr-HR"/>
        </w:rPr>
        <w:t xml:space="preserve">Ekonomski razvoj u suvremenom svijetu počiva na uvjetima joji su zasnovani na izuzetnom znanju, visoko razvijenoj infrastrukturi, tehnologiji i inovacijama. Složenost problema konkurentnosti Bosne i Hercegovine traži neodgodive i sinhronizirane strukturne promjene na svim područjima, a posebno: </w:t>
      </w:r>
      <w:r>
        <w:rPr>
          <w:bCs/>
          <w:i/>
          <w:iCs/>
          <w:lang w:val="hr-HR"/>
        </w:rPr>
        <w:t>institucija, razvoja tržišta roba, kapitala, rada i znanja, inovativnosti i razvoja temeljenog na znanju i tehnologiji i obrazovanja za konkurentnost – od vrti</w:t>
      </w:r>
      <w:r>
        <w:rPr>
          <w:i/>
          <w:lang w:val="hr-HR"/>
        </w:rPr>
        <w:t>ć</w:t>
      </w:r>
      <w:r>
        <w:rPr>
          <w:bCs/>
          <w:i/>
          <w:iCs/>
          <w:lang w:val="hr-HR"/>
        </w:rPr>
        <w:t>a do fakulteta.</w:t>
      </w:r>
      <w:r>
        <w:rPr>
          <w:bCs/>
          <w:i/>
          <w:iCs/>
        </w:rPr>
        <w:t xml:space="preserve"> </w:t>
      </w:r>
      <w:r>
        <w:rPr>
          <w:i/>
          <w:lang w:val="hr-HR"/>
        </w:rPr>
        <w:t>Izvještaj o globalnoj konkurentnosti je procjena konkurentnosti nacionalnih ekonomija, koji daje dobru  sliku privrednog okruženja kao i sposobnost država da dostignu održivu razinu prosperiteta i rasta. Bosna i Hercegovina je za 2016.-2017. godinu ocjenjena sa 3,8 poena od ukupnih 7 čime je zauzela 107. mjesto po konkurentnosti ekonomije od 138 država. Plasman po ovom izvještaju je za četiri mjesta bolji u odnosu na prethodni izvještaj</w:t>
      </w:r>
      <w:r>
        <w:rPr>
          <w:i/>
          <w:lang w:val="pt-BR"/>
        </w:rPr>
        <w:t xml:space="preserve">osnovu ovog modela daće jasne smjernice gdje Bosna i Hercegovina treba da usmjeri najviše resursa ako želi da negativan trend slabljenja konkurentnosti zadnjih par godina zaustavi, te počne sa privlačenjem stranih investitora, što u konačnici može značiti i smanjenje nezaposlenosti, kao i rasta stope razvoja. </w:t>
      </w:r>
      <w:r>
        <w:rPr>
          <w:i/>
          <w:lang w:val="pt-BR"/>
        </w:rPr>
        <w:tab/>
      </w:r>
      <w:r>
        <w:rPr>
          <w:i/>
          <w:lang w:val="pt-BR"/>
        </w:rPr>
        <w:tab/>
      </w:r>
      <w:r>
        <w:rPr>
          <w:i/>
          <w:lang w:val="pt-BR"/>
        </w:rPr>
        <w:tab/>
      </w:r>
      <w:r>
        <w:rPr>
          <w:i/>
          <w:lang w:val="pt-BR"/>
        </w:rPr>
        <w:tab/>
      </w:r>
      <w:r>
        <w:rPr>
          <w:i/>
          <w:lang w:val="pt-BR"/>
        </w:rPr>
        <w:tab/>
      </w:r>
      <w:r>
        <w:rPr>
          <w:i/>
          <w:lang w:val="pt-BR"/>
        </w:rPr>
        <w:tab/>
      </w:r>
      <w:r>
        <w:rPr>
          <w:i/>
          <w:lang w:val="pt-BR"/>
        </w:rPr>
        <w:tab/>
        <w:t xml:space="preserve">                   </w:t>
      </w:r>
      <w:r w:rsidRPr="00AC22C8">
        <w:rPr>
          <w:b/>
          <w:i/>
          <w:lang w:val="pt-BR"/>
        </w:rPr>
        <w:t>Ključne riječi</w:t>
      </w:r>
      <w:r>
        <w:rPr>
          <w:i/>
          <w:lang w:val="pt-BR"/>
        </w:rPr>
        <w:t>: makroekonomija, indikatori, konkurentnost, analiza, regresija.</w:t>
      </w:r>
    </w:p>
    <w:p w:rsidR="009F3EE7" w:rsidRDefault="009F3EE7" w:rsidP="003F6B6D">
      <w:pPr>
        <w:tabs>
          <w:tab w:val="left" w:pos="567"/>
          <w:tab w:val="left" w:pos="6045"/>
        </w:tabs>
        <w:spacing w:after="200"/>
        <w:rPr>
          <w:b/>
          <w:lang w:val="pt-BR"/>
        </w:rPr>
      </w:pPr>
      <w:r w:rsidRPr="0099027D">
        <w:rPr>
          <w:b/>
          <w:i/>
          <w:lang w:val="pt-BR"/>
        </w:rPr>
        <w:t>Abstract</w:t>
      </w:r>
    </w:p>
    <w:p w:rsidR="009F3EE7" w:rsidRDefault="009F3EE7" w:rsidP="00B003F5">
      <w:pPr>
        <w:pStyle w:val="HTMLPreformatted"/>
        <w:ind w:left="916"/>
        <w:jc w:val="both"/>
        <w:rPr>
          <w:rFonts w:ascii="Times New Roman" w:hAnsi="Times New Roman"/>
          <w:i/>
          <w:sz w:val="24"/>
          <w:szCs w:val="24"/>
        </w:rPr>
      </w:pPr>
      <w:r>
        <w:rPr>
          <w:rFonts w:ascii="Times New Roman" w:hAnsi="Times New Roman"/>
          <w:i/>
          <w:sz w:val="24"/>
          <w:szCs w:val="24"/>
          <w:lang/>
        </w:rPr>
        <w:t>Competitiveness implies a steady growth in productivity along with a quality strategy and business operations, jointly influenced by the macroeconomic and microeconomic environment. As today's world economy is characterized by openness and integration, competitiveness plays a key role in all the world's economies, whether developed or developing.Economic development in the contemporary world rests on conditions that are based on extraordinary knowledge, highly developed infrastructure, technology and innovation. The complexity of the problem of competitiveness of Bosnia and Herzegovina requires unsettled and synchronized structural changes in all areas, in particular: institutions, the development of goods, capital, labor and knowledge, innovation and knowledge-based development and technology and education for competitiveness - from kindergarten to faculty. The Global Competitiveness Report is an assessment of the competitiveness of national economies, which gives a good picture of the economic environment as well as the ability of states to achieve a sustainable level of prosperity and growth. Bosnia and Herzegovina is in 2016 to 2017. year, with a score of 3.8 points out of a total of 7, making it the 107th place with the competitiveness of the economy of 138 countries. Placement for this report is four times better than the previous report.</w:t>
      </w:r>
    </w:p>
    <w:p w:rsidR="009F3EE7" w:rsidRPr="00BA75F8" w:rsidRDefault="009F3EE7" w:rsidP="00766E8A">
      <w:pPr>
        <w:pStyle w:val="HTMLPreformatted"/>
        <w:ind w:left="916"/>
        <w:jc w:val="both"/>
        <w:rPr>
          <w:rFonts w:ascii="Times New Roman" w:hAnsi="Times New Roman"/>
          <w:i/>
          <w:sz w:val="24"/>
          <w:szCs w:val="24"/>
        </w:rPr>
      </w:pPr>
      <w:r w:rsidRPr="00BA75F8">
        <w:rPr>
          <w:rFonts w:ascii="Times New Roman" w:hAnsi="Times New Roman"/>
          <w:b/>
          <w:i/>
          <w:sz w:val="24"/>
          <w:szCs w:val="24"/>
          <w:lang/>
        </w:rPr>
        <w:t xml:space="preserve">Key words: </w:t>
      </w:r>
      <w:r w:rsidRPr="00BA75F8">
        <w:rPr>
          <w:rFonts w:ascii="Times New Roman" w:hAnsi="Times New Roman"/>
          <w:i/>
          <w:sz w:val="24"/>
          <w:szCs w:val="24"/>
          <w:lang/>
        </w:rPr>
        <w:t>Competitiveness, Economic Development, Innovation, Change, Clusters.</w:t>
      </w:r>
    </w:p>
    <w:p w:rsidR="009F3EE7" w:rsidRDefault="009F3EE7" w:rsidP="001E0676">
      <w:pPr>
        <w:tabs>
          <w:tab w:val="left" w:pos="567"/>
          <w:tab w:val="left" w:pos="6045"/>
        </w:tabs>
        <w:spacing w:after="200"/>
        <w:rPr>
          <w:b/>
          <w:lang w:val="pt-BR"/>
        </w:rPr>
      </w:pPr>
      <w:r w:rsidRPr="003F6B6D">
        <w:rPr>
          <w:b/>
          <w:lang w:val="pt-BR"/>
        </w:rPr>
        <w:t>UVOD</w:t>
      </w:r>
    </w:p>
    <w:p w:rsidR="009F3EE7" w:rsidRDefault="009F3EE7" w:rsidP="00453DA5">
      <w:pPr>
        <w:tabs>
          <w:tab w:val="left" w:pos="567"/>
          <w:tab w:val="left" w:pos="6045"/>
        </w:tabs>
        <w:spacing w:after="200"/>
      </w:pPr>
      <w:r>
        <w:rPr>
          <w:b/>
          <w:lang w:val="pt-BR"/>
        </w:rPr>
        <w:tab/>
      </w:r>
      <w:r>
        <w:t>U svjetskoj ekonomiji, koju karakterizira otvorenost i integracija, konkurentnost ima ključnu ulogu kako u razvijenim zemljama, tako i u zemljama u razvoju. Temelji ekonomskog razvoja u suvremenom svijetu počivaju na uvjetima zasnovanim na znanju i razvijenoj infrastrukturi, visoko razvijenoj tehnologiji i inovacijama. U današnjem poslovnom svijetu poduzeća se susreću s izazovima kao što su brze i stalne promjene, konkurentnost, globalizacija, globalne strateške krize itd. U uvjetima modernog poslovanja, poduzeća moraju svakodnevno pronalaziti nova rješenja kako bi održala i povećala svoju konkurentnost, koja je osnova za uspjeh ili neuspjeh svake tvrtke.</w:t>
      </w:r>
      <w:r>
        <w:rPr>
          <w:rStyle w:val="FootnoteReference"/>
        </w:rPr>
        <w:footnoteReference w:id="2"/>
      </w:r>
      <w:r>
        <w:t xml:space="preserve"> Poduzeće koje u području svojeg djelovanja želi nadmašiti konkurente, mora pronalaziti mjere kojima će to ostvariti. Mjere mogu biti:</w:t>
      </w:r>
      <w:r>
        <w:rPr>
          <w:rStyle w:val="FootnoteReference"/>
        </w:rPr>
        <w:footnoteReference w:id="3"/>
      </w:r>
      <w:r>
        <w:t xml:space="preserve"> kvaliteta, minimalni troškovi, minimalno trajanje i maksimalna ili dovoljna proizvodnja. </w:t>
      </w:r>
      <w:r>
        <w:tab/>
      </w:r>
      <w:r>
        <w:tab/>
      </w:r>
      <w:r>
        <w:tab/>
      </w:r>
      <w:r>
        <w:tab/>
      </w:r>
      <w:r>
        <w:tab/>
        <w:t>Kako bi mogla tražiti nova strateška rješenja, poduzeća prije svega moraju razumjeti promjene i upravljati njima. Dinamika tih promjena danas je mnogo veća nego što je bila ikada prije, a bilježi i daljnji progresivni rast. Upravo prilagodba sadašnjosti koja se stalno mijenja od fundamentalnog je značaja za uspjeh u budućnosti.</w:t>
      </w:r>
      <w:r>
        <w:rPr>
          <w:rStyle w:val="FootnoteReference"/>
        </w:rPr>
        <w:footnoteReference w:id="4"/>
      </w:r>
      <w:r>
        <w:t xml:space="preserve"> Ključne promjene o kojima u današnjem svijetu treba voditi računa su:</w:t>
      </w:r>
      <w:r>
        <w:rPr>
          <w:rStyle w:val="FootnoteReference"/>
        </w:rPr>
        <w:footnoteReference w:id="5"/>
      </w:r>
      <w:r>
        <w:t xml:space="preserve"> </w:t>
      </w:r>
      <w:r>
        <w:tab/>
      </w:r>
      <w:r>
        <w:tab/>
      </w:r>
      <w:r>
        <w:tab/>
      </w:r>
      <w:r>
        <w:tab/>
      </w:r>
    </w:p>
    <w:p w:rsidR="009F3EE7" w:rsidRDefault="009F3EE7" w:rsidP="00453DA5">
      <w:pPr>
        <w:pStyle w:val="Default"/>
        <w:numPr>
          <w:ilvl w:val="0"/>
          <w:numId w:val="17"/>
        </w:numPr>
        <w:jc w:val="both"/>
      </w:pPr>
      <w:r>
        <w:t xml:space="preserve">zbog novih političkih situacija, </w:t>
      </w:r>
    </w:p>
    <w:p w:rsidR="009F3EE7" w:rsidRDefault="009F3EE7" w:rsidP="00453DA5">
      <w:pPr>
        <w:pStyle w:val="Default"/>
        <w:numPr>
          <w:ilvl w:val="0"/>
          <w:numId w:val="17"/>
        </w:numPr>
        <w:jc w:val="both"/>
      </w:pPr>
      <w:r>
        <w:t xml:space="preserve">u vezi s posljedicama vojnih žarišta, </w:t>
      </w:r>
    </w:p>
    <w:p w:rsidR="009F3EE7" w:rsidRDefault="009F3EE7" w:rsidP="00453DA5">
      <w:pPr>
        <w:pStyle w:val="Default"/>
        <w:numPr>
          <w:ilvl w:val="0"/>
          <w:numId w:val="17"/>
        </w:numPr>
        <w:jc w:val="both"/>
      </w:pPr>
      <w:r>
        <w:t xml:space="preserve">na području ponude i istraživanja tržišta, </w:t>
      </w:r>
    </w:p>
    <w:p w:rsidR="009F3EE7" w:rsidRDefault="009F3EE7" w:rsidP="00453DA5">
      <w:pPr>
        <w:pStyle w:val="Default"/>
        <w:numPr>
          <w:ilvl w:val="0"/>
          <w:numId w:val="17"/>
        </w:numPr>
        <w:jc w:val="both"/>
      </w:pPr>
      <w:r>
        <w:t xml:space="preserve">kao posljedice razlika između razvijenih i manje razvijenih, </w:t>
      </w:r>
    </w:p>
    <w:p w:rsidR="009F3EE7" w:rsidRDefault="009F3EE7" w:rsidP="00453DA5">
      <w:pPr>
        <w:pStyle w:val="Default"/>
        <w:numPr>
          <w:ilvl w:val="0"/>
          <w:numId w:val="17"/>
        </w:numPr>
        <w:jc w:val="both"/>
      </w:pPr>
      <w:r>
        <w:t xml:space="preserve">kao posljedice tehničko-tehnološkog razvoja i ostalih oblika razvoja, </w:t>
      </w:r>
    </w:p>
    <w:p w:rsidR="009F3EE7" w:rsidRDefault="009F3EE7" w:rsidP="00453DA5">
      <w:pPr>
        <w:pStyle w:val="Default"/>
        <w:numPr>
          <w:ilvl w:val="0"/>
          <w:numId w:val="17"/>
        </w:numPr>
        <w:jc w:val="both"/>
      </w:pPr>
      <w:r>
        <w:t xml:space="preserve">kao posljedice mjera zaštite okoliša, </w:t>
      </w:r>
    </w:p>
    <w:p w:rsidR="009F3EE7" w:rsidRDefault="009F3EE7" w:rsidP="00453DA5">
      <w:pPr>
        <w:pStyle w:val="Default"/>
        <w:numPr>
          <w:ilvl w:val="0"/>
          <w:numId w:val="17"/>
        </w:numPr>
        <w:jc w:val="both"/>
      </w:pPr>
      <w:r>
        <w:t>zbog novih tržišnih odnosa i uređenja svjetskog tržišta, prouzrokovane terorizmom i protuterorizmom,</w:t>
      </w:r>
    </w:p>
    <w:p w:rsidR="009F3EE7" w:rsidRDefault="009F3EE7" w:rsidP="00453DA5">
      <w:pPr>
        <w:pStyle w:val="Default"/>
        <w:numPr>
          <w:ilvl w:val="0"/>
          <w:numId w:val="17"/>
        </w:numPr>
        <w:jc w:val="both"/>
      </w:pPr>
      <w:r>
        <w:t xml:space="preserve">kao posljedica suočavanja i nužnog zbližavanja različitih kultura, ideologija i nacionalnosti koje donosi nova ekonomija itd. </w:t>
      </w:r>
    </w:p>
    <w:p w:rsidR="009F3EE7" w:rsidRDefault="009F3EE7" w:rsidP="00453DA5">
      <w:pPr>
        <w:tabs>
          <w:tab w:val="left" w:pos="567"/>
          <w:tab w:val="left" w:pos="6045"/>
        </w:tabs>
        <w:spacing w:after="200"/>
      </w:pPr>
      <w:r>
        <w:tab/>
        <w:t>Ostvariti konkurentnost poduzeća, pa i gospodarski razvoj područja na kojima ona djeluju, moguće je projektima koji se temelje na novim znanjima, vještinama i inovacijama. To je moguće međusobnim povezivanjem poduzeća, njihovih dobavljača i potrošača u klastere.</w:t>
      </w:r>
      <w:r>
        <w:rPr>
          <w:rStyle w:val="FootnoteReference"/>
        </w:rPr>
        <w:footnoteReference w:id="6"/>
      </w:r>
      <w:r>
        <w:t xml:space="preserve">  Koncept klastera predstavlja dobro rješenje za razvoj malog i srednjeg poduzetništva, poticaj inovacija i gospodarskog razvoja te za održanje i jačanje konkurentske prednosti poslovnih subjekata koji su članovi klastera.</w:t>
      </w:r>
    </w:p>
    <w:p w:rsidR="009F3EE7" w:rsidRPr="001E0676" w:rsidRDefault="009F3EE7" w:rsidP="00453DA5">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rPr>
          <w:b/>
          <w:bCs/>
          <w:color w:val="000000"/>
          <w:lang w:val="hr-HR"/>
        </w:rPr>
      </w:pPr>
      <w:r w:rsidRPr="001E0676">
        <w:rPr>
          <w:b/>
          <w:bCs/>
          <w:color w:val="000000"/>
          <w:lang w:val="hr-HR"/>
        </w:rPr>
        <w:t>ANALIZA KONK</w:t>
      </w:r>
      <w:r>
        <w:rPr>
          <w:b/>
          <w:bCs/>
          <w:color w:val="000000"/>
          <w:lang w:val="hr-HR"/>
        </w:rPr>
        <w:t>URENTNOSTI I NJENA VAŽNOST ZA Bi</w:t>
      </w:r>
      <w:r w:rsidRPr="001E0676">
        <w:rPr>
          <w:b/>
          <w:bCs/>
          <w:color w:val="000000"/>
          <w:lang w:val="hr-HR"/>
        </w:rPr>
        <w:t>H</w:t>
      </w:r>
    </w:p>
    <w:p w:rsidR="009F3EE7" w:rsidRDefault="009F3EE7" w:rsidP="00453DA5">
      <w:pPr>
        <w:tabs>
          <w:tab w:val="left" w:pos="567"/>
          <w:tab w:val="left" w:pos="6045"/>
        </w:tabs>
        <w:spacing w:after="200"/>
        <w:rPr>
          <w:color w:val="000000"/>
          <w:lang w:val="hr-HR"/>
        </w:rPr>
      </w:pPr>
      <w:r>
        <w:tab/>
      </w:r>
      <w:r>
        <w:rPr>
          <w:color w:val="000000"/>
          <w:lang w:val="hr-HR"/>
        </w:rPr>
        <w:t>Raspravljajući o konkurentnosti zemalja, Ekonomska komisija Ujedinjenih nacija se u svom Ekonomskom pregledu postavlja slijedeća pitanja:</w:t>
      </w:r>
      <w:r>
        <w:rPr>
          <w:rStyle w:val="FootnoteReference"/>
          <w:color w:val="000000"/>
          <w:lang w:val="hr-HR"/>
        </w:rPr>
        <w:footnoteReference w:id="7"/>
      </w:r>
    </w:p>
    <w:p w:rsidR="009F3EE7" w:rsidRDefault="009F3EE7" w:rsidP="00453DA5">
      <w:pPr>
        <w:numPr>
          <w:ilvl w:val="0"/>
          <w:numId w:val="18"/>
        </w:numPr>
        <w:autoSpaceDE w:val="0"/>
        <w:autoSpaceDN w:val="0"/>
        <w:adjustRightInd w:val="0"/>
        <w:spacing w:before="0"/>
        <w:rPr>
          <w:color w:val="000000"/>
          <w:lang w:val="hr-HR"/>
        </w:rPr>
      </w:pPr>
      <w:r>
        <w:rPr>
          <w:color w:val="000000"/>
          <w:lang w:val="hr-HR"/>
        </w:rPr>
        <w:t xml:space="preserve">Zašto neke zemlje imaju veći ekonomski rast nego druge i imaju li one mnogo bolje vanjskotrgovinske performanse nego druge zemlje? </w:t>
      </w:r>
    </w:p>
    <w:p w:rsidR="009F3EE7" w:rsidRDefault="009F3EE7" w:rsidP="00453DA5">
      <w:pPr>
        <w:numPr>
          <w:ilvl w:val="0"/>
          <w:numId w:val="18"/>
        </w:numPr>
        <w:autoSpaceDE w:val="0"/>
        <w:autoSpaceDN w:val="0"/>
        <w:adjustRightInd w:val="0"/>
        <w:spacing w:before="0"/>
        <w:rPr>
          <w:color w:val="000000"/>
          <w:lang w:val="hr-HR"/>
        </w:rPr>
      </w:pPr>
      <w:r>
        <w:rPr>
          <w:color w:val="000000"/>
          <w:lang w:val="hr-HR"/>
        </w:rPr>
        <w:t xml:space="preserve">Koji ključni faktori stoje iza tih razlika? </w:t>
      </w:r>
    </w:p>
    <w:p w:rsidR="009F3EE7" w:rsidRDefault="009F3EE7" w:rsidP="00453DA5">
      <w:pPr>
        <w:numPr>
          <w:ilvl w:val="0"/>
          <w:numId w:val="18"/>
        </w:numPr>
        <w:autoSpaceDE w:val="0"/>
        <w:autoSpaceDN w:val="0"/>
        <w:adjustRightInd w:val="0"/>
        <w:spacing w:before="0"/>
        <w:rPr>
          <w:color w:val="000000"/>
          <w:lang w:val="hr-HR"/>
        </w:rPr>
      </w:pPr>
      <w:r>
        <w:rPr>
          <w:color w:val="000000"/>
          <w:lang w:val="hr-HR"/>
        </w:rPr>
        <w:t xml:space="preserve">Koje politike države mogu slijediti radi poboljšanja ekonomskih performansi svojih ekonomija (i blagostanja svojih građana)? </w:t>
      </w:r>
    </w:p>
    <w:p w:rsidR="009F3EE7" w:rsidRDefault="009F3EE7" w:rsidP="00453DA5">
      <w:pPr>
        <w:tabs>
          <w:tab w:val="left" w:pos="567"/>
          <w:tab w:val="left" w:pos="6045"/>
        </w:tabs>
        <w:spacing w:after="200"/>
        <w:rPr>
          <w:color w:val="000000"/>
          <w:lang w:val="hr-HR"/>
        </w:rPr>
      </w:pPr>
      <w:r>
        <w:tab/>
      </w:r>
      <w:r>
        <w:rPr>
          <w:color w:val="000000"/>
          <w:lang w:val="hr-HR"/>
        </w:rPr>
        <w:t>Konkurentnost je relativno novo područje ekonomske nauke – javlja se od 1980-tih. Konkurentnost je postala jedna od najznačajnijih područja suvremene ekonomske misli. Prilikom utvrđivanja konkurentnosti neke zemlje manje je važna apsolutna performansa, a puno je važnija relativna performansa zemlje, tj. koliko je uspješnija ili neuspješnija u odnosu na druge zemlje. Konkurentnost označava razvoj partnerstva javnog i privatnog sektora radi promoviranja ekonomskog razvoja i izvoza. U osnovi ima dva značenje. Prvo se odnosi na blagostanje zemlje, odnosno kvalitetu života njenih građana, (mjereno  veličinom GDP p.c., a drugo na trgovinske performanse zemlje.</w:t>
      </w:r>
      <w:r>
        <w:rPr>
          <w:rStyle w:val="FootnoteReference"/>
          <w:color w:val="000000"/>
          <w:lang w:val="hr-HR"/>
        </w:rPr>
        <w:footnoteReference w:id="8"/>
      </w:r>
    </w:p>
    <w:p w:rsidR="009F3EE7" w:rsidRDefault="009F3EE7" w:rsidP="00453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lang w:val="hr-HR"/>
        </w:rPr>
      </w:pPr>
      <w:r>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pt;margin-top:6.45pt;width:270.1pt;height:155.5pt;z-index:251657216;mso-wrap-style:none" fillcolor="#a3b2c1">
            <v:imagedata r:id="rId7" o:title="" embosscolor="shadow add(51)"/>
            <v:shadow type="emboss" color="lineOrFill darken(153)" color2="shadow add(102)" offset="1pt,1pt"/>
          </v:shape>
          <o:OLEObject Type="Embed" ProgID="Excel.Sheet.8" ShapeID="_x0000_s1026" DrawAspect="Content" ObjectID="_1598427310" r:id="rId8"/>
        </w:pict>
      </w:r>
    </w:p>
    <w:p w:rsidR="009F3EE7" w:rsidRDefault="009F3EE7" w:rsidP="00453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lang w:val="hr-HR"/>
        </w:rPr>
      </w:pPr>
    </w:p>
    <w:p w:rsidR="009F3EE7" w:rsidRDefault="009F3EE7" w:rsidP="00453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lang w:val="hr-HR"/>
        </w:rPr>
      </w:pPr>
    </w:p>
    <w:p w:rsidR="009F3EE7" w:rsidRDefault="009F3EE7" w:rsidP="00453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lang w:val="hr-HR"/>
        </w:rPr>
      </w:pPr>
    </w:p>
    <w:p w:rsidR="009F3EE7" w:rsidRDefault="009F3EE7" w:rsidP="00453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lang w:val="hr-HR"/>
        </w:rPr>
      </w:pPr>
    </w:p>
    <w:p w:rsidR="009F3EE7" w:rsidRDefault="009F3EE7" w:rsidP="00453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lang w:val="hr-HR"/>
        </w:rPr>
      </w:pPr>
    </w:p>
    <w:p w:rsidR="009F3EE7" w:rsidRDefault="009F3EE7" w:rsidP="00453DA5">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9F3EE7" w:rsidRDefault="009F3EE7" w:rsidP="00453DA5">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rPr>
      </w:pPr>
      <w:r>
        <w:rPr>
          <w:b/>
          <w:sz w:val="24"/>
          <w:szCs w:val="24"/>
        </w:rPr>
        <w:t>Slika 1.</w:t>
      </w:r>
      <w:r>
        <w:rPr>
          <w:sz w:val="24"/>
          <w:szCs w:val="24"/>
        </w:rPr>
        <w:t xml:space="preserve"> Filozofija konkurentnosti</w:t>
      </w:r>
    </w:p>
    <w:p w:rsidR="009F3EE7" w:rsidRDefault="009F3EE7" w:rsidP="00EC1A33">
      <w:pPr>
        <w:tabs>
          <w:tab w:val="left" w:pos="567"/>
          <w:tab w:val="left" w:pos="6045"/>
        </w:tabs>
        <w:spacing w:after="200"/>
      </w:pPr>
      <w:r>
        <w:rPr>
          <w:color w:val="000000"/>
          <w:lang w:val="hr-HR"/>
        </w:rPr>
        <w:t xml:space="preserve">          Kolika je razina konkurentnosti određuje produktivnost – mjera sposobnosti da se proizvedu robe i usluge, korištenjem postojećih ljudskih, financijskih, prirodnih i inih resursa. Produktivnost određuje životni standard zemlje ili regije - plaće, prihod od kapitala, očuvanje nacionalnog bogatstva. Produktivnost zemlje je u krajnjoj liniji određena produktivnošću njenih poduzeća. A ona se povećava s operativnom efektivnošću njenih aktivnosti i usvajanju najboljih praksa. Konkurentnost je održiv rast produktivnosti vođen kvalitetom strategija i poslovanja poduzeća, na koju zajedno i istodobno utječu makroekonomsko i mikroekonomsko okruženje.</w:t>
      </w:r>
      <w:r>
        <w:tab/>
      </w:r>
      <w:r>
        <w:tab/>
      </w:r>
      <w:r>
        <w:tab/>
      </w:r>
      <w:r>
        <w:tab/>
      </w:r>
      <w:r>
        <w:rPr>
          <w:color w:val="000000"/>
          <w:lang w:val="hr-HR"/>
        </w:rPr>
        <w:t>Prema tradicionalnom pristupu konkurentnosti nacionalno bogatstvo ovisi o komparativnim prednostima, zasnovanim na resursima: zemljište, radna snaga, infrastruktura i kapital, dok je prema modernom pristupu cilj održiva visoka kvaliteta života za sve građane, putem održive konkurentnosti, a pomoću visoke produktivnosti rada, kapitala i ostalih resursa kroz ostvarenje izvoza i dobrog financijskog rezultata. U fokusu su određena poduzeća i industrijske grane a ne gospodarstvo kao cjelina. Ekonomski razvoj je proces koji uključuje: vladu, poslodavce, obrazovne, naučne, istraživačke i druge institucije.</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Zbog ukidanja prepreka međunarodnoj trgovini te smanjenja troškova transporta i komunikacija, zemlje i poduzeća se takmiče na regionalnom i globalnom tržištu. U postojećoj globaliziranoj ekonomiji, koju karakteriziraju otvorenost i integracija, konkurentnost ima ključnu ulogu kako za zemlje s visokim dohotkom (razvijene zemlje), tako i za one s niskim i srednjim dohotkom (nerazvijene zemlje).</w:t>
      </w:r>
      <w:r>
        <w:tab/>
      </w:r>
      <w:r>
        <w:tab/>
      </w:r>
      <w:r>
        <w:tab/>
      </w:r>
      <w:r>
        <w:tab/>
      </w:r>
      <w:r>
        <w:rPr>
          <w:color w:val="000000"/>
          <w:lang w:val="hr-HR"/>
        </w:rPr>
        <w:t>Kad postoje visoki deficiti tekućeg računa, koji prijete postati neodrživima – kakva  je situacija s BiH - nužno je djelovati na njihovom eliminiranju, provodeći strukturne reforme, jačajući eksternu konkurentnosti i provodeći fiskalnu politiku koja doprinosi tome.</w:t>
      </w:r>
      <w:r>
        <w:rPr>
          <w:color w:val="000000"/>
          <w:lang w:val="hr-HR"/>
        </w:rPr>
        <w:tab/>
        <w:t xml:space="preserve"> Niska konkurentnost ima za posljedicu stalni visoki trgovinski deficit BiH (za 2016. iznosi 6,7 mrd KM). Napredak u strukturnim reformama ne podržava dovoljno rast totalne faktorske produktivnosti, kao temelja rasta izvoza zemlje koja se nalazi u tranziciji. U BiH skoro da nema ulaganja u istraživanje i razvoj  a bez toga nema rasta totalne faktorske produktivnosti. </w:t>
      </w:r>
      <w:r>
        <w:tab/>
      </w:r>
      <w:r>
        <w:tab/>
      </w:r>
      <w:r>
        <w:tab/>
      </w:r>
      <w:r>
        <w:tab/>
      </w:r>
      <w:r>
        <w:rPr>
          <w:color w:val="000000"/>
          <w:lang w:val="hr-HR"/>
        </w:rPr>
        <w:t>Nedovoljan broj studenata u BiH, posebno na prirodno-matematičkim te tehničko-tehnološkim fakultetima, čini malu i slabu bazu za regrutiranje istraživačko-razvojnih kadrova. U BiH nisu razvijeni istraživačko-razvojni centri u poduzećima (dok u zemljama članicama EU otpada oko 60 % ukupnog broja istraživača), te se time ne radi dovoljno na razvoju novih proizvoda. Posljedica toga je, vrlo niska razina konkurentnosti poduzeća, koja su nosioci konkurentnosti zemlje.</w:t>
      </w:r>
      <w:r>
        <w:tab/>
      </w:r>
      <w:r>
        <w:tab/>
      </w:r>
      <w:r>
        <w:tab/>
      </w:r>
      <w:r>
        <w:tab/>
      </w:r>
      <w:r>
        <w:tab/>
      </w:r>
      <w:r>
        <w:rPr>
          <w:color w:val="000000"/>
          <w:lang w:val="hr-HR"/>
        </w:rPr>
        <w:t>Vrlo je mali broj poduzeća koja pružaju internu obuku svojim uposlenicima ili im omogućiju eksternu obuku. Razlog tome je, što je najveći broj poduzeća u BiH mala poduzeća koja nemaju raspolaživih sredstava za obuku uposlenika.</w:t>
      </w:r>
      <w:r>
        <w:tab/>
      </w:r>
      <w:r>
        <w:tab/>
      </w:r>
      <w:r>
        <w:tab/>
      </w:r>
      <w:r>
        <w:tab/>
      </w:r>
      <w:r>
        <w:rPr>
          <w:color w:val="000000"/>
          <w:lang w:val="hr-HR"/>
        </w:rPr>
        <w:t>Treba imati u vidu da razvijene zemlje, prvenstveno konkuriraju radnim vještinama a poslije toga proizvodima i uslugama. BiH ako želi više napredovati na ljestvici konkurentnosti, više mora raditi na znanju. Od posebne je važnosti, za konkurentnost poduzeća kao i zemlje, sposobnost da razvije što bolji obrazovni sustav i unaprijedi znanje uposlenika kroz interne i eksterne obuke.</w:t>
      </w:r>
      <w:r>
        <w:t xml:space="preserve"> </w:t>
      </w:r>
      <w:r>
        <w:rPr>
          <w:color w:val="000000"/>
          <w:lang w:val="hr-HR"/>
        </w:rPr>
        <w:t xml:space="preserve">Socijalna infrastruktura i političke institucije sve više dolaze u središte mnogih analiza i politika. </w:t>
      </w:r>
      <w:r>
        <w:tab/>
      </w:r>
      <w:r>
        <w:tab/>
      </w:r>
      <w:r>
        <w:tab/>
      </w:r>
      <w:r>
        <w:tab/>
      </w:r>
      <w:r>
        <w:rPr>
          <w:color w:val="000000"/>
          <w:lang w:val="hr-HR"/>
        </w:rPr>
        <w:t>Empirijskim istraživanjima potvrđeno je da su one, promatrano na dugi rok, najvažniji faktor za objašnjenje dugoročnih razlika u napretku zemalja.</w:t>
      </w:r>
      <w:r>
        <w:rPr>
          <w:rStyle w:val="FootnoteReference"/>
          <w:color w:val="000000"/>
          <w:lang w:val="hr-HR"/>
        </w:rPr>
        <w:footnoteReference w:id="9"/>
      </w:r>
      <w:r>
        <w:tab/>
      </w:r>
      <w:r>
        <w:tab/>
      </w:r>
      <w:r>
        <w:tab/>
      </w:r>
      <w:r>
        <w:rPr>
          <w:color w:val="000000"/>
          <w:lang w:val="hr-HR"/>
        </w:rPr>
        <w:t>Nedvojbeno je da vladavina prava u BiH nije snažno razvijena. Vladavina prava ima važan utjecaj na poduzimanje inicijativa u ekonomskoj sferi. Kriminal i korupcija povećava troškove poslovanja i smanjuje investicijske poticaje koji osiguravaju veći nivo produktivnosti. Utjecaj vladavine prava na odvijanje ekonomskih procesa je moguće sagledati i kroz rasprostranjenost korupcije, odnosno kroz veličinu transakcijskih troškova uslijed utjecaja korupcije. Visok nivo korupcije znači institucionalnu slabost odnosno neadekvatno funkcioniranje javnih institucija i porast transakcijskih troškova poduzeća.</w:t>
      </w:r>
      <w:r>
        <w:tab/>
      </w:r>
      <w:r>
        <w:tab/>
      </w:r>
      <w:r>
        <w:tab/>
      </w:r>
      <w:r>
        <w:tab/>
      </w:r>
      <w:r>
        <w:tab/>
      </w:r>
      <w:r>
        <w:rPr>
          <w:color w:val="000000"/>
          <w:lang w:val="hr-HR"/>
        </w:rPr>
        <w:t xml:space="preserve">Nisku konkurentnost bh ekonomije posljedica je niskog obuhvata višim obrazovanjem i obukom uposlenika firmi, niska razina investicije u opremu i niska kvaliteta upravljanja društvom i ekonomijom. Pozicija BiH u tehnološkoj konkurentnosti je vrlo niska. BiH nema dugoročnu strategiju ekonomskog razvoja. Sukladno tome, nema usklađen skup politika koje osiguravaju konkurentnost na dugi rok. Strategija bi trebala sadržavati jasne prioritete, utemeljene na očuvanju prednosti koje BiH ima i slabosti koje najviše prijete boljitku njenih građana. Strategija kazuje što se treba, ali i što ne treba činiti. </w:t>
      </w:r>
      <w:r>
        <w:tab/>
      </w:r>
      <w:r>
        <w:tab/>
      </w:r>
      <w:r>
        <w:tab/>
      </w:r>
      <w:r>
        <w:tab/>
      </w:r>
      <w:r>
        <w:rPr>
          <w:color w:val="000000"/>
          <w:lang w:val="hr-HR"/>
        </w:rPr>
        <w:t>Neophodno je usvojiti politike konkurentnosti bh ekonomije i korištenje te politike kao jedne od sastavnica razvojne politike. Ta razvojna politika mora biti utemeljene na izvozno-vođenom ekonomskom razvoju, radi boljeg globalnog pozicioniranja zemlje, kao i na konvergencijom vođenom razvoju pri čemu je potrebno zadovoljiti tzv. kopenhaške kriterije</w:t>
      </w:r>
      <w:r>
        <w:rPr>
          <w:rStyle w:val="FootnoteReference"/>
          <w:color w:val="000000"/>
          <w:lang w:val="hr-HR"/>
        </w:rPr>
        <w:footnoteReference w:id="10"/>
      </w:r>
      <w:r>
        <w:rPr>
          <w:color w:val="000000"/>
          <w:lang w:val="hr-HR"/>
        </w:rPr>
        <w:t>, jer BiH želi postati članicom EU. Prije svega potrebno je istražiti stvarne uzroke niske konkurentnosti bh ekonomije, kao i formuliranje politike konkurentnosti kako bi zemlja počela izlaziti iz ekonomske krize.</w:t>
      </w:r>
      <w:r>
        <w:tab/>
      </w:r>
      <w:r>
        <w:tab/>
      </w:r>
      <w:r>
        <w:tab/>
      </w:r>
      <w:r>
        <w:tab/>
      </w:r>
      <w:r>
        <w:tab/>
      </w:r>
      <w:r>
        <w:rPr>
          <w:color w:val="000000"/>
          <w:lang w:val="hr-HR"/>
        </w:rPr>
        <w:t>Pred BiH je izazov stvaranja napretka za njene građane putem povećanja broja radnih mjesta i plaća. Kako bi se povećao broj radnih mjesta i nivo plaća poduzeća moraju proizvoditi i prodavati visoko kvalitetne proizvode i robe koje će zadovoljiti zahtjevne potrošačke potrebe. Poduzeća u BiH moraju proizvoditi ono što potrošači žele. Razviti konkurentnu prednost nije jednostavno. Konkurentnost zahtjeva strategije zasnovane na znanju, temeljito poznavanje potrošača, suradnju među firmama, vanjsku orijentaciju i pozitivan konstruktivan odnos između vlada i privatnog sektora.</w:t>
      </w:r>
    </w:p>
    <w:p w:rsidR="009F3EE7" w:rsidRDefault="009F3EE7" w:rsidP="00EC1A33">
      <w:pPr>
        <w:tabs>
          <w:tab w:val="left" w:pos="567"/>
          <w:tab w:val="left" w:pos="6045"/>
        </w:tabs>
        <w:spacing w:after="200"/>
      </w:pPr>
      <w:r>
        <w:rPr>
          <w:b/>
          <w:bCs/>
          <w:color w:val="000000"/>
          <w:lang w:val="hr-HR"/>
        </w:rPr>
        <w:t xml:space="preserve">2. </w:t>
      </w:r>
      <w:r w:rsidRPr="00EC1A33">
        <w:rPr>
          <w:b/>
          <w:bCs/>
          <w:color w:val="000000"/>
          <w:lang w:val="hr-HR"/>
        </w:rPr>
        <w:t>EKONOMSKI RAST, TRGOVINA I KONKURENTNOST</w:t>
      </w:r>
    </w:p>
    <w:p w:rsidR="009F3EE7" w:rsidRDefault="009F3EE7" w:rsidP="00EC1A33">
      <w:pPr>
        <w:tabs>
          <w:tab w:val="left" w:pos="567"/>
          <w:tab w:val="left" w:pos="6045"/>
        </w:tabs>
        <w:spacing w:after="200"/>
        <w:rPr>
          <w:color w:val="000000"/>
          <w:lang w:val="hr-HR"/>
        </w:rPr>
      </w:pPr>
      <w:r>
        <w:tab/>
      </w:r>
      <w:r w:rsidRPr="00EC1A33">
        <w:rPr>
          <w:color w:val="000000"/>
          <w:lang w:val="hr-HR"/>
        </w:rPr>
        <w:t>Zastupnici liberalne trgovine zastupaju tezu da je liberalna trgovinska politika nužna za ekonomski rast, međutim, činjenica je da ona nije dovoljna sama po sebi osigurati rast trgovine. Kad se trgovinska reforma provodi u nestabilnom makroekonomskom okruženju ili se provodi bez osmišljene ekonomske politike ne postiže se ekonomski rast.</w:t>
      </w:r>
      <w:r>
        <w:tab/>
      </w:r>
      <w:r>
        <w:tab/>
      </w:r>
      <w:r>
        <w:tab/>
      </w:r>
      <w:r>
        <w:tab/>
      </w:r>
      <w:r>
        <w:rPr>
          <w:color w:val="000000"/>
          <w:lang w:val="hr-HR"/>
        </w:rPr>
        <w:t xml:space="preserve">Učinkovita ekonomska politika traži aktivno sudjelovanje svih zainteresiranih strana i postojanje institucionalne osnove za provođenje trgovinske politike. </w:t>
      </w:r>
      <w:r>
        <w:rPr>
          <w:color w:val="000000"/>
          <w:sz w:val="16"/>
          <w:szCs w:val="16"/>
          <w:lang w:val="hr-HR"/>
        </w:rPr>
        <w:t xml:space="preserve"> </w:t>
      </w:r>
      <w:r>
        <w:rPr>
          <w:color w:val="000000"/>
          <w:lang w:val="hr-HR"/>
        </w:rPr>
        <w:t>Shodno tome, iznimno je važno uspostaviti virtuozni krug rasta trgovine i ekonomskog rasta:</w:t>
      </w:r>
      <w:r>
        <w:rPr>
          <w:rStyle w:val="FootnoteReference"/>
          <w:color w:val="000000"/>
          <w:lang w:val="hr-HR"/>
        </w:rPr>
        <w:footnoteReference w:id="11"/>
      </w:r>
    </w:p>
    <w:p w:rsidR="009F3EE7" w:rsidRDefault="009F3EE7" w:rsidP="00EC1A33">
      <w:pPr>
        <w:numPr>
          <w:ilvl w:val="0"/>
          <w:numId w:val="19"/>
        </w:numPr>
        <w:autoSpaceDE w:val="0"/>
        <w:autoSpaceDN w:val="0"/>
        <w:adjustRightInd w:val="0"/>
        <w:spacing w:before="0"/>
        <w:rPr>
          <w:color w:val="000000"/>
          <w:lang w:val="hr-HR"/>
        </w:rPr>
      </w:pPr>
      <w:r>
        <w:rPr>
          <w:color w:val="000000"/>
          <w:lang w:val="hr-HR"/>
        </w:rPr>
        <w:t>Ekonomsko-politički poticaji uspostavi tuzemnih malih i srednjih transnacionalnih tvrtki (TT),</w:t>
      </w:r>
    </w:p>
    <w:p w:rsidR="009F3EE7" w:rsidRDefault="009F3EE7" w:rsidP="00EC1A33">
      <w:pPr>
        <w:numPr>
          <w:ilvl w:val="0"/>
          <w:numId w:val="19"/>
        </w:numPr>
        <w:autoSpaceDE w:val="0"/>
        <w:autoSpaceDN w:val="0"/>
        <w:adjustRightInd w:val="0"/>
        <w:spacing w:before="0"/>
        <w:rPr>
          <w:color w:val="000000"/>
          <w:lang w:val="hr-HR"/>
        </w:rPr>
      </w:pPr>
      <w:r>
        <w:rPr>
          <w:color w:val="000000"/>
          <w:lang w:val="hr-HR"/>
        </w:rPr>
        <w:t>Povećanje izvoznih mogućnosti tuzemnih malih i srednjih TT kroz podugovaranje poslova za inozemne TT,</w:t>
      </w:r>
    </w:p>
    <w:p w:rsidR="009F3EE7" w:rsidRDefault="009F3EE7" w:rsidP="00EC1A33">
      <w:pPr>
        <w:numPr>
          <w:ilvl w:val="0"/>
          <w:numId w:val="19"/>
        </w:numPr>
        <w:autoSpaceDE w:val="0"/>
        <w:autoSpaceDN w:val="0"/>
        <w:adjustRightInd w:val="0"/>
        <w:spacing w:before="0"/>
        <w:rPr>
          <w:color w:val="000000"/>
          <w:lang w:val="hr-HR"/>
        </w:rPr>
      </w:pPr>
      <w:r>
        <w:rPr>
          <w:color w:val="000000"/>
          <w:lang w:val="hr-HR"/>
        </w:rPr>
        <w:t>Povećanje vještina uključujući radne,</w:t>
      </w:r>
    </w:p>
    <w:p w:rsidR="009F3EE7" w:rsidRDefault="009F3EE7" w:rsidP="00EC1A33">
      <w:pPr>
        <w:numPr>
          <w:ilvl w:val="0"/>
          <w:numId w:val="19"/>
        </w:numPr>
        <w:autoSpaceDE w:val="0"/>
        <w:autoSpaceDN w:val="0"/>
        <w:adjustRightInd w:val="0"/>
        <w:spacing w:before="0"/>
        <w:rPr>
          <w:color w:val="000000"/>
          <w:lang w:val="hr-HR"/>
        </w:rPr>
      </w:pPr>
      <w:r>
        <w:rPr>
          <w:color w:val="000000"/>
          <w:lang w:val="hr-HR"/>
        </w:rPr>
        <w:t xml:space="preserve">Povećanje uvoza i još više izvoza, </w:t>
      </w:r>
    </w:p>
    <w:p w:rsidR="009F3EE7" w:rsidRDefault="009F3EE7" w:rsidP="00EC1A33">
      <w:pPr>
        <w:numPr>
          <w:ilvl w:val="0"/>
          <w:numId w:val="19"/>
        </w:numPr>
        <w:autoSpaceDE w:val="0"/>
        <w:autoSpaceDN w:val="0"/>
        <w:adjustRightInd w:val="0"/>
        <w:spacing w:before="0"/>
        <w:rPr>
          <w:color w:val="000000"/>
          <w:lang w:val="hr-HR"/>
        </w:rPr>
      </w:pPr>
      <w:r>
        <w:rPr>
          <w:color w:val="000000"/>
          <w:lang w:val="hr-HR"/>
        </w:rPr>
        <w:t>Povećanje produktivnost i obima proizvodnje,</w:t>
      </w:r>
    </w:p>
    <w:p w:rsidR="009F3EE7" w:rsidRDefault="009F3EE7" w:rsidP="00EC1A33">
      <w:pPr>
        <w:numPr>
          <w:ilvl w:val="0"/>
          <w:numId w:val="19"/>
        </w:numPr>
        <w:autoSpaceDE w:val="0"/>
        <w:autoSpaceDN w:val="0"/>
        <w:adjustRightInd w:val="0"/>
        <w:spacing w:before="0"/>
        <w:rPr>
          <w:color w:val="000000"/>
          <w:lang w:val="hr-HR"/>
        </w:rPr>
      </w:pPr>
      <w:r>
        <w:rPr>
          <w:color w:val="000000"/>
          <w:lang w:val="hr-HR"/>
        </w:rPr>
        <w:t>Povećanje plaća i zaposlenosti,</w:t>
      </w:r>
    </w:p>
    <w:p w:rsidR="009F3EE7" w:rsidRDefault="009F3EE7" w:rsidP="00EC1A33">
      <w:pPr>
        <w:numPr>
          <w:ilvl w:val="0"/>
          <w:numId w:val="19"/>
        </w:numPr>
        <w:autoSpaceDE w:val="0"/>
        <w:autoSpaceDN w:val="0"/>
        <w:adjustRightInd w:val="0"/>
        <w:spacing w:before="0"/>
        <w:rPr>
          <w:color w:val="000000"/>
          <w:lang w:val="hr-HR"/>
        </w:rPr>
      </w:pPr>
      <w:r>
        <w:rPr>
          <w:color w:val="000000"/>
          <w:lang w:val="hr-HR"/>
        </w:rPr>
        <w:t>Diversifikacija/povećanje tražnje i potrošnje i</w:t>
      </w:r>
    </w:p>
    <w:p w:rsidR="009F3EE7" w:rsidRDefault="009F3EE7" w:rsidP="00EC1A33">
      <w:pPr>
        <w:numPr>
          <w:ilvl w:val="0"/>
          <w:numId w:val="19"/>
        </w:numPr>
        <w:autoSpaceDE w:val="0"/>
        <w:autoSpaceDN w:val="0"/>
        <w:adjustRightInd w:val="0"/>
        <w:spacing w:before="0"/>
        <w:rPr>
          <w:color w:val="000000"/>
          <w:lang w:val="hr-HR"/>
        </w:rPr>
      </w:pPr>
      <w:r>
        <w:rPr>
          <w:color w:val="000000"/>
          <w:lang w:val="hr-HR"/>
        </w:rPr>
        <w:t>Veća integracija u međunarodno poslovno okruženje.</w:t>
      </w:r>
    </w:p>
    <w:p w:rsidR="009F3EE7" w:rsidRDefault="009F3EE7" w:rsidP="000E57DD">
      <w:pPr>
        <w:tabs>
          <w:tab w:val="left" w:pos="567"/>
          <w:tab w:val="left" w:pos="6045"/>
        </w:tabs>
        <w:spacing w:after="200"/>
      </w:pPr>
      <w:r>
        <w:tab/>
      </w:r>
      <w:r>
        <w:rPr>
          <w:color w:val="000000"/>
          <w:lang w:val="hr-HR"/>
        </w:rPr>
        <w:t>Otvorenost trgovine  prije svega znači, stimuliranje izvoza, a manje supstitucije uvoza. Da bi ostvarivala viši dohodak, BiH mora povećati veličinu izvoza tako da se izvoz kao postotak GDP ili još bolje izvoz per capita povećava. Nije glavni cilj izvozno-vođene strategije povećati trgovinski suficit i devizne rezerve nego postupno povećavati produktivnu zaposlenosti, povećavati izvoz i uvoz te konačno ostvarivati brži rast.</w:t>
      </w:r>
      <w:r>
        <w:tab/>
      </w:r>
      <w:r>
        <w:tab/>
      </w:r>
      <w:r>
        <w:tab/>
      </w:r>
      <w:r>
        <w:rPr>
          <w:color w:val="000000"/>
          <w:lang w:val="hr-HR"/>
        </w:rPr>
        <w:t>Neovisnost BiH i njeno ustrojstvo prouzrokovala je višestruko povećanje javnih usluga. U ovako maloj zemlji kakva je BiH javne usluge bi morale biti učinkovite s malim administrativnim aparatom.</w:t>
      </w:r>
      <w:r>
        <w:tab/>
      </w:r>
      <w:r>
        <w:tab/>
      </w:r>
      <w:r>
        <w:tab/>
      </w:r>
      <w:r>
        <w:tab/>
      </w:r>
      <w:r>
        <w:tab/>
      </w:r>
      <w:r>
        <w:rPr>
          <w:color w:val="000000"/>
          <w:lang w:val="hr-HR"/>
        </w:rPr>
        <w:t>Razina izvoza BiH, mjerena udjelom veličine izvoza u GDP i veličinom izvoza p.c., je višestruko niža u odnosu na napredne tranzicijske zemlje kao i zemlje u okruženju. Poticaj vanjskoj trgovini pored smanjenja i ukidanja carina daju i pojednostavljene procedure vezane za poslove izvoza i uvoza.</w:t>
      </w:r>
      <w:r>
        <w:t xml:space="preserve"> </w:t>
      </w:r>
      <w:r>
        <w:rPr>
          <w:color w:val="000000"/>
          <w:lang w:val="hr-HR"/>
        </w:rPr>
        <w:t>Unutarnja i izvozna konkurentnost poduzeća ovisi o njihovom pristupu odgovarajućim sirovinama i nabavama bez obzira da li su s tuzemnih ili inozemnih tržišta. Za malu otvorenu ekonomiju praktično nema restrikcija uvedenih radi zaštitite tuzemnih proizvođača, a da u isto vrijeme nemaju negativan efekt na konkurentnost tuzemnih proizvođača.</w:t>
      </w:r>
      <w:r>
        <w:tab/>
      </w:r>
      <w:r>
        <w:tab/>
      </w:r>
      <w:r>
        <w:tab/>
      </w:r>
      <w:r>
        <w:tab/>
      </w:r>
      <w:r>
        <w:tab/>
      </w:r>
      <w:r>
        <w:rPr>
          <w:color w:val="000000"/>
          <w:lang w:val="hr-HR"/>
        </w:rPr>
        <w:t xml:space="preserve">Radi ovakvih, a i drugih štetnih mjera te radi slabljenja globalne konkurentnosti tuzemnih proizvođača, uspostavljen je trend slabljenja izvozne aktivnosti. Izvoz BiH u odnosu na napredne tranzicijske zemlje stalno je u padu. Slabljenjem ekonomske aktivnosti u zemljama-partnerima smanjuje tražnju za bh robom, što neprekidno pogoršava izvozne, a time i ekonomske performanse bh ekonomije. </w:t>
      </w:r>
      <w:r>
        <w:tab/>
      </w:r>
      <w:r>
        <w:tab/>
      </w:r>
      <w:r>
        <w:tab/>
      </w:r>
      <w:r>
        <w:rPr>
          <w:color w:val="000000"/>
          <w:lang w:val="hr-HR"/>
        </w:rPr>
        <w:t xml:space="preserve">Izvoz BiH je usko lociran, od ukupnog bh izvoza u 2016.god. 86% otpada na dvije grupacije zemalja: EU i CEFTA. Na izvoz u EU otpada 71%, a na izvoz u zemlje CEFTA 15% ukupnog bh izvoza. Bh izvoz je vrlo niske tehnološke razine, samo par postotaka ukupnog izvoza odnosi se na visoke tehnologije. </w:t>
      </w:r>
    </w:p>
    <w:p w:rsidR="009F3EE7" w:rsidRDefault="009F3EE7" w:rsidP="000E57DD">
      <w:pPr>
        <w:tabs>
          <w:tab w:val="left" w:pos="567"/>
          <w:tab w:val="left" w:pos="6045"/>
        </w:tabs>
        <w:spacing w:after="200"/>
      </w:pPr>
      <w:r w:rsidRPr="000E57DD">
        <w:rPr>
          <w:b/>
        </w:rPr>
        <w:t>3</w:t>
      </w:r>
      <w:r>
        <w:t xml:space="preserve">. </w:t>
      </w:r>
      <w:r w:rsidRPr="000E57DD">
        <w:rPr>
          <w:b/>
          <w:color w:val="000000"/>
          <w:lang w:val="hr-HR"/>
        </w:rPr>
        <w:t>“DIJAMANT TEORIJA“ MICHAELA PORTERA</w:t>
      </w:r>
    </w:p>
    <w:p w:rsidR="009F3EE7" w:rsidRDefault="009F3EE7" w:rsidP="000E57DD">
      <w:pPr>
        <w:tabs>
          <w:tab w:val="left" w:pos="567"/>
          <w:tab w:val="left" w:pos="6045"/>
        </w:tabs>
        <w:spacing w:after="200"/>
        <w:rPr>
          <w:color w:val="000000"/>
          <w:lang w:val="hr-HR"/>
        </w:rPr>
      </w:pPr>
      <w:r>
        <w:tab/>
      </w:r>
      <w:r w:rsidRPr="000E57DD">
        <w:rPr>
          <w:color w:val="000000"/>
          <w:lang w:val="hr-HR"/>
        </w:rPr>
        <w:t xml:space="preserve">Tokom 1980 profesor Michael Porter, sa univerziteta Harvard u SAD, izvršio je opširno istraživanje u svijetu kako bi ispitao sheme i determinante za uspjeh u razvoju konkurentnosti u 10 zemalja . U knjizi, Konkurentna prednost nacija, objavljenoj 1990, profesor Porter ističe da je korijen konkurentnosti u prirodi okruženja u kojem firme djeluju. Konkretno, veća je vjerojatnoća da će konkurentne firme nastati ako postoje slijedeći uvjeti: </w:t>
      </w:r>
    </w:p>
    <w:p w:rsidR="009F3EE7" w:rsidRDefault="009F3EE7" w:rsidP="000E57DD">
      <w:pPr>
        <w:numPr>
          <w:ilvl w:val="0"/>
          <w:numId w:val="20"/>
        </w:numPr>
        <w:spacing w:before="0"/>
        <w:rPr>
          <w:lang w:val="hr-HR"/>
        </w:rPr>
      </w:pPr>
      <w:r>
        <w:rPr>
          <w:color w:val="000000"/>
          <w:lang w:val="hr-HR"/>
        </w:rPr>
        <w:t>lokalno okruženje ohrabruje efikasnost, investicije i nadgradnju; postoji otvorena i snažna konkurencija između lokalnih firmi (strategija i rivalstvo);</w:t>
      </w:r>
    </w:p>
    <w:p w:rsidR="009F3EE7" w:rsidRDefault="009F3EE7" w:rsidP="000E57DD">
      <w:pPr>
        <w:numPr>
          <w:ilvl w:val="0"/>
          <w:numId w:val="20"/>
        </w:numPr>
        <w:spacing w:before="0"/>
        <w:rPr>
          <w:lang w:val="hr-HR"/>
        </w:rPr>
      </w:pPr>
      <w:r>
        <w:rPr>
          <w:color w:val="000000"/>
          <w:lang w:val="hr-HR"/>
        </w:rPr>
        <w:t>lokalno okruženje omogućava firmama visokokvalitetne i specijalizirane informacije, uključujući ljudske resurse; fizičku infrastrukturu; novac; naučnu i tehnološku infrastrukturu, informacijsku infrastrukturu, i prirodne izvore (uvjeti faktora);</w:t>
      </w:r>
    </w:p>
    <w:p w:rsidR="009F3EE7" w:rsidRDefault="009F3EE7" w:rsidP="000E57DD">
      <w:pPr>
        <w:numPr>
          <w:ilvl w:val="0"/>
          <w:numId w:val="20"/>
        </w:numPr>
        <w:spacing w:before="0"/>
        <w:rPr>
          <w:lang w:val="hr-HR"/>
        </w:rPr>
      </w:pPr>
      <w:r>
        <w:rPr>
          <w:color w:val="000000"/>
          <w:lang w:val="hr-HR"/>
        </w:rPr>
        <w:t>postoji jezgro potrošača sa sofisticiranim potrebama koje omogućavaju kompanijama razvoj inovativnih, visoko kvalitetnih proizvoda i roba; (uvjeti potražnje);</w:t>
      </w:r>
    </w:p>
    <w:p w:rsidR="009F3EE7" w:rsidRDefault="009F3EE7" w:rsidP="000E57DD">
      <w:pPr>
        <w:numPr>
          <w:ilvl w:val="0"/>
          <w:numId w:val="20"/>
        </w:numPr>
        <w:spacing w:before="0"/>
        <w:rPr>
          <w:lang w:val="hr-HR"/>
        </w:rPr>
      </w:pPr>
      <w:r>
        <w:rPr>
          <w:color w:val="000000"/>
          <w:lang w:val="hr-HR"/>
        </w:rPr>
        <w:t>ako umjesto izoliranih industrija postoje klasteri koji obuhvaćaju sposobne, lokalne dobavljače i poduzeća u povezanim oblastima (povezane i industrije podrške)</w:t>
      </w:r>
    </w:p>
    <w:p w:rsidR="009F3EE7" w:rsidRDefault="009F3EE7" w:rsidP="000E57DD">
      <w:pPr>
        <w:numPr>
          <w:ilvl w:val="0"/>
          <w:numId w:val="20"/>
        </w:numPr>
        <w:spacing w:before="0"/>
        <w:rPr>
          <w:lang w:val="hr-HR"/>
        </w:rPr>
      </w:pPr>
      <w:r>
        <w:rPr>
          <w:color w:val="000000"/>
          <w:lang w:val="hr-HR"/>
        </w:rPr>
        <w:t xml:space="preserve">postoji snažno međusobno djelovanje ova četiri elementa, koje stimuliraju stalni pritisak za inovacije i unaprjeđenje u sposobnostima. </w:t>
      </w:r>
    </w:p>
    <w:p w:rsidR="009F3EE7" w:rsidRDefault="009F3EE7" w:rsidP="000E57DD">
      <w:pPr>
        <w:tabs>
          <w:tab w:val="left" w:pos="567"/>
          <w:tab w:val="left" w:pos="6045"/>
        </w:tabs>
        <w:spacing w:after="200"/>
        <w:rPr>
          <w:color w:val="000000"/>
          <w:lang w:val="hr-HR"/>
        </w:rPr>
      </w:pPr>
      <w:r>
        <w:tab/>
      </w:r>
      <w:r>
        <w:rPr>
          <w:color w:val="000000"/>
          <w:lang w:val="hr-HR"/>
        </w:rPr>
        <w:t xml:space="preserve">Porterova teorija konkurentnosti snažno je djelovala na način na koji su vlade, organizacije i firme u razvijenim, zemljama u tranziciji i zemljama u razvoju krenule putem konkurentnosti. Njegova poruka liderima vlada bila je jasna: Makroekonomske reforme su bitne ali ne i dovoljne da bi se povećala produktivnost. Mikroekonomske reforme su također bitne, jer su to reforme koje jačaju i oblikuju četiri opisana ugla dijamanta i njihovu međusobnu povezanost. Ove mikroekonomske reforme se odvijaju na razini poduzeća. Njegova poruka poduzećima bila je jednako jasna: Sposobnost poduzeća da postignu konkurentnu prednost ovisi pored njihove strategije, inovacija i poslova, također i od ekstenih faktora i institucija. Uz to, široka, zajednička akcija vladinih i poslovnih institucija je potrebna da bi se stvorilo okruženje koje jača konkurentnost. </w:t>
      </w:r>
    </w:p>
    <w:p w:rsidR="009F3EE7" w:rsidRDefault="009F3EE7" w:rsidP="000E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hr-HR"/>
        </w:rPr>
      </w:pPr>
      <w:r w:rsidRPr="00612EA2">
        <w:rPr>
          <w:noProof/>
          <w:lang w:val="hr-HR" w:eastAsia="hr-HR"/>
        </w:rPr>
        <w:pict>
          <v:shape id="Picture 1" o:spid="_x0000_i1027" type="#_x0000_t75" style="width:412.5pt;height:174.75pt;visibility:visible">
            <v:imagedata r:id="rId9" o:title=""/>
          </v:shape>
        </w:pict>
      </w:r>
    </w:p>
    <w:p w:rsidR="009F3EE7" w:rsidRPr="00640128" w:rsidRDefault="009F3EE7" w:rsidP="000E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color w:val="000000"/>
          <w:sz w:val="22"/>
          <w:szCs w:val="22"/>
          <w:lang w:val="hr-HR"/>
        </w:rPr>
      </w:pPr>
      <w:r w:rsidRPr="00640128">
        <w:rPr>
          <w:i/>
          <w:color w:val="000000"/>
          <w:sz w:val="22"/>
          <w:szCs w:val="22"/>
          <w:lang w:val="hr-HR"/>
        </w:rPr>
        <w:t>Slika 3. Porterov model dijamanta</w:t>
      </w:r>
    </w:p>
    <w:p w:rsidR="009F3EE7" w:rsidRDefault="009F3EE7" w:rsidP="000E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hr-HR"/>
        </w:rPr>
      </w:pPr>
    </w:p>
    <w:p w:rsidR="009F3EE7" w:rsidRDefault="009F3EE7" w:rsidP="000E57DD">
      <w:pPr>
        <w:pStyle w:val="Defaul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bCs/>
        </w:rPr>
        <w:t>KLASTERI KAO POKRETAČI RAZVOJA I INOVACIJA</w:t>
      </w:r>
    </w:p>
    <w:p w:rsidR="009F3EE7" w:rsidRDefault="009F3EE7" w:rsidP="00486C46">
      <w:pPr>
        <w:tabs>
          <w:tab w:val="left" w:pos="567"/>
          <w:tab w:val="left" w:pos="6045"/>
        </w:tabs>
        <w:spacing w:after="200"/>
      </w:pPr>
      <w:r>
        <w:rPr>
          <w:color w:val="000000"/>
          <w:lang w:val="hr-HR"/>
        </w:rPr>
        <w:tab/>
      </w:r>
      <w:r>
        <w:t>Termin industrijski, odnosno poslovni klaster popularizirao je Porter u svojoj knjizi „Konkurentska prednost nacija.“ Klastere možemo promatrati na više načina: kao koncepciju, fenomen, strategiju, strateški savez, organizacijsku strukturu itd. Za prepoznavanje klastera bitni su sljedeći pojmovi:</w:t>
      </w:r>
      <w:r>
        <w:rPr>
          <w:rStyle w:val="FootnoteReference"/>
        </w:rPr>
        <w:footnoteReference w:id="12"/>
      </w:r>
      <w:r>
        <w:t xml:space="preserve"> zajednički proizvodi, zemljopisna koncentracija, međusobna povezanost, zajednička tržišta, specijalizacija, aktivna uključenost obrazovnih institucija i državnih tijela. </w:t>
      </w:r>
      <w:r>
        <w:tab/>
      </w:r>
      <w:r>
        <w:tab/>
      </w:r>
      <w:r>
        <w:tab/>
      </w:r>
      <w:r>
        <w:tab/>
        <w:t>Kooperacija predstavlja jedan od najvažnijih elemenata bez kojih ne može funkcionirati ni jedan klaster, budući da određuje odnose između subjekata koji su članovi klastera. Kooperacija je zajedničko djelovanje najmanje dva poduzeća u cilju promjene situacije u kojoj se nalaze. Uz moto „zajedno smo jači“ svaki sudionik doprinosi posebnim vještinama te istodobno profitira kroz suradnju s ostalim poduzećima. Rezultat toga je poboljšanje zajedničkog poslovnog učinka koji je u određenoj mjeri viši od zbroja pojedinačnih rezultata svakog poduzeća. Upravo to predstavlja novostvorenu vrijednost kooperacije koja se još naziva i „sinergijski učinak“. Za kooperaciju su karakteristična sljedeća obilježja: stvaranje određene koristi, usmjerenost na jake strane poduzeća, zadržavanje funkcionalne autonomije poduzeća koja ulaze u kooperaciju, nastajanje novih sustava odnosa.</w:t>
      </w:r>
      <w:r>
        <w:rPr>
          <w:rStyle w:val="FootnoteReference"/>
        </w:rPr>
        <w:footnoteReference w:id="13"/>
      </w:r>
      <w:r>
        <w:t xml:space="preserve">  Kad se više poduzeća iz neke gospodarske grane, ili dijelova nekog lanca stvaranja novih vrijednosti, počnu povezivati u raznovrsne kooperacije nastaje klaster. </w:t>
      </w:r>
      <w:r>
        <w:tab/>
      </w:r>
      <w:r>
        <w:tab/>
      </w:r>
      <w:r>
        <w:tab/>
      </w:r>
      <w:r>
        <w:tab/>
        <w:t>Ukoliko poduzeća, pa i gospodarstva određenih država, žele biti konkurentna i postići uspjeh na globalnom tržištu, moraju pronalaziti nove načine poslovanja; dakle, moraju biti inovativni. Inovacije su svakako jedan od glavnih pokretača gospodarskog razvoja i konkurentnosti. Inovacije možemo promatrati kroz sljedećih pet oblika:</w:t>
      </w:r>
      <w:r>
        <w:rPr>
          <w:rStyle w:val="FootnoteReference"/>
        </w:rPr>
        <w:footnoteReference w:id="14"/>
      </w:r>
      <w:r>
        <w:t xml:space="preserve"> (1) novi proizvodi, (2) novi procesi, (3) nova tržišta, (4) novi resursi i (5) nove organizacije.</w:t>
      </w:r>
      <w:r>
        <w:tab/>
        <w:t xml:space="preserve">Europska komisija prihvatila je koncept klastera kao važan pokretač konkurentnosti i inovacija iz razloga što je pomoću njih lakše postići interakciju između povezanih poduzeća, obrazovnih institucija, istraživačkog i razvojnog sektora (R&amp;D), javnog sektora itd.. Upravo iz razloga što klasteri omogućavaju stvaranje sinergijskog učinka između velikog broja partnerskih poduzeća i pratećih institucija, mnogo je lakši razvoj inovacija, za razliku od poduzeća koja djeluju samostalno. </w:t>
      </w:r>
      <w:r>
        <w:tab/>
      </w:r>
      <w:r>
        <w:tab/>
      </w:r>
      <w:r>
        <w:tab/>
      </w:r>
      <w:r>
        <w:tab/>
      </w:r>
      <w:r>
        <w:tab/>
        <w:t>Kako klasteri mogu uključivati velik broj različitih subjekata, od ključne je važnosti i razvoj uspješnog sustava informiranja i povezivanja partnera u klasteru s  klijentima klastera koji bi se trebao temeljiti na inovativnim IT rješenjima.</w:t>
      </w:r>
      <w:r>
        <w:rPr>
          <w:rStyle w:val="FootnoteReference"/>
        </w:rPr>
        <w:footnoteReference w:id="15"/>
      </w:r>
      <w:r>
        <w:t xml:space="preserve"> Inovativni sustavi informiranja također mogu doprinijeti i olakšati razvoj novih proizvoda i procesa unutar klastera, pristup novim tržištima i pridonijeti boljoj učinkovitosti klaster menadžmenta.</w:t>
      </w:r>
    </w:p>
    <w:p w:rsidR="009F3EE7" w:rsidRDefault="009F3EE7" w:rsidP="00486C46">
      <w:pPr>
        <w:pStyle w:val="ListParagraph"/>
        <w:numPr>
          <w:ilvl w:val="0"/>
          <w:numId w:val="32"/>
        </w:numPr>
        <w:tabs>
          <w:tab w:val="left" w:pos="567"/>
          <w:tab w:val="left" w:pos="6045"/>
        </w:tabs>
        <w:spacing w:after="200"/>
      </w:pPr>
      <w:r w:rsidRPr="00486C46">
        <w:rPr>
          <w:b/>
        </w:rPr>
        <w:t xml:space="preserve"> IZVJEŠTAJ O GLOBALNOJ KONKURENTNOSTI</w:t>
      </w:r>
    </w:p>
    <w:p w:rsidR="009F3EE7" w:rsidRDefault="009F3EE7" w:rsidP="004A5606">
      <w:pPr>
        <w:tabs>
          <w:tab w:val="left" w:pos="567"/>
          <w:tab w:val="left" w:pos="6045"/>
        </w:tabs>
        <w:spacing w:after="200"/>
      </w:pPr>
      <w:r>
        <w:tab/>
        <w:t>Izvještaj o globalnoj konkurentnosti je procjena konkurentnosti nacionalnih ekonomija, koji predstavlja korisnu sliku privrednog okruženja i sposobnost država da dostignu održivu razinu prosperiteta i rasta. Izvještaj o globalnoj konkurentnosti 2012-2013</w:t>
      </w:r>
      <w:r>
        <w:rPr>
          <w:rStyle w:val="FootnoteReference"/>
        </w:rPr>
        <w:footnoteReference w:id="16"/>
      </w:r>
      <w:r>
        <w:rPr>
          <w:b/>
          <w:bCs/>
        </w:rPr>
        <w:t xml:space="preserve"> </w:t>
      </w:r>
      <w:r>
        <w:t>nastaje u uvjetima višestrukih izazova globalne ekonomije i nastojanja da se izađe iz krize u koju je zapala svjetska ekonomija. Većina zemalja u razvoju još uvijek ima relativno visok rast ekonomije, dok mnoge napredne ekonomije nastavljaju sa neznatnim rastom, sporim oporavkom, rastom nezaposlenosti i financijske ranjivosti, bez jasnog vidika za značajniji napredak.</w:t>
      </w:r>
      <w:r>
        <w:rPr>
          <w:rStyle w:val="FootnoteReference"/>
        </w:rPr>
        <w:footnoteReference w:id="17"/>
      </w:r>
      <w:r>
        <w:t xml:space="preserve"> Oporavak dodatno usporavaju, rastuće cijene strateških roba i roba široke potrošnje i smanjuju kupovnu moć potrošača.</w:t>
      </w:r>
      <w:r>
        <w:tab/>
      </w:r>
      <w:r>
        <w:tab/>
      </w:r>
      <w:r>
        <w:tab/>
        <w:t xml:space="preserve">Svjetski ekonomski forum, više od trideset godina, osigurava detaljnu procjenu produktivnog potencijala država širom svijeta. Izvještaj omogućava razumijevanje ključnih faktora koje određuju ekonomski rast, objašnjava zašto su neke zemlje uspješnije od drugih. Ovogodišnji Izvještaj obuhvaća rekordan broj od 144 zemlje i predstavlja najobuhvatniju procjenu ove vrste. Izvještaj sadrži detaljni profil ekonomije svake zemlje i tabele s podacima globalnog rangiranja s preko 100 indikatora. </w:t>
      </w:r>
      <w:r>
        <w:tab/>
      </w:r>
      <w:r>
        <w:tab/>
      </w:r>
      <w:r>
        <w:tab/>
      </w:r>
      <w:r>
        <w:tab/>
        <w:t xml:space="preserve">Od 2005. godine, Svjetski ekonomski forum (WEF - World Economic Forum) zasnovao je analizu konkurentnosti na Indeksu globalne konkurentnosti (GCI-Global Competitiveness Index), vrlo obuhvatnom indeksu, koji obuhvaća mikroekonomske i makroekonomske osnove konkurentnosti jedne zemlje. Prema Indeksu globalne konkurentnosti (GCI) zemlje prolaze kroz tri faze razvoja. U prvoj fazi za rast produktivnosti važni su osnovni faktori konkurentnosti: dobro funkcioniranje javnih i privatnih institucija (I stup), dobro razvijena infrastrukture (II stup), stabilan makroekonomski okvir (III stup) i dobra zdrava i pismena radna snaga (IV stup). </w:t>
      </w:r>
      <w:r>
        <w:tab/>
      </w:r>
      <w:r>
        <w:tab/>
      </w:r>
      <w:r>
        <w:tab/>
        <w:t xml:space="preserve">Daljim razvojem, zemlje ulaze u drugu fazu gdje ostvaruju efikasnije proizvodne procese i rastuća kvaliteta proizvoda. U ovoj fazi na rast konkurentnosti utječu visoko obrazovanje i stručne obuke (V stup), efikasno tržište roba (VI stup), dobro funkcioniranje tržišta rada (VII stup), sofisticiranost financijskog tržišta (VIII stup), veliko domaće i inostrano tržište (X stup) i mogućnost iskorištavanja postojećih tehnologija (IX stup). Konačno, zemlje prelaze u treću fazu  u kojoj je rast produktivnosti i konkurentnosti uvjetovan faktorima visoke poslovne sofisticiranosti (XI stup) i inovacijama (XII stup). </w:t>
      </w:r>
      <w:r>
        <w:tab/>
      </w:r>
      <w:r>
        <w:tab/>
      </w:r>
      <w:r>
        <w:tab/>
      </w:r>
      <w:r>
        <w:tab/>
      </w:r>
    </w:p>
    <w:tbl>
      <w:tblPr>
        <w:tblW w:w="9622" w:type="dxa"/>
        <w:tblLook w:val="01E0"/>
      </w:tblPr>
      <w:tblGrid>
        <w:gridCol w:w="2737"/>
        <w:gridCol w:w="236"/>
        <w:gridCol w:w="3418"/>
        <w:gridCol w:w="236"/>
        <w:gridCol w:w="2995"/>
      </w:tblGrid>
      <w:tr w:rsidR="009F3EE7" w:rsidRPr="00612EA2" w:rsidTr="00D57D49">
        <w:tc>
          <w:tcPr>
            <w:tcW w:w="2737" w:type="dxa"/>
            <w:tcBorders>
              <w:top w:val="single" w:sz="4" w:space="0" w:color="auto"/>
              <w:left w:val="single" w:sz="4" w:space="0" w:color="auto"/>
              <w:bottom w:val="single" w:sz="4" w:space="0" w:color="auto"/>
              <w:right w:val="single" w:sz="4" w:space="0" w:color="auto"/>
            </w:tcBorders>
            <w:shd w:val="clear" w:color="auto" w:fill="FFFFFF"/>
          </w:tcPr>
          <w:p w:rsidR="009F3EE7" w:rsidRPr="00D57D49" w:rsidRDefault="009F3EE7" w:rsidP="00FE0A8A">
            <w:pPr>
              <w:pStyle w:val="Default"/>
              <w:jc w:val="both"/>
              <w:rPr>
                <w:color w:val="auto"/>
                <w:sz w:val="22"/>
                <w:szCs w:val="22"/>
              </w:rPr>
            </w:pPr>
            <w:r w:rsidRPr="00D57D49">
              <w:rPr>
                <w:b/>
                <w:bCs/>
                <w:color w:val="auto"/>
                <w:sz w:val="22"/>
                <w:szCs w:val="22"/>
              </w:rPr>
              <w:t xml:space="preserve">Osnovni uvjeti: </w:t>
            </w:r>
          </w:p>
          <w:p w:rsidR="009F3EE7" w:rsidRPr="00D57D49" w:rsidRDefault="009F3EE7" w:rsidP="00FE0A8A">
            <w:pPr>
              <w:pStyle w:val="Default"/>
              <w:numPr>
                <w:ilvl w:val="0"/>
                <w:numId w:val="23"/>
              </w:numPr>
              <w:rPr>
                <w:color w:val="auto"/>
                <w:sz w:val="22"/>
                <w:szCs w:val="22"/>
              </w:rPr>
            </w:pPr>
            <w:r w:rsidRPr="00D57D49">
              <w:rPr>
                <w:color w:val="auto"/>
                <w:sz w:val="22"/>
                <w:szCs w:val="22"/>
              </w:rPr>
              <w:t xml:space="preserve">institucije, </w:t>
            </w:r>
          </w:p>
          <w:p w:rsidR="009F3EE7" w:rsidRPr="00D57D49" w:rsidRDefault="009F3EE7" w:rsidP="00FE0A8A">
            <w:pPr>
              <w:pStyle w:val="Default"/>
              <w:numPr>
                <w:ilvl w:val="0"/>
                <w:numId w:val="23"/>
              </w:numPr>
              <w:rPr>
                <w:color w:val="auto"/>
                <w:sz w:val="22"/>
                <w:szCs w:val="22"/>
              </w:rPr>
            </w:pPr>
            <w:r w:rsidRPr="00D57D49">
              <w:rPr>
                <w:color w:val="auto"/>
                <w:sz w:val="22"/>
                <w:szCs w:val="22"/>
              </w:rPr>
              <w:t xml:space="preserve">infrastruktura, </w:t>
            </w:r>
          </w:p>
          <w:p w:rsidR="009F3EE7" w:rsidRPr="00D57D49" w:rsidRDefault="009F3EE7" w:rsidP="00FE0A8A">
            <w:pPr>
              <w:pStyle w:val="Default"/>
              <w:numPr>
                <w:ilvl w:val="0"/>
                <w:numId w:val="23"/>
              </w:numPr>
              <w:rPr>
                <w:color w:val="auto"/>
                <w:sz w:val="22"/>
                <w:szCs w:val="22"/>
              </w:rPr>
            </w:pPr>
            <w:r w:rsidRPr="00D57D49">
              <w:rPr>
                <w:bCs/>
                <w:color w:val="auto"/>
                <w:sz w:val="22"/>
                <w:szCs w:val="22"/>
              </w:rPr>
              <w:t xml:space="preserve">makroekonomska stabilnost, </w:t>
            </w:r>
          </w:p>
          <w:p w:rsidR="009F3EE7" w:rsidRDefault="009F3EE7" w:rsidP="00FE0A8A">
            <w:pPr>
              <w:pStyle w:val="Default"/>
              <w:numPr>
                <w:ilvl w:val="0"/>
                <w:numId w:val="23"/>
              </w:numPr>
              <w:rPr>
                <w:b/>
                <w:bCs/>
                <w:color w:val="auto"/>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7" type="#_x0000_t67" style="position:absolute;left:0;text-align:left;margin-left:46.05pt;margin-top:40pt;width:18pt;height:2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"/>
              </w:pict>
            </w:r>
            <w:r w:rsidRPr="00D57D49">
              <w:rPr>
                <w:color w:val="auto"/>
                <w:sz w:val="22"/>
                <w:szCs w:val="22"/>
              </w:rPr>
              <w:t>zdravstvo i osnovno obrazovanje</w:t>
            </w:r>
          </w:p>
        </w:tc>
        <w:tc>
          <w:tcPr>
            <w:tcW w:w="236" w:type="dxa"/>
            <w:tcBorders>
              <w:top w:val="single" w:sz="4" w:space="0" w:color="auto"/>
              <w:left w:val="single" w:sz="4" w:space="0" w:color="auto"/>
              <w:right w:val="single" w:sz="4" w:space="0" w:color="auto"/>
            </w:tcBorders>
          </w:tcPr>
          <w:p w:rsidR="009F3EE7" w:rsidRDefault="009F3EE7" w:rsidP="00FE0A8A">
            <w:pPr>
              <w:pStyle w:val="Default"/>
              <w:ind w:left="360"/>
              <w:jc w:val="both"/>
              <w:rPr>
                <w:b/>
                <w:bCs/>
                <w:color w:val="auto"/>
              </w:rPr>
            </w:pPr>
          </w:p>
        </w:tc>
        <w:tc>
          <w:tcPr>
            <w:tcW w:w="3418" w:type="dxa"/>
            <w:tcBorders>
              <w:top w:val="single" w:sz="4" w:space="0" w:color="auto"/>
              <w:left w:val="single" w:sz="4" w:space="0" w:color="auto"/>
              <w:bottom w:val="single" w:sz="4" w:space="0" w:color="auto"/>
              <w:right w:val="single" w:sz="4" w:space="0" w:color="auto"/>
            </w:tcBorders>
            <w:shd w:val="clear" w:color="auto" w:fill="FFFFFF"/>
          </w:tcPr>
          <w:p w:rsidR="009F3EE7" w:rsidRPr="00D57D49" w:rsidRDefault="009F3EE7" w:rsidP="00FE0A8A">
            <w:pPr>
              <w:pStyle w:val="Default"/>
              <w:rPr>
                <w:color w:val="auto"/>
                <w:sz w:val="22"/>
                <w:szCs w:val="22"/>
              </w:rPr>
            </w:pPr>
            <w:r w:rsidRPr="00D57D49">
              <w:rPr>
                <w:b/>
                <w:bCs/>
                <w:color w:val="auto"/>
                <w:sz w:val="22"/>
                <w:szCs w:val="22"/>
              </w:rPr>
              <w:t xml:space="preserve">Povećanje efikasnosti: </w:t>
            </w:r>
          </w:p>
          <w:p w:rsidR="009F3EE7" w:rsidRPr="00D57D49" w:rsidRDefault="009F3EE7" w:rsidP="00FE0A8A">
            <w:pPr>
              <w:pStyle w:val="Default"/>
              <w:numPr>
                <w:ilvl w:val="0"/>
                <w:numId w:val="24"/>
              </w:numPr>
              <w:rPr>
                <w:color w:val="auto"/>
                <w:sz w:val="22"/>
                <w:szCs w:val="22"/>
              </w:rPr>
            </w:pPr>
            <w:r w:rsidRPr="00D57D49">
              <w:rPr>
                <w:bCs/>
                <w:color w:val="auto"/>
                <w:sz w:val="22"/>
                <w:szCs w:val="22"/>
              </w:rPr>
              <w:t xml:space="preserve">visoko obrazovanje i stručna obuka, </w:t>
            </w:r>
          </w:p>
          <w:p w:rsidR="009F3EE7" w:rsidRPr="00D57D49" w:rsidRDefault="009F3EE7" w:rsidP="00FE0A8A">
            <w:pPr>
              <w:pStyle w:val="Default"/>
              <w:numPr>
                <w:ilvl w:val="0"/>
                <w:numId w:val="24"/>
              </w:numPr>
              <w:rPr>
                <w:color w:val="auto"/>
                <w:sz w:val="22"/>
                <w:szCs w:val="22"/>
              </w:rPr>
            </w:pPr>
            <w:r w:rsidRPr="00D57D49">
              <w:rPr>
                <w:bCs/>
                <w:color w:val="auto"/>
                <w:sz w:val="22"/>
                <w:szCs w:val="22"/>
              </w:rPr>
              <w:t xml:space="preserve">efikasnost tržišta roba, </w:t>
            </w:r>
          </w:p>
          <w:p w:rsidR="009F3EE7" w:rsidRPr="00D57D49" w:rsidRDefault="009F3EE7" w:rsidP="00FE0A8A">
            <w:pPr>
              <w:pStyle w:val="Default"/>
              <w:numPr>
                <w:ilvl w:val="0"/>
                <w:numId w:val="24"/>
              </w:numPr>
              <w:rPr>
                <w:color w:val="auto"/>
                <w:sz w:val="22"/>
                <w:szCs w:val="22"/>
              </w:rPr>
            </w:pPr>
            <w:r w:rsidRPr="00D57D49">
              <w:rPr>
                <w:color w:val="auto"/>
                <w:sz w:val="22"/>
                <w:szCs w:val="22"/>
              </w:rPr>
              <w:t xml:space="preserve">efikasnost tržišta radne snage, </w:t>
            </w:r>
          </w:p>
          <w:p w:rsidR="009F3EE7" w:rsidRPr="00D57D49" w:rsidRDefault="009F3EE7" w:rsidP="00FE0A8A">
            <w:pPr>
              <w:pStyle w:val="Default"/>
              <w:numPr>
                <w:ilvl w:val="0"/>
                <w:numId w:val="24"/>
              </w:numPr>
              <w:rPr>
                <w:color w:val="auto"/>
                <w:sz w:val="22"/>
                <w:szCs w:val="22"/>
              </w:rPr>
            </w:pPr>
            <w:r w:rsidRPr="00D57D49">
              <w:rPr>
                <w:color w:val="auto"/>
                <w:sz w:val="22"/>
                <w:szCs w:val="22"/>
              </w:rPr>
              <w:t xml:space="preserve">razvoj financijskog tržišta, </w:t>
            </w:r>
          </w:p>
          <w:p w:rsidR="009F3EE7" w:rsidRPr="00D57D49" w:rsidRDefault="009F3EE7" w:rsidP="00FE0A8A">
            <w:pPr>
              <w:pStyle w:val="Default"/>
              <w:numPr>
                <w:ilvl w:val="0"/>
                <w:numId w:val="24"/>
              </w:numPr>
              <w:rPr>
                <w:color w:val="auto"/>
                <w:sz w:val="22"/>
                <w:szCs w:val="22"/>
              </w:rPr>
            </w:pPr>
            <w:r w:rsidRPr="00D57D49">
              <w:rPr>
                <w:color w:val="auto"/>
                <w:sz w:val="22"/>
                <w:szCs w:val="22"/>
              </w:rPr>
              <w:t xml:space="preserve">tehnološka spremnost, </w:t>
            </w:r>
          </w:p>
          <w:p w:rsidR="009F3EE7" w:rsidRPr="00D57D49" w:rsidRDefault="009F3EE7" w:rsidP="00FE0A8A">
            <w:pPr>
              <w:pStyle w:val="Default"/>
              <w:numPr>
                <w:ilvl w:val="0"/>
                <w:numId w:val="24"/>
              </w:numPr>
              <w:rPr>
                <w:color w:val="auto"/>
                <w:sz w:val="22"/>
                <w:szCs w:val="22"/>
              </w:rPr>
            </w:pPr>
            <w:r w:rsidRPr="00D57D49">
              <w:rPr>
                <w:color w:val="auto"/>
                <w:sz w:val="22"/>
                <w:szCs w:val="22"/>
              </w:rPr>
              <w:t xml:space="preserve">veličina tržišta radne snage. </w:t>
            </w:r>
          </w:p>
          <w:p w:rsidR="009F3EE7" w:rsidRDefault="009F3EE7" w:rsidP="00FE0A8A">
            <w:pPr>
              <w:pStyle w:val="Default"/>
              <w:jc w:val="both"/>
              <w:rPr>
                <w:b/>
                <w:bCs/>
                <w:color w:val="auto"/>
              </w:rPr>
            </w:pPr>
          </w:p>
        </w:tc>
        <w:tc>
          <w:tcPr>
            <w:tcW w:w="236" w:type="dxa"/>
            <w:tcBorders>
              <w:top w:val="single" w:sz="4" w:space="0" w:color="auto"/>
              <w:left w:val="single" w:sz="4" w:space="0" w:color="auto"/>
              <w:right w:val="single" w:sz="4" w:space="0" w:color="auto"/>
            </w:tcBorders>
          </w:tcPr>
          <w:p w:rsidR="009F3EE7" w:rsidRDefault="009F3EE7" w:rsidP="00FE0A8A">
            <w:pPr>
              <w:pStyle w:val="Default"/>
              <w:jc w:val="both"/>
              <w:rPr>
                <w:b/>
                <w:bCs/>
                <w:color w:val="auto"/>
              </w:rPr>
            </w:pPr>
          </w:p>
        </w:tc>
        <w:tc>
          <w:tcPr>
            <w:tcW w:w="2995" w:type="dxa"/>
            <w:tcBorders>
              <w:top w:val="single" w:sz="4" w:space="0" w:color="auto"/>
              <w:left w:val="single" w:sz="4" w:space="0" w:color="auto"/>
              <w:bottom w:val="single" w:sz="4" w:space="0" w:color="auto"/>
              <w:right w:val="single" w:sz="4" w:space="0" w:color="auto"/>
            </w:tcBorders>
            <w:shd w:val="clear" w:color="auto" w:fill="FFFFFF"/>
          </w:tcPr>
          <w:p w:rsidR="009F3EE7" w:rsidRPr="00D57D49" w:rsidRDefault="009F3EE7" w:rsidP="00FE0A8A">
            <w:pPr>
              <w:pStyle w:val="Default"/>
              <w:rPr>
                <w:color w:val="auto"/>
                <w:sz w:val="22"/>
                <w:szCs w:val="22"/>
              </w:rPr>
            </w:pPr>
            <w:r w:rsidRPr="00D57D49">
              <w:rPr>
                <w:b/>
                <w:bCs/>
                <w:color w:val="auto"/>
                <w:sz w:val="22"/>
                <w:szCs w:val="22"/>
              </w:rPr>
              <w:t xml:space="preserve">Inovacije i sofisticiranost: </w:t>
            </w:r>
          </w:p>
          <w:p w:rsidR="009F3EE7" w:rsidRPr="00D57D49" w:rsidRDefault="009F3EE7" w:rsidP="00FE0A8A">
            <w:pPr>
              <w:pStyle w:val="Default"/>
              <w:rPr>
                <w:color w:val="auto"/>
                <w:sz w:val="22"/>
                <w:szCs w:val="22"/>
              </w:rPr>
            </w:pPr>
          </w:p>
          <w:p w:rsidR="009F3EE7" w:rsidRPr="00D57D49" w:rsidRDefault="009F3EE7" w:rsidP="00FE0A8A">
            <w:pPr>
              <w:pStyle w:val="Default"/>
              <w:numPr>
                <w:ilvl w:val="0"/>
                <w:numId w:val="25"/>
              </w:numPr>
              <w:rPr>
                <w:color w:val="auto"/>
                <w:sz w:val="22"/>
                <w:szCs w:val="22"/>
              </w:rPr>
            </w:pPr>
            <w:r w:rsidRPr="00D57D49">
              <w:rPr>
                <w:color w:val="auto"/>
                <w:sz w:val="22"/>
                <w:szCs w:val="22"/>
              </w:rPr>
              <w:t xml:space="preserve">poslovna sofisticiranost, </w:t>
            </w:r>
          </w:p>
          <w:p w:rsidR="009F3EE7" w:rsidRDefault="009F3EE7" w:rsidP="00FE0A8A">
            <w:pPr>
              <w:pStyle w:val="Default"/>
              <w:numPr>
                <w:ilvl w:val="0"/>
                <w:numId w:val="25"/>
              </w:numPr>
              <w:rPr>
                <w:b/>
                <w:bCs/>
                <w:color w:val="auto"/>
              </w:rPr>
            </w:pPr>
            <w:r w:rsidRPr="00D57D49">
              <w:rPr>
                <w:color w:val="auto"/>
                <w:sz w:val="22"/>
                <w:szCs w:val="22"/>
              </w:rPr>
              <w:t>inovacije</w:t>
            </w:r>
          </w:p>
        </w:tc>
      </w:tr>
      <w:tr w:rsidR="009F3EE7" w:rsidRPr="00612EA2" w:rsidTr="00D57D49">
        <w:tc>
          <w:tcPr>
            <w:tcW w:w="2737" w:type="dxa"/>
            <w:tcBorders>
              <w:top w:val="single" w:sz="4" w:space="0" w:color="auto"/>
              <w:left w:val="single" w:sz="4" w:space="0" w:color="auto"/>
            </w:tcBorders>
          </w:tcPr>
          <w:p w:rsidR="009F3EE7" w:rsidRDefault="009F3EE7" w:rsidP="00FE0A8A">
            <w:pPr>
              <w:pStyle w:val="Default"/>
              <w:jc w:val="both"/>
              <w:rPr>
                <w:b/>
                <w:bCs/>
                <w:color w:val="auto"/>
              </w:rPr>
            </w:pPr>
          </w:p>
        </w:tc>
        <w:tc>
          <w:tcPr>
            <w:tcW w:w="236" w:type="dxa"/>
          </w:tcPr>
          <w:p w:rsidR="009F3EE7" w:rsidRDefault="009F3EE7" w:rsidP="00FE0A8A">
            <w:pPr>
              <w:pStyle w:val="Default"/>
              <w:jc w:val="both"/>
              <w:rPr>
                <w:b/>
                <w:bCs/>
                <w:color w:val="auto"/>
              </w:rPr>
            </w:pPr>
          </w:p>
        </w:tc>
        <w:tc>
          <w:tcPr>
            <w:tcW w:w="3418" w:type="dxa"/>
            <w:tcBorders>
              <w:top w:val="single" w:sz="4" w:space="0" w:color="auto"/>
            </w:tcBorders>
          </w:tcPr>
          <w:p w:rsidR="009F3EE7" w:rsidRDefault="009F3EE7" w:rsidP="00FE0A8A">
            <w:pPr>
              <w:pStyle w:val="Default"/>
              <w:jc w:val="both"/>
              <w:rPr>
                <w:b/>
                <w:bCs/>
                <w:color w:val="auto"/>
              </w:rPr>
            </w:pPr>
            <w:r>
              <w:rPr>
                <w:noProof/>
              </w:rPr>
              <w:pict>
                <v:shape id="Down Arrow 4" o:spid="_x0000_s1028" type="#_x0000_t67" style="position:absolute;left:0;text-align:left;margin-left:68.4pt;margin-top:-13.5pt;width:18pt;height:27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"/>
              </w:pict>
            </w:r>
          </w:p>
        </w:tc>
        <w:tc>
          <w:tcPr>
            <w:tcW w:w="236" w:type="dxa"/>
          </w:tcPr>
          <w:p w:rsidR="009F3EE7" w:rsidRDefault="009F3EE7" w:rsidP="00FE0A8A">
            <w:pPr>
              <w:pStyle w:val="Default"/>
              <w:jc w:val="both"/>
              <w:rPr>
                <w:b/>
                <w:bCs/>
                <w:color w:val="auto"/>
              </w:rPr>
            </w:pPr>
          </w:p>
        </w:tc>
        <w:tc>
          <w:tcPr>
            <w:tcW w:w="2995" w:type="dxa"/>
            <w:tcBorders>
              <w:top w:val="single" w:sz="4" w:space="0" w:color="auto"/>
              <w:right w:val="single" w:sz="4" w:space="0" w:color="auto"/>
            </w:tcBorders>
          </w:tcPr>
          <w:p w:rsidR="009F3EE7" w:rsidRDefault="009F3EE7" w:rsidP="00FE0A8A">
            <w:pPr>
              <w:pStyle w:val="Default"/>
              <w:jc w:val="both"/>
              <w:rPr>
                <w:b/>
                <w:bCs/>
                <w:color w:val="auto"/>
              </w:rPr>
            </w:pPr>
            <w:r>
              <w:rPr>
                <w:noProof/>
              </w:rPr>
              <w:pict>
                <v:shape id="Down Arrow 3" o:spid="_x0000_s1029" type="#_x0000_t67" style="position:absolute;left:0;text-align:left;margin-left:56.3pt;margin-top:-14.8pt;width:18pt;height:2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"/>
              </w:pict>
            </w:r>
          </w:p>
        </w:tc>
      </w:tr>
      <w:tr w:rsidR="009F3EE7" w:rsidRPr="00612EA2" w:rsidTr="00FE0A8A">
        <w:trPr>
          <w:trHeight w:val="935"/>
        </w:trPr>
        <w:tc>
          <w:tcPr>
            <w:tcW w:w="2737" w:type="dxa"/>
            <w:tcBorders>
              <w:left w:val="single" w:sz="4" w:space="0" w:color="auto"/>
              <w:bottom w:val="single" w:sz="4" w:space="0" w:color="auto"/>
            </w:tcBorders>
            <w:shd w:val="clear" w:color="auto" w:fill="C6D9F1"/>
          </w:tcPr>
          <w:p w:rsidR="009F3EE7" w:rsidRPr="00D57D49" w:rsidRDefault="009F3EE7" w:rsidP="00FE0A8A">
            <w:pPr>
              <w:pStyle w:val="Default"/>
              <w:rPr>
                <w:b/>
                <w:bCs/>
                <w:color w:val="auto"/>
                <w:sz w:val="22"/>
                <w:szCs w:val="22"/>
              </w:rPr>
            </w:pPr>
            <w:r w:rsidRPr="00D57D49">
              <w:rPr>
                <w:b/>
                <w:bCs/>
                <w:color w:val="auto"/>
                <w:sz w:val="22"/>
                <w:szCs w:val="22"/>
              </w:rPr>
              <w:t>Osnov za ekonomije temeljene na osnovnim faktorima</w:t>
            </w:r>
          </w:p>
        </w:tc>
        <w:tc>
          <w:tcPr>
            <w:tcW w:w="236" w:type="dxa"/>
            <w:tcBorders>
              <w:bottom w:val="single" w:sz="4" w:space="0" w:color="auto"/>
            </w:tcBorders>
          </w:tcPr>
          <w:p w:rsidR="009F3EE7" w:rsidRPr="00D57D49" w:rsidRDefault="009F3EE7" w:rsidP="00FE0A8A">
            <w:pPr>
              <w:pStyle w:val="Default"/>
              <w:jc w:val="both"/>
              <w:rPr>
                <w:b/>
                <w:bCs/>
                <w:color w:val="auto"/>
                <w:sz w:val="22"/>
                <w:szCs w:val="22"/>
              </w:rPr>
            </w:pPr>
          </w:p>
        </w:tc>
        <w:tc>
          <w:tcPr>
            <w:tcW w:w="3418" w:type="dxa"/>
            <w:tcBorders>
              <w:bottom w:val="single" w:sz="4" w:space="0" w:color="auto"/>
            </w:tcBorders>
            <w:shd w:val="clear" w:color="auto" w:fill="C6D9F1"/>
          </w:tcPr>
          <w:p w:rsidR="009F3EE7" w:rsidRPr="00D57D49" w:rsidRDefault="009F3EE7" w:rsidP="00FE0A8A">
            <w:pPr>
              <w:pStyle w:val="Default"/>
              <w:jc w:val="both"/>
              <w:rPr>
                <w:b/>
                <w:bCs/>
                <w:color w:val="auto"/>
                <w:sz w:val="22"/>
                <w:szCs w:val="22"/>
              </w:rPr>
            </w:pPr>
            <w:r w:rsidRPr="00D57D49">
              <w:rPr>
                <w:b/>
                <w:bCs/>
                <w:color w:val="auto"/>
                <w:sz w:val="22"/>
                <w:szCs w:val="22"/>
              </w:rPr>
              <w:t>Osnov za ekonomije temeljene na faktorima efikasnosti</w:t>
            </w:r>
          </w:p>
        </w:tc>
        <w:tc>
          <w:tcPr>
            <w:tcW w:w="236" w:type="dxa"/>
            <w:tcBorders>
              <w:bottom w:val="single" w:sz="4" w:space="0" w:color="auto"/>
            </w:tcBorders>
          </w:tcPr>
          <w:p w:rsidR="009F3EE7" w:rsidRPr="00D57D49" w:rsidRDefault="009F3EE7" w:rsidP="00FE0A8A">
            <w:pPr>
              <w:pStyle w:val="Default"/>
              <w:jc w:val="both"/>
              <w:rPr>
                <w:b/>
                <w:bCs/>
                <w:color w:val="auto"/>
                <w:sz w:val="22"/>
                <w:szCs w:val="22"/>
              </w:rPr>
            </w:pPr>
          </w:p>
        </w:tc>
        <w:tc>
          <w:tcPr>
            <w:tcW w:w="2995" w:type="dxa"/>
            <w:tcBorders>
              <w:bottom w:val="single" w:sz="4" w:space="0" w:color="auto"/>
              <w:right w:val="single" w:sz="4" w:space="0" w:color="auto"/>
            </w:tcBorders>
            <w:shd w:val="clear" w:color="auto" w:fill="C6D9F1"/>
          </w:tcPr>
          <w:p w:rsidR="009F3EE7" w:rsidRPr="00D57D49" w:rsidRDefault="009F3EE7" w:rsidP="00FE0A8A">
            <w:pPr>
              <w:pStyle w:val="Default"/>
              <w:rPr>
                <w:b/>
                <w:bCs/>
                <w:color w:val="auto"/>
                <w:sz w:val="22"/>
                <w:szCs w:val="22"/>
              </w:rPr>
            </w:pPr>
            <w:r w:rsidRPr="00D57D49">
              <w:rPr>
                <w:b/>
                <w:bCs/>
                <w:color w:val="auto"/>
                <w:sz w:val="22"/>
                <w:szCs w:val="22"/>
              </w:rPr>
              <w:t>Osnov za ekonomije temeljene na inovacijskim faktorima</w:t>
            </w:r>
          </w:p>
        </w:tc>
      </w:tr>
    </w:tbl>
    <w:p w:rsidR="009F3EE7" w:rsidRPr="00D57D49" w:rsidRDefault="009F3EE7" w:rsidP="004A560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Cs/>
          <w:i/>
          <w:color w:val="auto"/>
          <w:sz w:val="22"/>
          <w:szCs w:val="22"/>
        </w:rPr>
      </w:pPr>
      <w:r w:rsidRPr="00D57D49">
        <w:rPr>
          <w:b/>
          <w:bCs/>
          <w:i/>
          <w:color w:val="auto"/>
          <w:sz w:val="22"/>
          <w:szCs w:val="22"/>
        </w:rPr>
        <w:t xml:space="preserve">Slika 4. </w:t>
      </w:r>
      <w:r w:rsidRPr="00D57D49">
        <w:rPr>
          <w:bCs/>
          <w:i/>
          <w:color w:val="auto"/>
          <w:sz w:val="22"/>
          <w:szCs w:val="22"/>
        </w:rPr>
        <w:t>Faze razvoja</w:t>
      </w:r>
    </w:p>
    <w:p w:rsidR="009F3EE7" w:rsidRDefault="009F3EE7" w:rsidP="00B5522A">
      <w:pPr>
        <w:tabs>
          <w:tab w:val="left" w:pos="567"/>
          <w:tab w:val="left" w:pos="6045"/>
        </w:tabs>
        <w:spacing w:after="200"/>
        <w:rPr>
          <w:rFonts w:ascii="Arial" w:hAnsi="Arial" w:cs="Arial"/>
          <w:sz w:val="22"/>
          <w:szCs w:val="22"/>
          <w:lang w:val="hr-BA" w:eastAsia="hr-BA"/>
        </w:rPr>
      </w:pPr>
      <w:r>
        <w:rPr>
          <w:color w:val="000000"/>
          <w:lang w:val="hr-BA" w:eastAsia="hr-BA"/>
        </w:rPr>
        <w:tab/>
        <w:t xml:space="preserve">Ove godine, BiH je ostvarila napredak u odnosu na konkurentnost BiH 2015-2016, a najveći napredak zabilježen je u oblasti makroekonomskog okruženja (sa 98. mjesta 2015. godine na 76. mjesto ove godine). Za dva mjesta (sa 113. na 101.) poboljšan je rang razvoja finansijskog tržišta, što nije značajnije dovelo do promjene finalne ocjene. Poslovna sofisticiranost je također zabilježila napredak u odnosu na prošlu godinu (sa 125. na 115. mjesto). </w:t>
      </w:r>
      <w:r>
        <w:tab/>
      </w:r>
      <w:r>
        <w:tab/>
      </w:r>
      <w:r>
        <w:tab/>
      </w:r>
      <w:r>
        <w:tab/>
      </w:r>
      <w:r>
        <w:tab/>
      </w:r>
      <w:r>
        <w:rPr>
          <w:color w:val="000000"/>
          <w:lang w:val="hr-BA" w:eastAsia="hr-BA"/>
        </w:rPr>
        <w:t xml:space="preserve">Većina oblasti je zabilježila bolje ocjene nego prethodne godine (infrastruktura, makroekonomsko okruženje, visoko obrazovanje, efikasnost tržišta rada, razvoj finansijskog tržišta tehnološka spremnost i poslovna sofisticiranost), no finalna ocjena se nije mnogo promijenila. Nepromjenjeno mjesto u odnosu na prošlu godinu bilježi stub efikasnosti tržišta roba (129. mjesto). </w:t>
      </w:r>
      <w:r>
        <w:rPr>
          <w:lang w:val="hr-BA" w:eastAsia="hr-BA"/>
        </w:rPr>
        <w:t>Najveći pad zabilježen je u oblasti inovativnosti (sa 115. mjesta na 125. mjesto, najviše zbog slabe ocjene državnih nabavki proizvoda naprednih tehnologija), te zdravstva i osnovnog obrazovanja (sa 48. na 50. mjesto najviše zbog loše ocjene primarnog obrazovanja</w:t>
      </w:r>
      <w:r>
        <w:rPr>
          <w:rFonts w:ascii="Arial" w:hAnsi="Arial" w:cs="Arial"/>
          <w:sz w:val="22"/>
          <w:szCs w:val="22"/>
          <w:lang w:val="hr-BA" w:eastAsia="hr-BA"/>
        </w:rPr>
        <w:t>).</w:t>
      </w:r>
    </w:p>
    <w:p w:rsidR="009F3EE7" w:rsidRDefault="009F3EE7" w:rsidP="00B5522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color w:val="auto"/>
          <w:sz w:val="22"/>
          <w:szCs w:val="22"/>
        </w:rPr>
      </w:pPr>
    </w:p>
    <w:p w:rsidR="009F3EE7" w:rsidRDefault="009F3EE7" w:rsidP="00B5522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color w:val="auto"/>
          <w:sz w:val="22"/>
          <w:szCs w:val="22"/>
        </w:rPr>
      </w:pPr>
    </w:p>
    <w:p w:rsidR="009F3EE7" w:rsidRDefault="009F3EE7" w:rsidP="00B5522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color w:val="auto"/>
          <w:sz w:val="22"/>
          <w:szCs w:val="22"/>
        </w:rPr>
      </w:pPr>
    </w:p>
    <w:p w:rsidR="009F3EE7" w:rsidRDefault="009F3EE7" w:rsidP="00B5522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color w:val="auto"/>
          <w:sz w:val="22"/>
          <w:szCs w:val="22"/>
        </w:rPr>
      </w:pPr>
    </w:p>
    <w:p w:rsidR="009F3EE7" w:rsidRPr="006B7897" w:rsidRDefault="009F3EE7" w:rsidP="00B5522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color w:val="auto"/>
          <w:sz w:val="22"/>
          <w:szCs w:val="22"/>
        </w:rPr>
      </w:pPr>
      <w:r w:rsidRPr="006B7897">
        <w:rPr>
          <w:b/>
          <w:bCs/>
          <w:i/>
          <w:color w:val="auto"/>
          <w:sz w:val="22"/>
          <w:szCs w:val="22"/>
        </w:rPr>
        <w:t xml:space="preserve">Tabela 1. </w:t>
      </w:r>
      <w:r w:rsidRPr="006B7897">
        <w:rPr>
          <w:bCs/>
          <w:i/>
          <w:color w:val="auto"/>
          <w:sz w:val="22"/>
          <w:szCs w:val="22"/>
        </w:rPr>
        <w:t>Rang BiH i zemalja okruženja prema ukupnom broju rangiranih zemalja</w:t>
      </w:r>
      <w:r w:rsidRPr="006B7897">
        <w:rPr>
          <w:rStyle w:val="FootnoteReference"/>
          <w:bCs/>
          <w:i/>
          <w:color w:val="auto"/>
          <w:sz w:val="22"/>
          <w:szCs w:val="22"/>
        </w:rPr>
        <w:footnoteReference w:id="18"/>
      </w:r>
      <w:r w:rsidRPr="006B7897">
        <w:rPr>
          <w:b/>
          <w:bCs/>
          <w:i/>
          <w:color w:val="auto"/>
          <w:sz w:val="22"/>
          <w:szCs w:val="22"/>
        </w:rPr>
        <w:t xml:space="preserve"> </w:t>
      </w:r>
      <w:r w:rsidRPr="006B7897">
        <w:rPr>
          <w:bCs/>
          <w:i/>
          <w:color w:val="auto"/>
          <w:sz w:val="22"/>
          <w:szCs w:val="22"/>
        </w:rPr>
        <w:t>(prilagođeno)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6"/>
        <w:gridCol w:w="480"/>
        <w:gridCol w:w="447"/>
        <w:gridCol w:w="447"/>
        <w:gridCol w:w="447"/>
        <w:gridCol w:w="447"/>
        <w:gridCol w:w="514"/>
        <w:gridCol w:w="447"/>
        <w:gridCol w:w="447"/>
        <w:gridCol w:w="447"/>
        <w:gridCol w:w="447"/>
        <w:gridCol w:w="447"/>
        <w:gridCol w:w="467"/>
        <w:gridCol w:w="467"/>
        <w:gridCol w:w="467"/>
        <w:gridCol w:w="467"/>
        <w:gridCol w:w="562"/>
      </w:tblGrid>
      <w:tr w:rsidR="009F3EE7" w:rsidRPr="00612EA2" w:rsidTr="00FE0A8A">
        <w:trPr>
          <w:trHeight w:val="559"/>
          <w:jc w:val="center"/>
        </w:trPr>
        <w:tc>
          <w:tcPr>
            <w:tcW w:w="1106" w:type="dxa"/>
            <w:shd w:val="clear" w:color="auto" w:fill="C0C0C0"/>
            <w:vAlign w:val="center"/>
          </w:tcPr>
          <w:p w:rsidR="009F3EE7" w:rsidRPr="00F4690F" w:rsidRDefault="009F3EE7" w:rsidP="00FE0A8A">
            <w:pPr>
              <w:pStyle w:val="Default"/>
              <w:ind w:left="-75" w:right="-108"/>
              <w:jc w:val="center"/>
              <w:rPr>
                <w:b/>
                <w:sz w:val="18"/>
                <w:szCs w:val="18"/>
              </w:rPr>
            </w:pPr>
            <w:r w:rsidRPr="00F4690F">
              <w:rPr>
                <w:b/>
                <w:sz w:val="18"/>
                <w:szCs w:val="18"/>
              </w:rPr>
              <w:t>Zemlja</w:t>
            </w:r>
          </w:p>
        </w:tc>
        <w:tc>
          <w:tcPr>
            <w:tcW w:w="480" w:type="dxa"/>
            <w:shd w:val="clear" w:color="auto" w:fill="C0C0C0"/>
            <w:vAlign w:val="center"/>
          </w:tcPr>
          <w:p w:rsidR="009F3EE7" w:rsidRPr="00F4690F" w:rsidRDefault="009F3EE7" w:rsidP="00FE0A8A">
            <w:pPr>
              <w:pStyle w:val="Default"/>
              <w:ind w:left="-75" w:right="-108"/>
              <w:jc w:val="center"/>
              <w:rPr>
                <w:b/>
                <w:sz w:val="18"/>
                <w:szCs w:val="18"/>
              </w:rPr>
            </w:pPr>
            <w:r w:rsidRPr="00F4690F">
              <w:rPr>
                <w:b/>
                <w:sz w:val="18"/>
                <w:szCs w:val="18"/>
              </w:rPr>
              <w:t>2001.</w:t>
            </w:r>
          </w:p>
          <w:p w:rsidR="009F3EE7" w:rsidRPr="00F4690F" w:rsidRDefault="009F3EE7" w:rsidP="00FE0A8A">
            <w:pPr>
              <w:pStyle w:val="Default"/>
              <w:ind w:left="-65" w:right="-151"/>
              <w:jc w:val="center"/>
              <w:rPr>
                <w:b/>
                <w:sz w:val="18"/>
                <w:szCs w:val="18"/>
              </w:rPr>
            </w:pPr>
            <w:r w:rsidRPr="00F4690F">
              <w:rPr>
                <w:b/>
                <w:sz w:val="18"/>
                <w:szCs w:val="18"/>
              </w:rPr>
              <w:t>(75)</w:t>
            </w:r>
          </w:p>
        </w:tc>
        <w:tc>
          <w:tcPr>
            <w:tcW w:w="447"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2002.</w:t>
            </w:r>
          </w:p>
          <w:p w:rsidR="009F3EE7" w:rsidRPr="00F4690F" w:rsidRDefault="009F3EE7" w:rsidP="00FE0A8A">
            <w:pPr>
              <w:pStyle w:val="Default"/>
              <w:ind w:left="-65" w:right="-151"/>
              <w:jc w:val="center"/>
              <w:rPr>
                <w:b/>
                <w:sz w:val="18"/>
                <w:szCs w:val="18"/>
              </w:rPr>
            </w:pPr>
            <w:r w:rsidRPr="00F4690F">
              <w:rPr>
                <w:b/>
                <w:sz w:val="18"/>
                <w:szCs w:val="18"/>
              </w:rPr>
              <w:t>(80)</w:t>
            </w:r>
          </w:p>
        </w:tc>
        <w:tc>
          <w:tcPr>
            <w:tcW w:w="447"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2003.</w:t>
            </w:r>
          </w:p>
          <w:p w:rsidR="009F3EE7" w:rsidRPr="00F4690F" w:rsidRDefault="009F3EE7" w:rsidP="00FE0A8A">
            <w:pPr>
              <w:pStyle w:val="Default"/>
              <w:ind w:left="-65" w:right="-151"/>
              <w:jc w:val="center"/>
              <w:rPr>
                <w:b/>
                <w:sz w:val="18"/>
                <w:szCs w:val="18"/>
              </w:rPr>
            </w:pPr>
            <w:r w:rsidRPr="00F4690F">
              <w:rPr>
                <w:b/>
                <w:sz w:val="18"/>
                <w:szCs w:val="18"/>
              </w:rPr>
              <w:t>(102)</w:t>
            </w:r>
          </w:p>
        </w:tc>
        <w:tc>
          <w:tcPr>
            <w:tcW w:w="447"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2004.</w:t>
            </w:r>
          </w:p>
          <w:p w:rsidR="009F3EE7" w:rsidRPr="00F4690F" w:rsidRDefault="009F3EE7" w:rsidP="00FE0A8A">
            <w:pPr>
              <w:pStyle w:val="Default"/>
              <w:ind w:left="-65" w:right="-151"/>
              <w:jc w:val="center"/>
              <w:rPr>
                <w:b/>
                <w:sz w:val="18"/>
                <w:szCs w:val="18"/>
              </w:rPr>
            </w:pPr>
            <w:r w:rsidRPr="00F4690F">
              <w:rPr>
                <w:b/>
                <w:sz w:val="18"/>
                <w:szCs w:val="18"/>
              </w:rPr>
              <w:t>(104)</w:t>
            </w:r>
          </w:p>
        </w:tc>
        <w:tc>
          <w:tcPr>
            <w:tcW w:w="447"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2005.</w:t>
            </w:r>
          </w:p>
          <w:p w:rsidR="009F3EE7" w:rsidRPr="00F4690F" w:rsidRDefault="009F3EE7" w:rsidP="00FE0A8A">
            <w:pPr>
              <w:pStyle w:val="Default"/>
              <w:ind w:left="-65" w:right="-151"/>
              <w:jc w:val="center"/>
              <w:rPr>
                <w:b/>
                <w:sz w:val="18"/>
                <w:szCs w:val="18"/>
              </w:rPr>
            </w:pPr>
            <w:r w:rsidRPr="00F4690F">
              <w:rPr>
                <w:b/>
                <w:sz w:val="18"/>
                <w:szCs w:val="18"/>
              </w:rPr>
              <w:t>(117)</w:t>
            </w:r>
          </w:p>
        </w:tc>
        <w:tc>
          <w:tcPr>
            <w:tcW w:w="514"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2006. (125)</w:t>
            </w:r>
          </w:p>
        </w:tc>
        <w:tc>
          <w:tcPr>
            <w:tcW w:w="447"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2007.</w:t>
            </w:r>
          </w:p>
          <w:p w:rsidR="009F3EE7" w:rsidRPr="00F4690F" w:rsidRDefault="009F3EE7" w:rsidP="00FE0A8A">
            <w:pPr>
              <w:pStyle w:val="Default"/>
              <w:ind w:left="-65" w:right="-151"/>
              <w:jc w:val="center"/>
              <w:rPr>
                <w:b/>
                <w:sz w:val="18"/>
                <w:szCs w:val="18"/>
              </w:rPr>
            </w:pPr>
            <w:r w:rsidRPr="00F4690F">
              <w:rPr>
                <w:b/>
                <w:sz w:val="18"/>
                <w:szCs w:val="18"/>
              </w:rPr>
              <w:t>(131)</w:t>
            </w:r>
          </w:p>
        </w:tc>
        <w:tc>
          <w:tcPr>
            <w:tcW w:w="447"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2008.</w:t>
            </w:r>
          </w:p>
          <w:p w:rsidR="009F3EE7" w:rsidRPr="00F4690F" w:rsidRDefault="009F3EE7" w:rsidP="00FE0A8A">
            <w:pPr>
              <w:pStyle w:val="Default"/>
              <w:ind w:left="-65" w:right="-151"/>
              <w:jc w:val="center"/>
              <w:rPr>
                <w:b/>
                <w:sz w:val="18"/>
                <w:szCs w:val="18"/>
              </w:rPr>
            </w:pPr>
            <w:r w:rsidRPr="00F4690F">
              <w:rPr>
                <w:b/>
                <w:sz w:val="18"/>
                <w:szCs w:val="18"/>
              </w:rPr>
              <w:t>(134)</w:t>
            </w:r>
          </w:p>
        </w:tc>
        <w:tc>
          <w:tcPr>
            <w:tcW w:w="447"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2009.</w:t>
            </w:r>
          </w:p>
          <w:p w:rsidR="009F3EE7" w:rsidRPr="00F4690F" w:rsidRDefault="009F3EE7" w:rsidP="00FE0A8A">
            <w:pPr>
              <w:pStyle w:val="Default"/>
              <w:ind w:left="-65" w:right="-151"/>
              <w:jc w:val="center"/>
              <w:rPr>
                <w:b/>
                <w:sz w:val="18"/>
                <w:szCs w:val="18"/>
              </w:rPr>
            </w:pPr>
            <w:r w:rsidRPr="00F4690F">
              <w:rPr>
                <w:b/>
                <w:sz w:val="18"/>
                <w:szCs w:val="18"/>
              </w:rPr>
              <w:t>(133)</w:t>
            </w:r>
          </w:p>
        </w:tc>
        <w:tc>
          <w:tcPr>
            <w:tcW w:w="447"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2010.</w:t>
            </w:r>
          </w:p>
          <w:p w:rsidR="009F3EE7" w:rsidRPr="00F4690F" w:rsidRDefault="009F3EE7" w:rsidP="00FE0A8A">
            <w:pPr>
              <w:pStyle w:val="Default"/>
              <w:ind w:left="-65" w:right="-151"/>
              <w:jc w:val="center"/>
              <w:rPr>
                <w:b/>
                <w:sz w:val="18"/>
                <w:szCs w:val="18"/>
              </w:rPr>
            </w:pPr>
            <w:r w:rsidRPr="00F4690F">
              <w:rPr>
                <w:b/>
                <w:sz w:val="18"/>
                <w:szCs w:val="18"/>
              </w:rPr>
              <w:t>(139)</w:t>
            </w:r>
          </w:p>
        </w:tc>
        <w:tc>
          <w:tcPr>
            <w:tcW w:w="447"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2011.</w:t>
            </w:r>
          </w:p>
          <w:p w:rsidR="009F3EE7" w:rsidRPr="00F4690F" w:rsidRDefault="009F3EE7" w:rsidP="00FE0A8A">
            <w:pPr>
              <w:pStyle w:val="Default"/>
              <w:ind w:left="-65" w:right="-151"/>
              <w:jc w:val="center"/>
              <w:rPr>
                <w:b/>
                <w:sz w:val="18"/>
                <w:szCs w:val="18"/>
              </w:rPr>
            </w:pPr>
            <w:r w:rsidRPr="00F4690F">
              <w:rPr>
                <w:b/>
                <w:sz w:val="18"/>
                <w:szCs w:val="18"/>
              </w:rPr>
              <w:t>(142)</w:t>
            </w:r>
          </w:p>
        </w:tc>
        <w:tc>
          <w:tcPr>
            <w:tcW w:w="467"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2012.</w:t>
            </w:r>
          </w:p>
          <w:p w:rsidR="009F3EE7" w:rsidRPr="00F4690F" w:rsidRDefault="009F3EE7" w:rsidP="00FE0A8A">
            <w:pPr>
              <w:pStyle w:val="Default"/>
              <w:ind w:left="-65" w:right="-151"/>
              <w:jc w:val="center"/>
              <w:rPr>
                <w:b/>
                <w:sz w:val="18"/>
                <w:szCs w:val="18"/>
              </w:rPr>
            </w:pPr>
            <w:r w:rsidRPr="00F4690F">
              <w:rPr>
                <w:b/>
                <w:sz w:val="18"/>
                <w:szCs w:val="18"/>
              </w:rPr>
              <w:t>(144)</w:t>
            </w:r>
          </w:p>
        </w:tc>
        <w:tc>
          <w:tcPr>
            <w:tcW w:w="467"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2013</w:t>
            </w:r>
          </w:p>
          <w:p w:rsidR="009F3EE7" w:rsidRPr="00F4690F" w:rsidRDefault="009F3EE7" w:rsidP="00FE0A8A">
            <w:pPr>
              <w:pStyle w:val="Default"/>
              <w:ind w:left="-65" w:right="-151"/>
              <w:jc w:val="center"/>
              <w:rPr>
                <w:b/>
                <w:sz w:val="18"/>
                <w:szCs w:val="18"/>
              </w:rPr>
            </w:pPr>
            <w:r w:rsidRPr="00F4690F">
              <w:rPr>
                <w:b/>
                <w:sz w:val="18"/>
                <w:szCs w:val="18"/>
              </w:rPr>
              <w:t>(148)</w:t>
            </w:r>
          </w:p>
        </w:tc>
        <w:tc>
          <w:tcPr>
            <w:tcW w:w="467"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2014</w:t>
            </w:r>
          </w:p>
          <w:p w:rsidR="009F3EE7" w:rsidRPr="00F4690F" w:rsidRDefault="009F3EE7" w:rsidP="00FE0A8A">
            <w:pPr>
              <w:pStyle w:val="Default"/>
              <w:ind w:left="-65" w:right="-151"/>
              <w:jc w:val="center"/>
              <w:rPr>
                <w:b/>
                <w:sz w:val="18"/>
                <w:szCs w:val="18"/>
              </w:rPr>
            </w:pPr>
            <w:r w:rsidRPr="00F4690F">
              <w:rPr>
                <w:b/>
                <w:sz w:val="18"/>
                <w:szCs w:val="18"/>
              </w:rPr>
              <w:t>(144)</w:t>
            </w:r>
          </w:p>
        </w:tc>
        <w:tc>
          <w:tcPr>
            <w:tcW w:w="467"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2015</w:t>
            </w:r>
          </w:p>
          <w:p w:rsidR="009F3EE7" w:rsidRPr="00F4690F" w:rsidRDefault="009F3EE7" w:rsidP="00FE0A8A">
            <w:pPr>
              <w:pStyle w:val="Default"/>
              <w:ind w:left="-65" w:right="-151"/>
              <w:jc w:val="center"/>
              <w:rPr>
                <w:b/>
                <w:sz w:val="18"/>
                <w:szCs w:val="18"/>
              </w:rPr>
            </w:pPr>
            <w:r w:rsidRPr="00F4690F">
              <w:rPr>
                <w:b/>
                <w:sz w:val="18"/>
                <w:szCs w:val="18"/>
              </w:rPr>
              <w:t>(140)</w:t>
            </w:r>
          </w:p>
        </w:tc>
        <w:tc>
          <w:tcPr>
            <w:tcW w:w="562" w:type="dxa"/>
            <w:shd w:val="clear" w:color="auto" w:fill="C0C0C0"/>
            <w:vAlign w:val="center"/>
          </w:tcPr>
          <w:p w:rsidR="009F3EE7" w:rsidRPr="00F4690F" w:rsidRDefault="009F3EE7" w:rsidP="00FE0A8A">
            <w:pPr>
              <w:pStyle w:val="Default"/>
              <w:ind w:left="-65" w:right="-151"/>
              <w:jc w:val="center"/>
              <w:rPr>
                <w:b/>
                <w:sz w:val="18"/>
                <w:szCs w:val="18"/>
              </w:rPr>
            </w:pPr>
            <w:r w:rsidRPr="00F4690F">
              <w:rPr>
                <w:b/>
                <w:sz w:val="18"/>
                <w:szCs w:val="18"/>
              </w:rPr>
              <w:t>2016</w:t>
            </w:r>
          </w:p>
          <w:p w:rsidR="009F3EE7" w:rsidRPr="00F4690F" w:rsidRDefault="009F3EE7" w:rsidP="00FE0A8A">
            <w:pPr>
              <w:pStyle w:val="Default"/>
              <w:ind w:left="-65" w:right="-151"/>
              <w:jc w:val="center"/>
              <w:rPr>
                <w:b/>
                <w:sz w:val="18"/>
                <w:szCs w:val="18"/>
              </w:rPr>
            </w:pPr>
            <w:r w:rsidRPr="00F4690F">
              <w:rPr>
                <w:b/>
                <w:sz w:val="18"/>
                <w:szCs w:val="18"/>
              </w:rPr>
              <w:t>(138)</w:t>
            </w:r>
          </w:p>
        </w:tc>
      </w:tr>
      <w:tr w:rsidR="009F3EE7" w:rsidRPr="00612EA2" w:rsidTr="00FE0A8A">
        <w:trPr>
          <w:trHeight w:val="314"/>
          <w:jc w:val="center"/>
        </w:trPr>
        <w:tc>
          <w:tcPr>
            <w:tcW w:w="1106" w:type="dxa"/>
            <w:vAlign w:val="center"/>
          </w:tcPr>
          <w:p w:rsidR="009F3EE7" w:rsidRPr="00F4690F" w:rsidRDefault="009F3EE7" w:rsidP="00FE0A8A">
            <w:pPr>
              <w:pStyle w:val="Default"/>
              <w:ind w:left="-75" w:right="-108"/>
              <w:rPr>
                <w:sz w:val="18"/>
                <w:szCs w:val="18"/>
              </w:rPr>
            </w:pPr>
            <w:r w:rsidRPr="00F4690F">
              <w:rPr>
                <w:sz w:val="18"/>
                <w:szCs w:val="18"/>
              </w:rPr>
              <w:t xml:space="preserve">Albanija </w:t>
            </w:r>
          </w:p>
        </w:tc>
        <w:tc>
          <w:tcPr>
            <w:tcW w:w="480"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100</w:t>
            </w:r>
          </w:p>
        </w:tc>
        <w:tc>
          <w:tcPr>
            <w:tcW w:w="514" w:type="dxa"/>
            <w:vAlign w:val="center"/>
          </w:tcPr>
          <w:p w:rsidR="009F3EE7" w:rsidRPr="00F4690F" w:rsidRDefault="009F3EE7" w:rsidP="00FE0A8A">
            <w:pPr>
              <w:pStyle w:val="Default"/>
              <w:ind w:left="-65" w:right="-151"/>
              <w:jc w:val="center"/>
              <w:rPr>
                <w:sz w:val="18"/>
                <w:szCs w:val="18"/>
              </w:rPr>
            </w:pPr>
            <w:r w:rsidRPr="00F4690F">
              <w:rPr>
                <w:sz w:val="18"/>
                <w:szCs w:val="18"/>
              </w:rPr>
              <w:t>98</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109</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108</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96</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88</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78</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89</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95</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97</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93</w:t>
            </w:r>
          </w:p>
        </w:tc>
        <w:tc>
          <w:tcPr>
            <w:tcW w:w="562" w:type="dxa"/>
            <w:vAlign w:val="center"/>
          </w:tcPr>
          <w:p w:rsidR="009F3EE7" w:rsidRPr="00F4690F" w:rsidRDefault="009F3EE7" w:rsidP="00FE0A8A">
            <w:pPr>
              <w:pStyle w:val="Default"/>
              <w:ind w:left="-65" w:right="-151"/>
              <w:jc w:val="center"/>
              <w:rPr>
                <w:sz w:val="18"/>
                <w:szCs w:val="18"/>
              </w:rPr>
            </w:pPr>
            <w:r w:rsidRPr="00F4690F">
              <w:rPr>
                <w:sz w:val="18"/>
                <w:szCs w:val="18"/>
              </w:rPr>
              <w:t>80</w:t>
            </w:r>
          </w:p>
        </w:tc>
      </w:tr>
      <w:tr w:rsidR="009F3EE7" w:rsidRPr="00612EA2" w:rsidTr="00FE0A8A">
        <w:trPr>
          <w:trHeight w:val="316"/>
          <w:jc w:val="center"/>
        </w:trPr>
        <w:tc>
          <w:tcPr>
            <w:tcW w:w="1106" w:type="dxa"/>
            <w:vAlign w:val="center"/>
          </w:tcPr>
          <w:p w:rsidR="009F3EE7" w:rsidRPr="00F4690F" w:rsidRDefault="009F3EE7" w:rsidP="00FE0A8A">
            <w:pPr>
              <w:pStyle w:val="Default"/>
              <w:ind w:left="-75" w:right="-108"/>
              <w:rPr>
                <w:sz w:val="18"/>
                <w:szCs w:val="18"/>
              </w:rPr>
            </w:pPr>
            <w:r w:rsidRPr="00F4690F">
              <w:rPr>
                <w:sz w:val="18"/>
                <w:szCs w:val="18"/>
              </w:rPr>
              <w:t xml:space="preserve">BiH </w:t>
            </w:r>
          </w:p>
        </w:tc>
        <w:tc>
          <w:tcPr>
            <w:tcW w:w="480"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81</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95</w:t>
            </w:r>
          </w:p>
        </w:tc>
        <w:tc>
          <w:tcPr>
            <w:tcW w:w="514" w:type="dxa"/>
            <w:vAlign w:val="center"/>
          </w:tcPr>
          <w:p w:rsidR="009F3EE7" w:rsidRPr="00F4690F" w:rsidRDefault="009F3EE7" w:rsidP="00FE0A8A">
            <w:pPr>
              <w:pStyle w:val="Default"/>
              <w:ind w:left="-65" w:right="-151"/>
              <w:jc w:val="center"/>
              <w:rPr>
                <w:sz w:val="18"/>
                <w:szCs w:val="18"/>
              </w:rPr>
            </w:pPr>
            <w:r w:rsidRPr="00F4690F">
              <w:rPr>
                <w:sz w:val="18"/>
                <w:szCs w:val="18"/>
              </w:rPr>
              <w:t>89</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106</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107</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109</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102</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100</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88</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87</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111</w:t>
            </w:r>
          </w:p>
        </w:tc>
        <w:tc>
          <w:tcPr>
            <w:tcW w:w="562" w:type="dxa"/>
            <w:vAlign w:val="center"/>
          </w:tcPr>
          <w:p w:rsidR="009F3EE7" w:rsidRPr="00F4690F" w:rsidRDefault="009F3EE7" w:rsidP="00FE0A8A">
            <w:pPr>
              <w:pStyle w:val="Default"/>
              <w:ind w:left="-65" w:right="-151"/>
              <w:jc w:val="center"/>
              <w:rPr>
                <w:sz w:val="18"/>
                <w:szCs w:val="18"/>
              </w:rPr>
            </w:pPr>
            <w:r w:rsidRPr="00F4690F">
              <w:rPr>
                <w:sz w:val="18"/>
                <w:szCs w:val="18"/>
              </w:rPr>
              <w:t>107</w:t>
            </w:r>
          </w:p>
        </w:tc>
      </w:tr>
      <w:tr w:rsidR="009F3EE7" w:rsidRPr="00612EA2" w:rsidTr="00FE0A8A">
        <w:trPr>
          <w:trHeight w:val="314"/>
          <w:jc w:val="center"/>
        </w:trPr>
        <w:tc>
          <w:tcPr>
            <w:tcW w:w="1106" w:type="dxa"/>
            <w:vAlign w:val="center"/>
          </w:tcPr>
          <w:p w:rsidR="009F3EE7" w:rsidRPr="00F4690F" w:rsidRDefault="009F3EE7" w:rsidP="00FE0A8A">
            <w:pPr>
              <w:pStyle w:val="Default"/>
              <w:ind w:left="-75" w:right="-108"/>
              <w:rPr>
                <w:sz w:val="18"/>
                <w:szCs w:val="18"/>
              </w:rPr>
            </w:pPr>
            <w:r w:rsidRPr="00F4690F">
              <w:rPr>
                <w:sz w:val="18"/>
                <w:szCs w:val="18"/>
              </w:rPr>
              <w:t xml:space="preserve">Crna Gora </w:t>
            </w:r>
          </w:p>
        </w:tc>
        <w:tc>
          <w:tcPr>
            <w:tcW w:w="480"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77</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89</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80</w:t>
            </w:r>
          </w:p>
        </w:tc>
        <w:tc>
          <w:tcPr>
            <w:tcW w:w="514" w:type="dxa"/>
            <w:vAlign w:val="center"/>
          </w:tcPr>
          <w:p w:rsidR="009F3EE7" w:rsidRPr="00F4690F" w:rsidRDefault="009F3EE7" w:rsidP="00FE0A8A">
            <w:pPr>
              <w:pStyle w:val="Default"/>
              <w:ind w:left="-65" w:right="-151"/>
              <w:jc w:val="center"/>
              <w:rPr>
                <w:sz w:val="18"/>
                <w:szCs w:val="18"/>
              </w:rPr>
            </w:pPr>
            <w:r w:rsidRPr="00F4690F">
              <w:rPr>
                <w:sz w:val="18"/>
                <w:szCs w:val="18"/>
              </w:rPr>
              <w:t>87</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65</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62</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49</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60</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72</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67</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67</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70</w:t>
            </w:r>
          </w:p>
        </w:tc>
        <w:tc>
          <w:tcPr>
            <w:tcW w:w="562" w:type="dxa"/>
            <w:vAlign w:val="center"/>
          </w:tcPr>
          <w:p w:rsidR="009F3EE7" w:rsidRPr="00F4690F" w:rsidRDefault="009F3EE7" w:rsidP="00FE0A8A">
            <w:pPr>
              <w:pStyle w:val="Default"/>
              <w:ind w:left="-65" w:right="-151"/>
              <w:jc w:val="center"/>
              <w:rPr>
                <w:sz w:val="18"/>
                <w:szCs w:val="18"/>
              </w:rPr>
            </w:pPr>
            <w:r w:rsidRPr="00F4690F">
              <w:rPr>
                <w:sz w:val="18"/>
                <w:szCs w:val="18"/>
              </w:rPr>
              <w:t>82</w:t>
            </w:r>
          </w:p>
        </w:tc>
      </w:tr>
      <w:tr w:rsidR="009F3EE7" w:rsidRPr="00612EA2" w:rsidTr="00FE0A8A">
        <w:trPr>
          <w:trHeight w:val="316"/>
          <w:jc w:val="center"/>
        </w:trPr>
        <w:tc>
          <w:tcPr>
            <w:tcW w:w="1106" w:type="dxa"/>
            <w:vAlign w:val="center"/>
          </w:tcPr>
          <w:p w:rsidR="009F3EE7" w:rsidRPr="00F4690F" w:rsidRDefault="009F3EE7" w:rsidP="00FE0A8A">
            <w:pPr>
              <w:pStyle w:val="Default"/>
              <w:ind w:left="-75" w:right="-108"/>
              <w:rPr>
                <w:sz w:val="18"/>
                <w:szCs w:val="18"/>
              </w:rPr>
            </w:pPr>
            <w:r w:rsidRPr="00F4690F">
              <w:rPr>
                <w:sz w:val="18"/>
                <w:szCs w:val="18"/>
              </w:rPr>
              <w:t xml:space="preserve">Hrvatska </w:t>
            </w:r>
          </w:p>
        </w:tc>
        <w:tc>
          <w:tcPr>
            <w:tcW w:w="480"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58</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53</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61</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62</w:t>
            </w:r>
          </w:p>
        </w:tc>
        <w:tc>
          <w:tcPr>
            <w:tcW w:w="514" w:type="dxa"/>
            <w:vAlign w:val="center"/>
          </w:tcPr>
          <w:p w:rsidR="009F3EE7" w:rsidRPr="00F4690F" w:rsidRDefault="009F3EE7" w:rsidP="00FE0A8A">
            <w:pPr>
              <w:pStyle w:val="Default"/>
              <w:ind w:left="-65" w:right="-151"/>
              <w:jc w:val="center"/>
              <w:rPr>
                <w:sz w:val="18"/>
                <w:szCs w:val="18"/>
              </w:rPr>
            </w:pPr>
            <w:r w:rsidRPr="00F4690F">
              <w:rPr>
                <w:sz w:val="18"/>
                <w:szCs w:val="18"/>
              </w:rPr>
              <w:t>51</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57</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61</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72</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77</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76</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81</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75</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77</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77</w:t>
            </w:r>
          </w:p>
        </w:tc>
        <w:tc>
          <w:tcPr>
            <w:tcW w:w="562" w:type="dxa"/>
            <w:vAlign w:val="center"/>
          </w:tcPr>
          <w:p w:rsidR="009F3EE7" w:rsidRPr="00F4690F" w:rsidRDefault="009F3EE7" w:rsidP="00FE0A8A">
            <w:pPr>
              <w:pStyle w:val="Default"/>
              <w:ind w:left="-65" w:right="-151"/>
              <w:jc w:val="center"/>
              <w:rPr>
                <w:sz w:val="18"/>
                <w:szCs w:val="18"/>
              </w:rPr>
            </w:pPr>
            <w:r w:rsidRPr="00F4690F">
              <w:rPr>
                <w:sz w:val="18"/>
                <w:szCs w:val="18"/>
              </w:rPr>
              <w:t>74</w:t>
            </w:r>
          </w:p>
        </w:tc>
      </w:tr>
      <w:tr w:rsidR="009F3EE7" w:rsidRPr="00612EA2" w:rsidTr="00FE0A8A">
        <w:trPr>
          <w:trHeight w:val="314"/>
          <w:jc w:val="center"/>
        </w:trPr>
        <w:tc>
          <w:tcPr>
            <w:tcW w:w="1106" w:type="dxa"/>
            <w:vAlign w:val="center"/>
          </w:tcPr>
          <w:p w:rsidR="009F3EE7" w:rsidRPr="00F4690F" w:rsidRDefault="009F3EE7" w:rsidP="00FE0A8A">
            <w:pPr>
              <w:pStyle w:val="Default"/>
              <w:ind w:left="-75" w:right="-108"/>
              <w:rPr>
                <w:sz w:val="18"/>
                <w:szCs w:val="18"/>
              </w:rPr>
            </w:pPr>
            <w:r w:rsidRPr="00F4690F">
              <w:rPr>
                <w:sz w:val="18"/>
                <w:szCs w:val="18"/>
              </w:rPr>
              <w:t xml:space="preserve">Makedonija </w:t>
            </w:r>
          </w:p>
        </w:tc>
        <w:tc>
          <w:tcPr>
            <w:tcW w:w="480"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81</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84</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85</w:t>
            </w:r>
          </w:p>
        </w:tc>
        <w:tc>
          <w:tcPr>
            <w:tcW w:w="514" w:type="dxa"/>
            <w:vAlign w:val="center"/>
          </w:tcPr>
          <w:p w:rsidR="009F3EE7" w:rsidRPr="00F4690F" w:rsidRDefault="009F3EE7" w:rsidP="00FE0A8A">
            <w:pPr>
              <w:pStyle w:val="Default"/>
              <w:ind w:left="-65" w:right="-151"/>
              <w:jc w:val="center"/>
              <w:rPr>
                <w:sz w:val="18"/>
                <w:szCs w:val="18"/>
              </w:rPr>
            </w:pPr>
            <w:r w:rsidRPr="00F4690F">
              <w:rPr>
                <w:sz w:val="18"/>
                <w:szCs w:val="18"/>
              </w:rPr>
              <w:t>80</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94</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89</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84</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79</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79</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80</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73</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63</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60</w:t>
            </w:r>
          </w:p>
        </w:tc>
        <w:tc>
          <w:tcPr>
            <w:tcW w:w="562" w:type="dxa"/>
            <w:vAlign w:val="center"/>
          </w:tcPr>
          <w:p w:rsidR="009F3EE7" w:rsidRPr="00F4690F" w:rsidRDefault="009F3EE7" w:rsidP="00FE0A8A">
            <w:pPr>
              <w:pStyle w:val="Default"/>
              <w:ind w:left="-65" w:right="-151"/>
              <w:jc w:val="center"/>
              <w:rPr>
                <w:sz w:val="18"/>
                <w:szCs w:val="18"/>
              </w:rPr>
            </w:pPr>
            <w:r w:rsidRPr="00F4690F">
              <w:rPr>
                <w:sz w:val="18"/>
                <w:szCs w:val="18"/>
              </w:rPr>
              <w:t>68</w:t>
            </w:r>
          </w:p>
        </w:tc>
      </w:tr>
      <w:tr w:rsidR="009F3EE7" w:rsidRPr="00612EA2" w:rsidTr="00FE0A8A">
        <w:trPr>
          <w:trHeight w:val="314"/>
          <w:jc w:val="center"/>
        </w:trPr>
        <w:tc>
          <w:tcPr>
            <w:tcW w:w="1106" w:type="dxa"/>
            <w:vAlign w:val="center"/>
          </w:tcPr>
          <w:p w:rsidR="009F3EE7" w:rsidRPr="00F4690F" w:rsidRDefault="009F3EE7" w:rsidP="00FE0A8A">
            <w:pPr>
              <w:pStyle w:val="Default"/>
              <w:ind w:left="-75" w:right="-108"/>
              <w:rPr>
                <w:sz w:val="18"/>
                <w:szCs w:val="18"/>
              </w:rPr>
            </w:pPr>
            <w:r w:rsidRPr="00F4690F">
              <w:rPr>
                <w:sz w:val="18"/>
                <w:szCs w:val="18"/>
              </w:rPr>
              <w:t xml:space="preserve">Slovenija </w:t>
            </w:r>
          </w:p>
        </w:tc>
        <w:tc>
          <w:tcPr>
            <w:tcW w:w="480" w:type="dxa"/>
            <w:vAlign w:val="center"/>
          </w:tcPr>
          <w:p w:rsidR="009F3EE7" w:rsidRPr="00F4690F" w:rsidRDefault="009F3EE7" w:rsidP="00FE0A8A">
            <w:pPr>
              <w:pStyle w:val="Default"/>
              <w:ind w:left="-65" w:right="-151"/>
              <w:jc w:val="center"/>
              <w:rPr>
                <w:sz w:val="18"/>
                <w:szCs w:val="18"/>
              </w:rPr>
            </w:pPr>
            <w:r w:rsidRPr="00F4690F">
              <w:rPr>
                <w:sz w:val="18"/>
                <w:szCs w:val="18"/>
              </w:rPr>
              <w:t>31</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28</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31</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33</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32</w:t>
            </w:r>
          </w:p>
        </w:tc>
        <w:tc>
          <w:tcPr>
            <w:tcW w:w="514" w:type="dxa"/>
            <w:vAlign w:val="center"/>
          </w:tcPr>
          <w:p w:rsidR="009F3EE7" w:rsidRPr="00F4690F" w:rsidRDefault="009F3EE7" w:rsidP="00FE0A8A">
            <w:pPr>
              <w:pStyle w:val="Default"/>
              <w:ind w:left="-65" w:right="-151"/>
              <w:jc w:val="center"/>
              <w:rPr>
                <w:sz w:val="18"/>
                <w:szCs w:val="18"/>
              </w:rPr>
            </w:pPr>
            <w:r w:rsidRPr="00F4690F">
              <w:rPr>
                <w:sz w:val="18"/>
                <w:szCs w:val="18"/>
              </w:rPr>
              <w:t>33</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39</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42</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37</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45</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57</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56</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62</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70</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59</w:t>
            </w:r>
          </w:p>
        </w:tc>
        <w:tc>
          <w:tcPr>
            <w:tcW w:w="562" w:type="dxa"/>
            <w:vAlign w:val="center"/>
          </w:tcPr>
          <w:p w:rsidR="009F3EE7" w:rsidRPr="00F4690F" w:rsidRDefault="009F3EE7" w:rsidP="00FE0A8A">
            <w:pPr>
              <w:pStyle w:val="Default"/>
              <w:ind w:left="-65" w:right="-151"/>
              <w:jc w:val="center"/>
              <w:rPr>
                <w:sz w:val="18"/>
                <w:szCs w:val="18"/>
              </w:rPr>
            </w:pPr>
            <w:r w:rsidRPr="00F4690F">
              <w:rPr>
                <w:sz w:val="18"/>
                <w:szCs w:val="18"/>
              </w:rPr>
              <w:t>56</w:t>
            </w:r>
          </w:p>
        </w:tc>
      </w:tr>
      <w:tr w:rsidR="009F3EE7" w:rsidRPr="00612EA2" w:rsidTr="00FE0A8A">
        <w:trPr>
          <w:trHeight w:val="314"/>
          <w:jc w:val="center"/>
        </w:trPr>
        <w:tc>
          <w:tcPr>
            <w:tcW w:w="1106" w:type="dxa"/>
            <w:vAlign w:val="center"/>
          </w:tcPr>
          <w:p w:rsidR="009F3EE7" w:rsidRPr="00F4690F" w:rsidRDefault="009F3EE7" w:rsidP="00FE0A8A">
            <w:pPr>
              <w:pStyle w:val="Default"/>
              <w:ind w:left="-75" w:right="-108"/>
              <w:rPr>
                <w:sz w:val="18"/>
                <w:szCs w:val="18"/>
              </w:rPr>
            </w:pPr>
            <w:r w:rsidRPr="00F4690F">
              <w:rPr>
                <w:sz w:val="18"/>
                <w:szCs w:val="18"/>
              </w:rPr>
              <w:t xml:space="preserve">Srbija </w:t>
            </w:r>
          </w:p>
        </w:tc>
        <w:tc>
          <w:tcPr>
            <w:tcW w:w="480"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77</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89</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80</w:t>
            </w:r>
          </w:p>
        </w:tc>
        <w:tc>
          <w:tcPr>
            <w:tcW w:w="514" w:type="dxa"/>
            <w:vAlign w:val="center"/>
          </w:tcPr>
          <w:p w:rsidR="009F3EE7" w:rsidRPr="00F4690F" w:rsidRDefault="009F3EE7" w:rsidP="00FE0A8A">
            <w:pPr>
              <w:pStyle w:val="Default"/>
              <w:ind w:left="-65" w:right="-151"/>
              <w:jc w:val="center"/>
              <w:rPr>
                <w:sz w:val="18"/>
                <w:szCs w:val="18"/>
              </w:rPr>
            </w:pPr>
            <w:r w:rsidRPr="00F4690F">
              <w:rPr>
                <w:sz w:val="18"/>
                <w:szCs w:val="18"/>
              </w:rPr>
              <w:t>87</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85</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93</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96</w:t>
            </w:r>
          </w:p>
        </w:tc>
        <w:tc>
          <w:tcPr>
            <w:tcW w:w="447" w:type="dxa"/>
            <w:vAlign w:val="center"/>
          </w:tcPr>
          <w:p w:rsidR="009F3EE7" w:rsidRPr="00F4690F" w:rsidRDefault="009F3EE7" w:rsidP="00FE0A8A">
            <w:pPr>
              <w:pStyle w:val="Default"/>
              <w:ind w:left="-65" w:right="-151"/>
              <w:jc w:val="center"/>
              <w:rPr>
                <w:sz w:val="18"/>
                <w:szCs w:val="18"/>
              </w:rPr>
            </w:pPr>
            <w:r w:rsidRPr="00F4690F">
              <w:rPr>
                <w:sz w:val="18"/>
                <w:szCs w:val="18"/>
              </w:rPr>
              <w:t>95</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95</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101</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94</w:t>
            </w:r>
          </w:p>
        </w:tc>
        <w:tc>
          <w:tcPr>
            <w:tcW w:w="467" w:type="dxa"/>
            <w:vAlign w:val="center"/>
          </w:tcPr>
          <w:p w:rsidR="009F3EE7" w:rsidRPr="00F4690F" w:rsidRDefault="009F3EE7" w:rsidP="00FE0A8A">
            <w:pPr>
              <w:pStyle w:val="Default"/>
              <w:ind w:left="-65" w:right="-151"/>
              <w:jc w:val="center"/>
              <w:rPr>
                <w:sz w:val="18"/>
                <w:szCs w:val="18"/>
              </w:rPr>
            </w:pPr>
            <w:r w:rsidRPr="00F4690F">
              <w:rPr>
                <w:sz w:val="18"/>
                <w:szCs w:val="18"/>
              </w:rPr>
              <w:t>94</w:t>
            </w:r>
          </w:p>
        </w:tc>
        <w:tc>
          <w:tcPr>
            <w:tcW w:w="562" w:type="dxa"/>
            <w:vAlign w:val="center"/>
          </w:tcPr>
          <w:p w:rsidR="009F3EE7" w:rsidRPr="00F4690F" w:rsidRDefault="009F3EE7" w:rsidP="00FE0A8A">
            <w:pPr>
              <w:pStyle w:val="Default"/>
              <w:ind w:left="-65" w:right="-151"/>
              <w:jc w:val="center"/>
              <w:rPr>
                <w:sz w:val="18"/>
                <w:szCs w:val="18"/>
              </w:rPr>
            </w:pPr>
            <w:r w:rsidRPr="00F4690F">
              <w:rPr>
                <w:sz w:val="18"/>
                <w:szCs w:val="18"/>
              </w:rPr>
              <w:t>90</w:t>
            </w:r>
          </w:p>
        </w:tc>
      </w:tr>
    </w:tbl>
    <w:p w:rsidR="009F3EE7" w:rsidRDefault="009F3EE7" w:rsidP="001340AD">
      <w:pPr>
        <w:tabs>
          <w:tab w:val="left" w:pos="567"/>
          <w:tab w:val="left" w:pos="6045"/>
        </w:tabs>
        <w:spacing w:after="200"/>
      </w:pPr>
      <w:r>
        <w:tab/>
      </w:r>
      <w:r>
        <w:rPr>
          <w:color w:val="000000"/>
          <w:lang w:val="hr-BA" w:eastAsia="hr-BA"/>
        </w:rPr>
        <w:t>Od sedam zemlja u okruženju, BiH je i dalje pozicionirana na posljednjem 107 mjestu. Najbolje rezultate ostvarila je Slovenija, koja se sa prošlogodišnjeg 59. mjesta popela na 56. mjesto, Albanija (za 7 mjesta), Srbija (za 4 mjesta) i Hrvatska (za 3 mjesta), dok su Makedonija (za 8 mjesta) i Crna Gora (za 12 mjesta) zabilježile lošiju poziciju u odnosu na prethodnu godinu.</w:t>
      </w:r>
      <w:r>
        <w:tab/>
      </w:r>
      <w:r>
        <w:tab/>
      </w:r>
      <w:r>
        <w:tab/>
      </w:r>
      <w:r>
        <w:tab/>
      </w:r>
      <w:r>
        <w:tab/>
      </w:r>
      <w:r>
        <w:rPr>
          <w:color w:val="000000"/>
          <w:lang w:val="hr-HR"/>
        </w:rPr>
        <w:t xml:space="preserve">U narednoj tabeli su prikazani faktori koji najviše ometaju poslovanje u BiH čime imaju najveći utjecaj na nisku razinu konkurentnosti bh ekonomije. </w:t>
      </w:r>
    </w:p>
    <w:p w:rsidR="009F3EE7" w:rsidRPr="006B7897" w:rsidRDefault="009F3EE7" w:rsidP="006B7897">
      <w:pPr>
        <w:pStyle w:val="Title"/>
        <w:rPr>
          <w:rFonts w:ascii="Times New Roman" w:hAnsi="Times New Roman"/>
          <w:i/>
          <w:sz w:val="22"/>
          <w:szCs w:val="22"/>
          <w:lang w:val="hr-HR"/>
        </w:rPr>
      </w:pPr>
      <w:r w:rsidRPr="006B7897">
        <w:rPr>
          <w:rFonts w:ascii="Times New Roman" w:hAnsi="Times New Roman"/>
          <w:i/>
          <w:sz w:val="22"/>
          <w:szCs w:val="22"/>
          <w:lang w:val="hr-HR"/>
        </w:rPr>
        <w:t>Tabela 2. Faktori koji najviše ometaju poslovanje u BiH</w:t>
      </w:r>
      <w:r w:rsidRPr="006B7897">
        <w:rPr>
          <w:rStyle w:val="FootnoteReference"/>
          <w:rFonts w:ascii="Times New Roman" w:hAnsi="Times New Roman"/>
          <w:bCs/>
          <w:i/>
          <w:color w:val="000000"/>
          <w:sz w:val="22"/>
          <w:szCs w:val="22"/>
          <w:lang w:val="hr-HR"/>
        </w:rPr>
        <w:footnoteReference w:id="19"/>
      </w:r>
      <w:r w:rsidRPr="006B7897">
        <w:rPr>
          <w:rFonts w:ascii="Times New Roman" w:hAnsi="Times New Roman"/>
          <w:i/>
          <w:sz w:val="22"/>
          <w:szCs w:val="22"/>
          <w:lang w:val="hr-HR"/>
        </w:rPr>
        <w:t xml:space="preserve"> (prilagođeno), u  ( %) </w:t>
      </w:r>
      <w:r w:rsidRPr="006B7897">
        <w:rPr>
          <w:rFonts w:ascii="Times New Roman" w:hAnsi="Times New Roman"/>
          <w:i/>
          <w:sz w:val="22"/>
          <w:szCs w:val="22"/>
          <w:lang w:val="hr-HR"/>
        </w:rPr>
        <w:tab/>
      </w:r>
      <w:r w:rsidRPr="006B7897">
        <w:rPr>
          <w:rFonts w:ascii="Times New Roman" w:hAnsi="Times New Roman"/>
          <w:i/>
          <w:sz w:val="22"/>
          <w:szCs w:val="22"/>
          <w:lang w:val="hr-HR"/>
        </w:rPr>
        <w:tab/>
      </w:r>
      <w:r w:rsidRPr="006B7897">
        <w:rPr>
          <w:rFonts w:ascii="Times New Roman" w:hAnsi="Times New Roman"/>
          <w:i/>
          <w:sz w:val="22"/>
          <w:szCs w:val="22"/>
          <w:lang w:val="hr-H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31"/>
        <w:gridCol w:w="1064"/>
      </w:tblGrid>
      <w:tr w:rsidR="009F3EE7" w:rsidRPr="00612EA2" w:rsidTr="00612EA2">
        <w:tc>
          <w:tcPr>
            <w:tcW w:w="4431" w:type="dxa"/>
          </w:tcPr>
          <w:p w:rsidR="009F3EE7" w:rsidRPr="00612EA2" w:rsidRDefault="009F3EE7" w:rsidP="006B7897">
            <w:pPr>
              <w:pStyle w:val="Title"/>
              <w:rPr>
                <w:rFonts w:ascii="Times New Roman" w:hAnsi="Times New Roman"/>
                <w:i/>
                <w:sz w:val="20"/>
                <w:szCs w:val="20"/>
                <w:lang w:val="hr-HR"/>
              </w:rPr>
            </w:pPr>
            <w:r w:rsidRPr="00612EA2">
              <w:rPr>
                <w:rStyle w:val="Emphasis"/>
                <w:rFonts w:ascii="Times New Roman" w:hAnsi="Times New Roman"/>
                <w:i w:val="0"/>
                <w:sz w:val="20"/>
                <w:szCs w:val="20"/>
              </w:rPr>
              <w:t>Neefikasnost državne administracije</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13,7</w:t>
            </w:r>
          </w:p>
        </w:tc>
      </w:tr>
      <w:tr w:rsidR="009F3EE7" w:rsidRPr="00612EA2" w:rsidTr="00612EA2">
        <w:tc>
          <w:tcPr>
            <w:tcW w:w="4431" w:type="dxa"/>
          </w:tcPr>
          <w:p w:rsidR="009F3EE7" w:rsidRPr="00612EA2" w:rsidRDefault="009F3EE7" w:rsidP="006B7897">
            <w:pPr>
              <w:pStyle w:val="Title"/>
              <w:rPr>
                <w:rFonts w:ascii="Times New Roman" w:hAnsi="Times New Roman"/>
                <w:i/>
                <w:sz w:val="20"/>
                <w:szCs w:val="20"/>
                <w:lang w:val="hr-HR"/>
              </w:rPr>
            </w:pPr>
            <w:r w:rsidRPr="00612EA2">
              <w:rPr>
                <w:rStyle w:val="Emphasis"/>
                <w:rFonts w:ascii="Times New Roman" w:hAnsi="Times New Roman"/>
                <w:i w:val="0"/>
                <w:sz w:val="20"/>
                <w:szCs w:val="20"/>
              </w:rPr>
              <w:t>Korupcija</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13,0</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 xml:space="preserve">Vladina nestabilnost/dobri potezi </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11,1</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 xml:space="preserve">Politička nestabilnost </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10,5</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Složenost poreznih propisa</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8,8</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 xml:space="preserve">Porezne stope </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7,9</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 xml:space="preserve">Pristup financiranju </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7,3</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 xml:space="preserve">Neadekvatno obezbjeđivanje infrastrukture </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5,3</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 xml:space="preserve">Vladina nestabilnost/dobri potezi </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5,3</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 xml:space="preserve">Politička nestabilnost </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5,0</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Složenost poreznih propisa</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3,6</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 xml:space="preserve">Porezne stope </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3,3</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 xml:space="preserve">Pristup financiranju </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2,5</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 xml:space="preserve">Neadekvatno obezbjeđivanje infrastrukture </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1,4</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 xml:space="preserve">Neadekvatna educiranost radne snage </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0,8</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 xml:space="preserve">Kriminal i krađe </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0,6</w:t>
            </w:r>
          </w:p>
        </w:tc>
      </w:tr>
      <w:tr w:rsidR="009F3EE7" w:rsidRPr="00612EA2" w:rsidTr="00612EA2">
        <w:tc>
          <w:tcPr>
            <w:tcW w:w="4431" w:type="dxa"/>
            <w:vAlign w:val="center"/>
          </w:tcPr>
          <w:p w:rsidR="009F3EE7" w:rsidRPr="00612EA2" w:rsidRDefault="009F3EE7" w:rsidP="006B7897">
            <w:pPr>
              <w:pStyle w:val="Title"/>
              <w:rPr>
                <w:rStyle w:val="Emphasis"/>
                <w:rFonts w:ascii="Times New Roman" w:hAnsi="Times New Roman"/>
                <w:i w:val="0"/>
                <w:sz w:val="20"/>
                <w:szCs w:val="20"/>
              </w:rPr>
            </w:pPr>
            <w:r w:rsidRPr="00612EA2">
              <w:rPr>
                <w:rStyle w:val="Emphasis"/>
                <w:rFonts w:ascii="Times New Roman" w:hAnsi="Times New Roman"/>
                <w:i w:val="0"/>
                <w:sz w:val="20"/>
                <w:szCs w:val="20"/>
              </w:rPr>
              <w:t xml:space="preserve">Restriktivni radni propisi </w:t>
            </w:r>
          </w:p>
        </w:tc>
        <w:tc>
          <w:tcPr>
            <w:tcW w:w="1064" w:type="dxa"/>
            <w:vAlign w:val="center"/>
          </w:tcPr>
          <w:p w:rsidR="009F3EE7" w:rsidRPr="00612EA2" w:rsidRDefault="009F3EE7" w:rsidP="00612EA2">
            <w:pPr>
              <w:pStyle w:val="Title"/>
              <w:jc w:val="right"/>
              <w:rPr>
                <w:rFonts w:ascii="Times New Roman" w:hAnsi="Times New Roman"/>
                <w:i/>
                <w:sz w:val="20"/>
                <w:szCs w:val="20"/>
                <w:lang w:val="hr-HR"/>
              </w:rPr>
            </w:pPr>
            <w:r w:rsidRPr="00612EA2">
              <w:rPr>
                <w:rStyle w:val="Emphasis"/>
                <w:rFonts w:ascii="Times New Roman" w:hAnsi="Times New Roman"/>
                <w:i w:val="0"/>
                <w:sz w:val="20"/>
                <w:szCs w:val="20"/>
              </w:rPr>
              <w:t>100,0</w:t>
            </w:r>
          </w:p>
        </w:tc>
      </w:tr>
    </w:tbl>
    <w:p w:rsidR="009F3EE7" w:rsidRDefault="009F3EE7" w:rsidP="008D22EB">
      <w:pPr>
        <w:pStyle w:val="ListParagraph"/>
        <w:numPr>
          <w:ilvl w:val="0"/>
          <w:numId w:val="32"/>
        </w:numPr>
        <w:tabs>
          <w:tab w:val="left" w:pos="567"/>
          <w:tab w:val="left" w:pos="6045"/>
        </w:tabs>
        <w:spacing w:after="200"/>
      </w:pPr>
      <w:r>
        <w:rPr>
          <w:b/>
          <w:color w:val="000000"/>
          <w:lang w:val="hr-HR"/>
        </w:rPr>
        <w:t xml:space="preserve"> </w:t>
      </w:r>
      <w:r w:rsidRPr="008D22EB">
        <w:rPr>
          <w:b/>
          <w:color w:val="000000"/>
          <w:lang w:val="hr-HR"/>
        </w:rPr>
        <w:t>PREPORUKE ZA JAČANJE KONKURENTNOSTI</w:t>
      </w:r>
    </w:p>
    <w:p w:rsidR="009F3EE7" w:rsidRPr="008D22EB" w:rsidRDefault="009F3EE7" w:rsidP="008D22EB">
      <w:pPr>
        <w:tabs>
          <w:tab w:val="left" w:pos="567"/>
          <w:tab w:val="left" w:pos="6045"/>
        </w:tabs>
        <w:spacing w:after="200"/>
      </w:pPr>
      <w:r>
        <w:tab/>
      </w:r>
      <w:r w:rsidRPr="008D22EB">
        <w:rPr>
          <w:color w:val="000000"/>
          <w:lang w:val="hr-HR"/>
        </w:rPr>
        <w:t>Razvoj bh ekonomije treba biti izvozom vođen razvoj. Da bi se izvoz povećao moraju se razvijati klasteri</w:t>
      </w:r>
      <w:r>
        <w:rPr>
          <w:rStyle w:val="FootnoteReference"/>
          <w:color w:val="000000"/>
          <w:lang w:val="hr-HR"/>
        </w:rPr>
        <w:footnoteReference w:id="20"/>
      </w:r>
      <w:r w:rsidRPr="008D22EB">
        <w:rPr>
          <w:color w:val="000000"/>
          <w:lang w:val="hr-HR"/>
        </w:rPr>
        <w:t>, infrastrukturu, obrazovanje i izgrađivati institucije. Za zemlje sa srednjim dohotkom najbolje strategije razvoja su one koje se temelje na izvozom vođenim razvojem. Temeljne karakteristike takve strategije su</w:t>
      </w:r>
      <w:r>
        <w:rPr>
          <w:rStyle w:val="FootnoteReference"/>
          <w:color w:val="000000"/>
          <w:lang w:val="hr-HR"/>
        </w:rPr>
        <w:footnoteReference w:id="21"/>
      </w:r>
      <w:r w:rsidRPr="008D22EB">
        <w:rPr>
          <w:color w:val="000000"/>
          <w:lang w:val="hr-HR"/>
        </w:rPr>
        <w:t>:</w:t>
      </w:r>
    </w:p>
    <w:p w:rsidR="009F3EE7" w:rsidRDefault="009F3EE7" w:rsidP="003B719F">
      <w:pPr>
        <w:numPr>
          <w:ilvl w:val="0"/>
          <w:numId w:val="26"/>
        </w:numPr>
        <w:autoSpaceDE w:val="0"/>
        <w:autoSpaceDN w:val="0"/>
        <w:adjustRightInd w:val="0"/>
        <w:spacing w:before="0"/>
        <w:rPr>
          <w:color w:val="000000"/>
          <w:lang w:val="hr-HR"/>
        </w:rPr>
      </w:pPr>
      <w:r>
        <w:rPr>
          <w:color w:val="000000"/>
          <w:lang w:val="hr-HR"/>
        </w:rPr>
        <w:t>visok nivo domaće štednje i domaćih investicija,</w:t>
      </w:r>
    </w:p>
    <w:p w:rsidR="009F3EE7" w:rsidRDefault="009F3EE7" w:rsidP="003B719F">
      <w:pPr>
        <w:numPr>
          <w:ilvl w:val="0"/>
          <w:numId w:val="26"/>
        </w:numPr>
        <w:autoSpaceDE w:val="0"/>
        <w:autoSpaceDN w:val="0"/>
        <w:adjustRightInd w:val="0"/>
        <w:spacing w:before="0"/>
        <w:rPr>
          <w:color w:val="000000"/>
          <w:lang w:val="hr-HR"/>
        </w:rPr>
      </w:pPr>
      <w:r>
        <w:rPr>
          <w:color w:val="000000"/>
          <w:lang w:val="hr-HR"/>
        </w:rPr>
        <w:t>visok nivo tuzemnih i inozemnih investicija, poglavito u industriju,</w:t>
      </w:r>
    </w:p>
    <w:p w:rsidR="009F3EE7" w:rsidRDefault="009F3EE7" w:rsidP="00A94DAC">
      <w:pPr>
        <w:numPr>
          <w:ilvl w:val="0"/>
          <w:numId w:val="26"/>
        </w:numPr>
        <w:autoSpaceDE w:val="0"/>
        <w:autoSpaceDN w:val="0"/>
        <w:adjustRightInd w:val="0"/>
        <w:spacing w:before="0"/>
        <w:rPr>
          <w:color w:val="000000"/>
          <w:lang w:val="hr-HR"/>
        </w:rPr>
      </w:pPr>
      <w:r>
        <w:rPr>
          <w:color w:val="000000"/>
          <w:lang w:val="hr-HR"/>
        </w:rPr>
        <w:t>visok nivo izvoza industrijskih proizvoda.</w:t>
      </w:r>
    </w:p>
    <w:p w:rsidR="009F3EE7" w:rsidRDefault="009F3EE7" w:rsidP="00A94DAC">
      <w:pPr>
        <w:autoSpaceDE w:val="0"/>
        <w:autoSpaceDN w:val="0"/>
        <w:adjustRightInd w:val="0"/>
        <w:spacing w:before="0"/>
        <w:rPr>
          <w:color w:val="000000"/>
          <w:lang w:val="hr-HR"/>
        </w:rPr>
      </w:pPr>
    </w:p>
    <w:p w:rsidR="009F3EE7" w:rsidRPr="00A94DAC" w:rsidRDefault="009F3EE7" w:rsidP="00A94DAC">
      <w:pPr>
        <w:autoSpaceDE w:val="0"/>
        <w:autoSpaceDN w:val="0"/>
        <w:adjustRightInd w:val="0"/>
        <w:spacing w:before="0"/>
        <w:ind w:firstLine="360"/>
        <w:rPr>
          <w:color w:val="000000"/>
          <w:lang w:val="hr-HR"/>
        </w:rPr>
      </w:pPr>
      <w:r w:rsidRPr="00A94DAC">
        <w:rPr>
          <w:color w:val="000000"/>
          <w:lang w:val="hr-HR"/>
        </w:rPr>
        <w:t>Kritični faktori uspjeha konkurentnosti klastera su</w:t>
      </w:r>
      <w:r>
        <w:rPr>
          <w:rStyle w:val="FootnoteReference"/>
          <w:color w:val="000000"/>
          <w:lang w:val="hr-HR"/>
        </w:rPr>
        <w:footnoteReference w:id="22"/>
      </w:r>
      <w:r w:rsidRPr="00A94DAC">
        <w:rPr>
          <w:color w:val="000000"/>
          <w:lang w:val="hr-HR"/>
        </w:rPr>
        <w:t>:</w:t>
      </w:r>
    </w:p>
    <w:p w:rsidR="009F3EE7" w:rsidRPr="00263322" w:rsidRDefault="009F3EE7" w:rsidP="00263322">
      <w:pPr>
        <w:numPr>
          <w:ilvl w:val="0"/>
          <w:numId w:val="27"/>
        </w:numPr>
        <w:autoSpaceDE w:val="0"/>
        <w:autoSpaceDN w:val="0"/>
        <w:adjustRightInd w:val="0"/>
        <w:spacing w:before="0"/>
        <w:ind w:firstLine="0"/>
        <w:rPr>
          <w:color w:val="000000"/>
          <w:lang w:val="hr-HR"/>
        </w:rPr>
      </w:pPr>
      <w:r>
        <w:rPr>
          <w:color w:val="000000"/>
          <w:lang w:val="hr-HR"/>
        </w:rPr>
        <w:t xml:space="preserve">izvršenje zajedničke strategije ekonomskog razvoja, konzistentne sa strategijom </w:t>
      </w:r>
      <w:r w:rsidRPr="00263322">
        <w:rPr>
          <w:color w:val="000000"/>
          <w:lang w:val="hr-HR"/>
        </w:rPr>
        <w:t>ekonomskog razvoja odnosnog prostora,</w:t>
      </w:r>
    </w:p>
    <w:p w:rsidR="009F3EE7" w:rsidRDefault="009F3EE7" w:rsidP="003B719F">
      <w:pPr>
        <w:numPr>
          <w:ilvl w:val="0"/>
          <w:numId w:val="27"/>
        </w:numPr>
        <w:autoSpaceDE w:val="0"/>
        <w:autoSpaceDN w:val="0"/>
        <w:adjustRightInd w:val="0"/>
        <w:spacing w:before="0"/>
        <w:ind w:firstLine="0"/>
        <w:rPr>
          <w:color w:val="000000"/>
          <w:lang w:val="hr-HR"/>
        </w:rPr>
      </w:pPr>
      <w:r>
        <w:rPr>
          <w:color w:val="000000"/>
          <w:lang w:val="hr-HR"/>
        </w:rPr>
        <w:t>stvaranje širokih partnerstava aktera na određenim projektima,</w:t>
      </w:r>
    </w:p>
    <w:p w:rsidR="009F3EE7" w:rsidRDefault="009F3EE7" w:rsidP="003B719F">
      <w:pPr>
        <w:numPr>
          <w:ilvl w:val="0"/>
          <w:numId w:val="27"/>
        </w:numPr>
        <w:autoSpaceDE w:val="0"/>
        <w:autoSpaceDN w:val="0"/>
        <w:adjustRightInd w:val="0"/>
        <w:spacing w:before="0"/>
        <w:ind w:firstLine="0"/>
        <w:rPr>
          <w:color w:val="000000"/>
          <w:lang w:val="hr-HR"/>
        </w:rPr>
      </w:pPr>
      <w:r>
        <w:rPr>
          <w:color w:val="000000"/>
          <w:lang w:val="hr-HR"/>
        </w:rPr>
        <w:t>fokusiranje na tehnologije za tržišta s visokim potencijalom rasta,</w:t>
      </w:r>
    </w:p>
    <w:p w:rsidR="009F3EE7" w:rsidRDefault="009F3EE7" w:rsidP="003B719F">
      <w:pPr>
        <w:numPr>
          <w:ilvl w:val="0"/>
          <w:numId w:val="27"/>
        </w:numPr>
        <w:autoSpaceDE w:val="0"/>
        <w:autoSpaceDN w:val="0"/>
        <w:adjustRightInd w:val="0"/>
        <w:spacing w:before="0"/>
        <w:ind w:firstLine="0"/>
        <w:rPr>
          <w:color w:val="000000"/>
          <w:lang w:val="hr-HR"/>
        </w:rPr>
      </w:pPr>
      <w:r>
        <w:rPr>
          <w:color w:val="000000"/>
          <w:lang w:val="hr-HR"/>
        </w:rPr>
        <w:t>dostizanje kritične mase za stjecanje i održavanje internacionalne prepoznatljivosti,</w:t>
      </w:r>
    </w:p>
    <w:p w:rsidR="009F3EE7" w:rsidRDefault="009F3EE7" w:rsidP="003B719F">
      <w:pPr>
        <w:numPr>
          <w:ilvl w:val="0"/>
          <w:numId w:val="27"/>
        </w:numPr>
        <w:autoSpaceDE w:val="0"/>
        <w:autoSpaceDN w:val="0"/>
        <w:adjustRightInd w:val="0"/>
        <w:spacing w:before="0"/>
        <w:ind w:firstLine="0"/>
        <w:rPr>
          <w:color w:val="000000"/>
          <w:lang w:val="hr-HR"/>
        </w:rPr>
      </w:pPr>
      <w:r>
        <w:rPr>
          <w:color w:val="000000"/>
          <w:lang w:val="hr-HR"/>
        </w:rPr>
        <w:t xml:space="preserve">razvoj dijaloga s civilnim društvom radi uključivanja svih ključnih zainteresiranih </w:t>
      </w:r>
      <w:r w:rsidRPr="00263322">
        <w:rPr>
          <w:color w:val="000000"/>
          <w:lang w:val="hr-HR"/>
        </w:rPr>
        <w:t>strana.</w:t>
      </w:r>
    </w:p>
    <w:p w:rsidR="009F3EE7" w:rsidRDefault="009F3EE7" w:rsidP="001340AD">
      <w:pPr>
        <w:autoSpaceDE w:val="0"/>
        <w:autoSpaceDN w:val="0"/>
        <w:adjustRightInd w:val="0"/>
        <w:spacing w:before="0"/>
        <w:ind w:left="360"/>
        <w:rPr>
          <w:color w:val="000000"/>
          <w:lang w:val="hr-HR"/>
        </w:rPr>
      </w:pPr>
    </w:p>
    <w:p w:rsidR="009F3EE7" w:rsidRDefault="009F3EE7" w:rsidP="00A94DAC">
      <w:pPr>
        <w:autoSpaceDE w:val="0"/>
        <w:autoSpaceDN w:val="0"/>
        <w:adjustRightInd w:val="0"/>
        <w:spacing w:before="0"/>
        <w:ind w:firstLine="720"/>
        <w:rPr>
          <w:color w:val="000000"/>
          <w:lang w:val="hr-HR"/>
        </w:rPr>
      </w:pPr>
      <w:r w:rsidRPr="001340AD">
        <w:rPr>
          <w:color w:val="000000"/>
          <w:lang w:val="hr-HR"/>
        </w:rPr>
        <w:t>Za unaprjeđenja konkurentnosti bh ekonomije potrebno je da vlade, poslovna i akademska zajednica rade zajedno na rješavanju izazova s kojima se poduzeća susreću na regionalnom i globalnom tržištu.</w:t>
      </w:r>
      <w:r>
        <w:rPr>
          <w:color w:val="000000"/>
          <w:lang w:val="hr-HR"/>
        </w:rPr>
        <w:t xml:space="preserve"> Vlade moraju stvarati okruženje koje privlači transnacionalne kompanije, promovira transfer tehnologija, stimulira nastajanje malih poduzeća, potiče nastajanje lanaca ponude, razvija institucije koje omogućavaju ostvarenje izvoza, potiče razvoj banka infrastrukture. Glavni cilj poduzeća treba biti povezivanje s transnacionalnim kompanijama kroz podugovaračke ugovore, dodavanje što veće vrijednosti proizvodima za koje su zahtjevniji potrošači zainteresirani kako bi ostvarili što veći dohodak.</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U vrijeme ekonomske krize smanjuju se izvoz, zaposlenost i dohodak. Posebno je važno imati u vidu visoke osobne troškove recesije, jer se osobni dohoci smanjuju uz istodobno povećanje ekonomske neizvjesnosti. Ekonomska kriza će potrajati, posebno u slučaju zemalja sa strukturnim problemima kao što je BiH. Realni sektor ekonomije je u lošem stanju, izložen već više godina, šokovima s globalnog tržišta uslijed neodmjerene vanjskotrgovinske liberalizacije i otvorenosti vanjske trgovine. Pitanje je kako prestrukturirati ekonomiju u uvjetima niske i padajuće konkurentnosti i velikog vanjskotrgovinskog deficita, smanjene investicijske aktivnosti zbog smanjenja priliva ino financijskih sredstava.</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 xml:space="preserve">Nosioci ekonomske politike u BiH trebali bi donijeti antikrizni program. Od njih se također očekuje da sačine plan rješavanja problema koji nastaju zbog porasta nezaposlenosti i siromaštva. Oko polovice bh stanovništva je već siromašno ili na pragu siromaštva, a to će se, bez sumnje i dalje pogoršavati. </w:t>
      </w:r>
      <w:r>
        <w:rPr>
          <w:color w:val="000000"/>
          <w:lang w:val="hr-HR"/>
        </w:rPr>
        <w:tab/>
      </w:r>
      <w:r>
        <w:rPr>
          <w:color w:val="000000"/>
          <w:lang w:val="hr-HR"/>
        </w:rPr>
        <w:tab/>
      </w:r>
      <w:r>
        <w:rPr>
          <w:color w:val="000000"/>
          <w:lang w:val="hr-HR"/>
        </w:rPr>
        <w:tab/>
      </w:r>
      <w:r>
        <w:rPr>
          <w:color w:val="000000"/>
          <w:lang w:val="hr-HR"/>
        </w:rPr>
        <w:tab/>
      </w:r>
      <w:r>
        <w:rPr>
          <w:color w:val="000000"/>
          <w:lang w:val="hr-HR"/>
        </w:rPr>
        <w:tab/>
        <w:t>Poseban izazov za BiH je pripremati program mjera kad ne postoje dugoročna ili srednjoročna strategija razvoja na koje bi se program mogao osloniti. Nedvojbeno je da se program mora usmjeriti na financijski sektor, prvenstveno na javne financije te da to mora biti dopunjeno mjerama za sprječavanje smanjenja zaposlenosti i ekonomskog rasta. Prije svega nužno je popraviti troškovnu konkurentnosti, pojačati trening i obrazovne aktivnosti te afirmirati inovativnu aktivnost kako u oblasti tehničkih inovacija, tako i u vođenju proizvodnih procesa, a suprotno tome potrebno je smanjiti plaću političarima i vezati je za porast dohotka.</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t xml:space="preserve">                     </w:t>
      </w:r>
    </w:p>
    <w:p w:rsidR="009F3EE7" w:rsidRDefault="009F3EE7" w:rsidP="00A94DAC">
      <w:pPr>
        <w:autoSpaceDE w:val="0"/>
        <w:autoSpaceDN w:val="0"/>
        <w:adjustRightInd w:val="0"/>
        <w:spacing w:before="0"/>
        <w:ind w:firstLine="720"/>
        <w:rPr>
          <w:color w:val="000000"/>
          <w:lang w:val="hr-HR"/>
        </w:rPr>
      </w:pPr>
      <w:r>
        <w:rPr>
          <w:color w:val="000000"/>
          <w:lang w:val="hr-HR"/>
        </w:rPr>
        <w:t>Ključne mjere u oblasti javnih financija trebaju biti:</w:t>
      </w:r>
    </w:p>
    <w:p w:rsidR="009F3EE7" w:rsidRDefault="009F3EE7" w:rsidP="003B719F">
      <w:pPr>
        <w:numPr>
          <w:ilvl w:val="0"/>
          <w:numId w:val="28"/>
        </w:numPr>
        <w:autoSpaceDE w:val="0"/>
        <w:autoSpaceDN w:val="0"/>
        <w:adjustRightInd w:val="0"/>
        <w:spacing w:before="0"/>
        <w:rPr>
          <w:color w:val="000000"/>
          <w:lang w:val="hr-HR"/>
        </w:rPr>
      </w:pPr>
      <w:r>
        <w:rPr>
          <w:color w:val="000000"/>
          <w:lang w:val="hr-HR"/>
        </w:rPr>
        <w:t>Povećanje kapitalnih javnih rashoda,</w:t>
      </w:r>
    </w:p>
    <w:p w:rsidR="009F3EE7" w:rsidRDefault="009F3EE7" w:rsidP="003B719F">
      <w:pPr>
        <w:numPr>
          <w:ilvl w:val="0"/>
          <w:numId w:val="28"/>
        </w:numPr>
        <w:autoSpaceDE w:val="0"/>
        <w:autoSpaceDN w:val="0"/>
        <w:adjustRightInd w:val="0"/>
        <w:spacing w:before="0"/>
        <w:rPr>
          <w:color w:val="000000"/>
          <w:lang w:val="hr-HR"/>
        </w:rPr>
      </w:pPr>
      <w:r>
        <w:rPr>
          <w:color w:val="000000"/>
          <w:lang w:val="hr-HR"/>
        </w:rPr>
        <w:t>Smanjenje tekućih javnih rashoda,</w:t>
      </w:r>
    </w:p>
    <w:p w:rsidR="009F3EE7" w:rsidRDefault="009F3EE7" w:rsidP="003B719F">
      <w:pPr>
        <w:numPr>
          <w:ilvl w:val="0"/>
          <w:numId w:val="28"/>
        </w:numPr>
        <w:autoSpaceDE w:val="0"/>
        <w:autoSpaceDN w:val="0"/>
        <w:adjustRightInd w:val="0"/>
        <w:spacing w:before="0"/>
        <w:rPr>
          <w:color w:val="000000"/>
          <w:lang w:val="hr-HR"/>
        </w:rPr>
      </w:pPr>
      <w:r>
        <w:rPr>
          <w:color w:val="000000"/>
          <w:lang w:val="hr-HR"/>
        </w:rPr>
        <w:t>Povećanje poreznih javnih prihoda i</w:t>
      </w:r>
    </w:p>
    <w:p w:rsidR="009F3EE7" w:rsidRDefault="009F3EE7" w:rsidP="003B719F">
      <w:pPr>
        <w:numPr>
          <w:ilvl w:val="0"/>
          <w:numId w:val="28"/>
        </w:numPr>
        <w:autoSpaceDE w:val="0"/>
        <w:autoSpaceDN w:val="0"/>
        <w:adjustRightInd w:val="0"/>
        <w:spacing w:before="0"/>
        <w:rPr>
          <w:color w:val="000000"/>
          <w:lang w:val="hr-HR"/>
        </w:rPr>
      </w:pPr>
      <w:r>
        <w:rPr>
          <w:color w:val="000000"/>
          <w:lang w:val="hr-HR"/>
        </w:rPr>
        <w:t>Reformiranje javne uprave</w:t>
      </w:r>
    </w:p>
    <w:p w:rsidR="009F3EE7" w:rsidRDefault="009F3EE7" w:rsidP="003B7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2"/>
          <w:szCs w:val="22"/>
          <w:lang w:val="hr-HR"/>
        </w:rPr>
      </w:pPr>
      <w:r>
        <w:rPr>
          <w:color w:val="000000"/>
          <w:lang w:val="hr-HR"/>
        </w:rPr>
        <w:tab/>
        <w:t>Nema ekonomskog oporavka bez visokih stopa javnih investicija u infrastrukturu, obrazovanje i istraživanja i razvoj. Potrebno je relativno smanjiti tekuće javne rashode, prije svega smanjiti broj uposlenika u javnom sektoru. Treba imati na umu da je javni sektor u BiH isuviše velik. Među relativno najvećim je u Europi, što istodobno znači da je privatni sektor među relativno najmanjim u Europi. Stoga daljnji porast javnih rashoda treba biti isključivo produktivnog karaktera</w:t>
      </w:r>
      <w:r>
        <w:rPr>
          <w:color w:val="000000"/>
          <w:sz w:val="22"/>
          <w:szCs w:val="22"/>
          <w:lang w:val="hr-HR"/>
        </w:rPr>
        <w:t xml:space="preserve">. </w:t>
      </w:r>
      <w:r>
        <w:rPr>
          <w:color w:val="000000"/>
          <w:lang w:val="hr-HR"/>
        </w:rPr>
        <w:t>Temeljem iskustva drugih zemalja jasno je da treba</w:t>
      </w:r>
      <w:r>
        <w:rPr>
          <w:rStyle w:val="FootnoteReference"/>
          <w:color w:val="000000"/>
          <w:lang w:val="hr-HR"/>
        </w:rPr>
        <w:footnoteReference w:id="23"/>
      </w:r>
      <w:r>
        <w:rPr>
          <w:color w:val="000000"/>
          <w:lang w:val="hr-HR"/>
        </w:rPr>
        <w:t>:</w:t>
      </w:r>
    </w:p>
    <w:p w:rsidR="009F3EE7" w:rsidRDefault="009F3EE7" w:rsidP="003B719F">
      <w:pPr>
        <w:numPr>
          <w:ilvl w:val="0"/>
          <w:numId w:val="29"/>
        </w:numPr>
        <w:autoSpaceDE w:val="0"/>
        <w:autoSpaceDN w:val="0"/>
        <w:adjustRightInd w:val="0"/>
        <w:spacing w:before="0"/>
        <w:rPr>
          <w:color w:val="000000"/>
          <w:lang w:val="hr-HR"/>
        </w:rPr>
      </w:pPr>
      <w:r>
        <w:rPr>
          <w:color w:val="000000"/>
          <w:lang w:val="hr-HR"/>
        </w:rPr>
        <w:t>Provoditi institucionalne reforme (razvoj institucija je od ključnog značaja za razvoj financijskog posredovanja), posebno pravni okvir za odvijanje ekonomske aktivnosti,</w:t>
      </w:r>
    </w:p>
    <w:p w:rsidR="009F3EE7" w:rsidRDefault="009F3EE7" w:rsidP="003B719F">
      <w:pPr>
        <w:numPr>
          <w:ilvl w:val="0"/>
          <w:numId w:val="29"/>
        </w:numPr>
        <w:autoSpaceDE w:val="0"/>
        <w:autoSpaceDN w:val="0"/>
        <w:adjustRightInd w:val="0"/>
        <w:spacing w:before="0"/>
        <w:rPr>
          <w:color w:val="000000"/>
          <w:lang w:val="hr-HR"/>
        </w:rPr>
      </w:pPr>
      <w:r>
        <w:rPr>
          <w:color w:val="000000"/>
          <w:lang w:val="hr-HR"/>
        </w:rPr>
        <w:t>Razvijati primarno (i potom sekundarno) tržište državnih vrijednosnih papira,</w:t>
      </w:r>
    </w:p>
    <w:p w:rsidR="009F3EE7" w:rsidRDefault="009F3EE7" w:rsidP="003B719F">
      <w:pPr>
        <w:numPr>
          <w:ilvl w:val="0"/>
          <w:numId w:val="29"/>
        </w:numPr>
        <w:autoSpaceDE w:val="0"/>
        <w:autoSpaceDN w:val="0"/>
        <w:adjustRightInd w:val="0"/>
        <w:spacing w:before="0"/>
        <w:rPr>
          <w:color w:val="000000"/>
          <w:lang w:val="hr-HR"/>
        </w:rPr>
      </w:pPr>
      <w:r>
        <w:rPr>
          <w:color w:val="000000"/>
          <w:lang w:val="hr-HR"/>
        </w:rPr>
        <w:t>Podizati standarde korporativnog upravljanja,</w:t>
      </w:r>
    </w:p>
    <w:p w:rsidR="009F3EE7" w:rsidRDefault="009F3EE7" w:rsidP="003B719F">
      <w:pPr>
        <w:numPr>
          <w:ilvl w:val="0"/>
          <w:numId w:val="29"/>
        </w:numPr>
        <w:autoSpaceDE w:val="0"/>
        <w:autoSpaceDN w:val="0"/>
        <w:adjustRightInd w:val="0"/>
        <w:spacing w:before="0"/>
        <w:rPr>
          <w:color w:val="000000"/>
          <w:lang w:val="hr-HR"/>
        </w:rPr>
      </w:pPr>
      <w:r>
        <w:rPr>
          <w:color w:val="000000"/>
          <w:lang w:val="hr-HR"/>
        </w:rPr>
        <w:t>Uvesti višesektorskog regulatora financijskog tržišta (sve nebankarske regulatore na nivou entiteta ujediniti u jedan),</w:t>
      </w:r>
    </w:p>
    <w:p w:rsidR="009F3EE7" w:rsidRDefault="009F3EE7" w:rsidP="003B719F">
      <w:pPr>
        <w:numPr>
          <w:ilvl w:val="0"/>
          <w:numId w:val="29"/>
        </w:numPr>
        <w:autoSpaceDE w:val="0"/>
        <w:autoSpaceDN w:val="0"/>
        <w:adjustRightInd w:val="0"/>
        <w:spacing w:before="0"/>
        <w:rPr>
          <w:color w:val="000000"/>
          <w:lang w:val="hr-HR"/>
        </w:rPr>
      </w:pPr>
      <w:r>
        <w:rPr>
          <w:color w:val="000000"/>
          <w:lang w:val="hr-HR"/>
        </w:rPr>
        <w:t>Razvijati nebankarske depozitne institucije (štedionice, kreditne udruge itd.) i</w:t>
      </w:r>
    </w:p>
    <w:p w:rsidR="009F3EE7" w:rsidRDefault="009F3EE7" w:rsidP="003B719F">
      <w:pPr>
        <w:numPr>
          <w:ilvl w:val="0"/>
          <w:numId w:val="29"/>
        </w:numPr>
        <w:autoSpaceDE w:val="0"/>
        <w:autoSpaceDN w:val="0"/>
        <w:adjustRightInd w:val="0"/>
        <w:spacing w:before="0"/>
        <w:rPr>
          <w:color w:val="000000"/>
          <w:lang w:val="hr-HR"/>
        </w:rPr>
      </w:pPr>
      <w:r>
        <w:rPr>
          <w:color w:val="000000"/>
          <w:lang w:val="hr-HR"/>
        </w:rPr>
        <w:t>Razvijati određene financijske poslove (faktoring itd.).</w:t>
      </w:r>
    </w:p>
    <w:p w:rsidR="009F3EE7" w:rsidRDefault="009F3EE7" w:rsidP="008D22EB">
      <w:pPr>
        <w:autoSpaceDE w:val="0"/>
        <w:autoSpaceDN w:val="0"/>
        <w:adjustRightInd w:val="0"/>
        <w:spacing w:before="0"/>
        <w:ind w:left="360" w:firstLine="360"/>
        <w:rPr>
          <w:color w:val="000000"/>
          <w:lang w:val="hr-HR"/>
        </w:rPr>
      </w:pPr>
    </w:p>
    <w:p w:rsidR="009F3EE7" w:rsidRPr="008D22EB" w:rsidRDefault="009F3EE7" w:rsidP="008D22EB">
      <w:pPr>
        <w:autoSpaceDE w:val="0"/>
        <w:autoSpaceDN w:val="0"/>
        <w:adjustRightInd w:val="0"/>
        <w:spacing w:before="0"/>
        <w:ind w:left="360" w:firstLine="360"/>
        <w:rPr>
          <w:color w:val="000000"/>
          <w:lang w:val="hr-HR"/>
        </w:rPr>
      </w:pPr>
      <w:r w:rsidRPr="008D22EB">
        <w:rPr>
          <w:color w:val="000000"/>
          <w:lang w:val="hr-HR"/>
        </w:rPr>
        <w:t xml:space="preserve">Potrebno je poboljšati konkurentnost poduzeća popravljanjem poslovnog okruženja (smanjenjem regulatornog tereta) i stimuliranjem ulaganja u istraživanja i razvoj. BiH spada među najslabije rangirane europske ekonomije po lakoći poslovanja. </w:t>
      </w:r>
      <w:r w:rsidRPr="008D22EB">
        <w:rPr>
          <w:lang w:val="hr-HR"/>
        </w:rPr>
        <w:t xml:space="preserve">Najveće poteškoće u Bosni i Hercegovini i dalje predstavljaju </w:t>
      </w:r>
      <w:r w:rsidRPr="008D22EB">
        <w:rPr>
          <w:color w:val="000000"/>
          <w:lang w:val="hr-BA" w:eastAsia="hr-BA"/>
        </w:rPr>
        <w:t xml:space="preserve">neefikasnost državne administracije, korupcija, vladina nestabilnost i politička nestabilnost.  </w:t>
      </w:r>
      <w:r w:rsidRPr="008D22EB">
        <w:rPr>
          <w:bCs/>
          <w:color w:val="000000"/>
          <w:lang w:val="hr-HR"/>
        </w:rPr>
        <w:t xml:space="preserve"> </w:t>
      </w:r>
    </w:p>
    <w:p w:rsidR="009F3EE7" w:rsidRDefault="009F3EE7" w:rsidP="003B719F">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9F3EE7" w:rsidRDefault="009F3EE7" w:rsidP="003B719F">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bCs/>
        </w:rPr>
        <w:t xml:space="preserve">ZAKLJUČAK </w:t>
      </w:r>
    </w:p>
    <w:p w:rsidR="009F3EE7" w:rsidRDefault="009F3EE7" w:rsidP="003B719F">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9F3EE7" w:rsidRPr="008D22EB" w:rsidRDefault="009F3EE7" w:rsidP="003B719F">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ab/>
      </w:r>
      <w:r>
        <w:t xml:space="preserve">Današnji poslovni svijet, karakteriziraju sve veće i brže promjene, konkurentnost, globalizacija i globalne strateške krize, te se poduzeća svakodnevno se susreće s izazovima na koje je otežano dati pravi odgovor. U ovako složenim uvjetima poslovanja poduzeća moraju neprestano usklađivati i prilagođavati svoje strategije tražeći nova rješenja, u cilju održanja i povećanja svoje konkurentnosti, koja predstavlja osnov za uspješno poslovanje svakog poduzeća. </w:t>
      </w:r>
      <w:r>
        <w:tab/>
      </w:r>
      <w:r>
        <w:tab/>
      </w:r>
      <w:r>
        <w:tab/>
      </w:r>
      <w:r>
        <w:tab/>
      </w:r>
      <w:r>
        <w:tab/>
        <w:t>Nova rješenja treba tražiti prvenstveno u  razvoju novih znanja, vještina, tehnologija i inovacija, kao i u stvaranju i razvoju klastera. Koncept klastera može biti važan pokretač konkurentnosti i inovativnosti, a samim time i gospodarskog razvoja poduzeća i ekonomije jedne države.  Povezana poduzeća u klasterima i njihova povezanost s obrazovnim i znanstvenim ustanovama, vladom i institucijama omogućavaju stvaranje sinergijskog učinka i povećanje konkurentnosti.</w:t>
      </w:r>
      <w:r>
        <w:tab/>
      </w:r>
      <w:r>
        <w:tab/>
        <w:t xml:space="preserve">Zbog svega navedenog, stvaranje i razvoj klastera treba da ima jednu od najvažnijih uloga u gospodarskom razvoju i povećanju konkurentnosti BiH, na njenom bržem putu prema Europskoj uniji. Za stvaranje i razvoj klastera, najvažnija je spremnost na kooperaciju i međusobno povjerenje između poslovnih partnera. </w:t>
      </w:r>
    </w:p>
    <w:p w:rsidR="009F3EE7" w:rsidRDefault="009F3EE7" w:rsidP="003B719F">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9F3EE7" w:rsidRDefault="009F3EE7" w:rsidP="003B719F">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LITERATURA </w:t>
      </w:r>
    </w:p>
    <w:p w:rsidR="009F3EE7" w:rsidRDefault="009F3EE7" w:rsidP="003B719F">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F3EE7" w:rsidRDefault="009F3EE7" w:rsidP="003B719F">
      <w:pPr>
        <w:pStyle w:val="Default"/>
        <w:numPr>
          <w:ilvl w:val="0"/>
          <w:numId w:val="30"/>
        </w:numPr>
        <w:jc w:val="both"/>
      </w:pPr>
      <w:r>
        <w:t xml:space="preserve">Hauc, A. (2007). </w:t>
      </w:r>
      <w:r>
        <w:rPr>
          <w:i/>
          <w:iCs/>
        </w:rPr>
        <w:t xml:space="preserve">Projektni menadžment i projektno poslovanje. </w:t>
      </w:r>
      <w:r>
        <w:t xml:space="preserve">Zagreb: M.E.P. Consult. </w:t>
      </w:r>
    </w:p>
    <w:p w:rsidR="009F3EE7" w:rsidRDefault="009F3EE7" w:rsidP="003B719F">
      <w:pPr>
        <w:pStyle w:val="Default"/>
        <w:numPr>
          <w:ilvl w:val="0"/>
          <w:numId w:val="30"/>
        </w:numPr>
        <w:jc w:val="both"/>
      </w:pPr>
      <w:r>
        <w:t xml:space="preserve">Horvat, Đ. i Kovaĉević, V. (2004). </w:t>
      </w:r>
      <w:r>
        <w:rPr>
          <w:i/>
          <w:iCs/>
        </w:rPr>
        <w:t xml:space="preserve">Clusteri - put do konkurentnosti. </w:t>
      </w:r>
      <w:r>
        <w:t xml:space="preserve">Zagreb: Cera Prom i M.E.P. consult. </w:t>
      </w:r>
    </w:p>
    <w:p w:rsidR="009F3EE7" w:rsidRDefault="009F3EE7" w:rsidP="003B719F">
      <w:pPr>
        <w:pStyle w:val="Default"/>
        <w:numPr>
          <w:ilvl w:val="0"/>
          <w:numId w:val="30"/>
        </w:numPr>
        <w:jc w:val="both"/>
      </w:pPr>
      <w:r>
        <w:t xml:space="preserve">Kolaković, M. (2006). </w:t>
      </w:r>
      <w:r>
        <w:rPr>
          <w:i/>
          <w:iCs/>
        </w:rPr>
        <w:t xml:space="preserve">Poduzetništvo u ekonomiji znana. </w:t>
      </w:r>
      <w:r>
        <w:t xml:space="preserve">Zagreb: Sinergija. </w:t>
      </w:r>
    </w:p>
    <w:p w:rsidR="009F3EE7" w:rsidRDefault="009F3EE7" w:rsidP="003B719F">
      <w:pPr>
        <w:pStyle w:val="Default"/>
        <w:numPr>
          <w:ilvl w:val="0"/>
          <w:numId w:val="30"/>
        </w:numPr>
        <w:jc w:val="both"/>
      </w:pPr>
      <w:r>
        <w:t xml:space="preserve">Porter, M.E. (2009). </w:t>
      </w:r>
      <w:r>
        <w:rPr>
          <w:i/>
          <w:iCs/>
        </w:rPr>
        <w:t xml:space="preserve">Konkurentska prednost. </w:t>
      </w:r>
      <w:r>
        <w:t xml:space="preserve">Zagreb: Masmedia. </w:t>
      </w:r>
    </w:p>
    <w:p w:rsidR="009F3EE7" w:rsidRDefault="009F3EE7" w:rsidP="003B719F">
      <w:pPr>
        <w:pStyle w:val="Default"/>
        <w:numPr>
          <w:ilvl w:val="0"/>
          <w:numId w:val="30"/>
        </w:numPr>
        <w:jc w:val="both"/>
      </w:pPr>
      <w:r>
        <w:t xml:space="preserve">Ristić, D. i saradnici (2005). </w:t>
      </w:r>
      <w:r>
        <w:rPr>
          <w:i/>
          <w:iCs/>
        </w:rPr>
        <w:t xml:space="preserve">Upravljanje promenama (treće izdanje). </w:t>
      </w:r>
      <w:r>
        <w:t xml:space="preserve">Novi Sad: Cekom Books i Fakultet za menadžment. </w:t>
      </w:r>
    </w:p>
    <w:p w:rsidR="009F3EE7" w:rsidRDefault="009F3EE7" w:rsidP="003B719F">
      <w:pPr>
        <w:pStyle w:val="Default"/>
        <w:numPr>
          <w:ilvl w:val="0"/>
          <w:numId w:val="30"/>
        </w:numPr>
        <w:jc w:val="both"/>
      </w:pPr>
      <w:r>
        <w:t xml:space="preserve">Scheer, G. i von Zallinger, L. (2006). </w:t>
      </w:r>
      <w:r>
        <w:rPr>
          <w:i/>
          <w:iCs/>
        </w:rPr>
        <w:t xml:space="preserve">Cluster Management - priručnik za praksu, dio A: Pregled. </w:t>
      </w:r>
      <w:r>
        <w:t xml:space="preserve">Zagreb: Deutsche Gesellscaft fur Tehnische Zusammenarbeit (GTZ) GmbH, Koordinacijski ured Zagreb. </w:t>
      </w:r>
    </w:p>
    <w:p w:rsidR="009F3EE7" w:rsidRDefault="009F3EE7" w:rsidP="003B719F">
      <w:pPr>
        <w:numPr>
          <w:ilvl w:val="0"/>
          <w:numId w:val="30"/>
        </w:numPr>
        <w:autoSpaceDE w:val="0"/>
        <w:autoSpaceDN w:val="0"/>
        <w:adjustRightInd w:val="0"/>
        <w:spacing w:before="0"/>
        <w:rPr>
          <w:color w:val="000000"/>
          <w:lang w:val="hr-HR"/>
        </w:rPr>
      </w:pPr>
      <w:r>
        <w:rPr>
          <w:color w:val="000000"/>
          <w:lang w:val="hr-HR"/>
        </w:rPr>
        <w:t>Economic Commission for Europe (2004), Economic Survey of Europe 2004 No. 2. United Nations: New.</w:t>
      </w:r>
    </w:p>
    <w:p w:rsidR="009F3EE7" w:rsidRDefault="009F3EE7" w:rsidP="003B719F">
      <w:pPr>
        <w:numPr>
          <w:ilvl w:val="0"/>
          <w:numId w:val="30"/>
        </w:numPr>
        <w:autoSpaceDE w:val="0"/>
        <w:autoSpaceDN w:val="0"/>
        <w:adjustRightInd w:val="0"/>
        <w:spacing w:before="0"/>
        <w:rPr>
          <w:color w:val="000000"/>
          <w:lang w:val="hr-HR"/>
        </w:rPr>
      </w:pPr>
      <w:r>
        <w:rPr>
          <w:color w:val="000000"/>
          <w:lang w:val="hr-HR"/>
        </w:rPr>
        <w:t>York and Geneva, p. 57</w:t>
      </w:r>
    </w:p>
    <w:p w:rsidR="009F3EE7" w:rsidRDefault="009F3EE7" w:rsidP="003B719F">
      <w:pPr>
        <w:pStyle w:val="Default"/>
        <w:numPr>
          <w:ilvl w:val="0"/>
          <w:numId w:val="30"/>
        </w:numPr>
        <w:rPr>
          <w:lang w:val="hr-BA"/>
        </w:rPr>
      </w:pPr>
      <w:r>
        <w:t xml:space="preserve">Hoolbrok, J.A. (2005). Quantifying Innovation. </w:t>
      </w:r>
      <w:r>
        <w:rPr>
          <w:i/>
          <w:iCs/>
        </w:rPr>
        <w:t xml:space="preserve">UNESCO South Asian Regional Workshop on S&amp;T Statistics, </w:t>
      </w:r>
      <w:r>
        <w:t xml:space="preserve">New Delhi, 19-24.11.2005. </w:t>
      </w:r>
    </w:p>
    <w:p w:rsidR="009F3EE7" w:rsidRDefault="009F3EE7" w:rsidP="003B719F">
      <w:pPr>
        <w:pStyle w:val="Default"/>
        <w:numPr>
          <w:ilvl w:val="0"/>
          <w:numId w:val="30"/>
        </w:numPr>
        <w:jc w:val="both"/>
        <w:rPr>
          <w:lang w:val="hr-BA"/>
        </w:rPr>
      </w:pPr>
      <w:r>
        <w:t xml:space="preserve">The Global Competitiveness Report 2012-2013, World Economic Forum. </w:t>
      </w:r>
    </w:p>
    <w:p w:rsidR="009F3EE7" w:rsidRDefault="009F3EE7" w:rsidP="003B719F">
      <w:pPr>
        <w:pStyle w:val="Default"/>
        <w:numPr>
          <w:ilvl w:val="0"/>
          <w:numId w:val="30"/>
        </w:numPr>
        <w:jc w:val="both"/>
      </w:pPr>
      <w:r>
        <w:t>Konkurentnost 2016. – 2017.,</w:t>
      </w:r>
      <w:bookmarkStart w:id="1" w:name="_GoBack"/>
      <w:bookmarkEnd w:id="1"/>
      <w:r>
        <w:t xml:space="preserve">  Federalni zavod za programiranje razvoja , Sarajevo.</w:t>
      </w:r>
    </w:p>
    <w:p w:rsidR="009F3EE7" w:rsidRDefault="009F3EE7" w:rsidP="003B719F">
      <w:pPr>
        <w:pStyle w:val="FootnoteText"/>
        <w:numPr>
          <w:ilvl w:val="0"/>
          <w:numId w:val="30"/>
        </w:numPr>
        <w:rPr>
          <w:sz w:val="24"/>
          <w:szCs w:val="24"/>
          <w:lang w:val="hr-BA"/>
        </w:rPr>
      </w:pPr>
      <w:r>
        <w:rPr>
          <w:sz w:val="24"/>
          <w:szCs w:val="24"/>
          <w:lang w:val="hr-BA"/>
        </w:rPr>
        <w:t xml:space="preserve">Domljan, V. i drugi (2009). </w:t>
      </w:r>
      <w:r>
        <w:rPr>
          <w:i/>
          <w:sz w:val="24"/>
          <w:szCs w:val="24"/>
          <w:lang w:val="hr-BA"/>
        </w:rPr>
        <w:t>Komparativna analiza konkurentne pozicije BiH ekonomije sa implikacijama za oblikovanje politika</w:t>
      </w:r>
      <w:r>
        <w:rPr>
          <w:sz w:val="24"/>
          <w:szCs w:val="24"/>
          <w:lang w:val="hr-BA"/>
        </w:rPr>
        <w:t xml:space="preserve">, Ekonomski institut, Sarajevo </w:t>
      </w:r>
    </w:p>
    <w:p w:rsidR="009F3EE7" w:rsidRDefault="009F3EE7" w:rsidP="003B719F">
      <w:pPr>
        <w:pStyle w:val="FootnoteText"/>
        <w:numPr>
          <w:ilvl w:val="0"/>
          <w:numId w:val="30"/>
        </w:numPr>
        <w:rPr>
          <w:sz w:val="24"/>
          <w:szCs w:val="24"/>
          <w:lang w:val="hr-BA"/>
        </w:rPr>
      </w:pPr>
      <w:r>
        <w:rPr>
          <w:color w:val="000000"/>
          <w:sz w:val="24"/>
          <w:szCs w:val="24"/>
          <w:lang w:val="hr-HR"/>
        </w:rPr>
        <w:t>OECD (2005). Business Clusters – Promoting Enterprise in Central and Eastern Europe. Paris: OECD.</w:t>
      </w:r>
    </w:p>
    <w:p w:rsidR="009F3EE7" w:rsidRDefault="009F3EE7" w:rsidP="003B7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i/>
          <w:iCs/>
          <w:color w:val="000000"/>
          <w:lang w:val="hr-HR"/>
        </w:rPr>
      </w:pPr>
      <w:r>
        <w:rPr>
          <w:b/>
          <w:bCs/>
          <w:i/>
          <w:iCs/>
          <w:color w:val="000000"/>
          <w:lang w:val="hr-HR"/>
        </w:rPr>
        <w:t>Web-stranice</w:t>
      </w:r>
    </w:p>
    <w:p w:rsidR="009F3EE7" w:rsidRPr="008D22EB" w:rsidRDefault="009F3EE7" w:rsidP="008D22EB">
      <w:pPr>
        <w:pStyle w:val="Title"/>
        <w:ind w:firstLine="720"/>
        <w:rPr>
          <w:rStyle w:val="Strong"/>
          <w:rFonts w:ascii="Times New Roman" w:hAnsi="Times New Roman"/>
          <w:b w:val="0"/>
          <w:sz w:val="24"/>
          <w:szCs w:val="24"/>
        </w:rPr>
      </w:pPr>
      <w:r w:rsidRPr="008D22EB">
        <w:rPr>
          <w:rStyle w:val="Strong"/>
          <w:rFonts w:ascii="Times New Roman" w:hAnsi="Times New Roman"/>
          <w:b w:val="0"/>
          <w:sz w:val="24"/>
          <w:szCs w:val="24"/>
        </w:rPr>
        <w:t>www.eurostat.org</w:t>
      </w:r>
    </w:p>
    <w:p w:rsidR="009F3EE7" w:rsidRPr="008D22EB" w:rsidRDefault="009F3EE7" w:rsidP="008D22EB">
      <w:pPr>
        <w:pStyle w:val="Title"/>
        <w:ind w:firstLine="720"/>
        <w:rPr>
          <w:rStyle w:val="Strong"/>
          <w:rFonts w:ascii="Times New Roman" w:hAnsi="Times New Roman"/>
          <w:b w:val="0"/>
          <w:sz w:val="24"/>
          <w:szCs w:val="24"/>
        </w:rPr>
      </w:pPr>
      <w:r w:rsidRPr="008D22EB">
        <w:rPr>
          <w:rStyle w:val="Strong"/>
          <w:rFonts w:ascii="Times New Roman" w:hAnsi="Times New Roman"/>
          <w:b w:val="0"/>
          <w:sz w:val="24"/>
          <w:szCs w:val="24"/>
        </w:rPr>
        <w:t>www.mvteo.gov.ba</w:t>
      </w:r>
    </w:p>
    <w:p w:rsidR="009F3EE7" w:rsidRPr="008D22EB" w:rsidRDefault="009F3EE7" w:rsidP="008D22EB">
      <w:pPr>
        <w:pStyle w:val="Title"/>
        <w:ind w:firstLine="720"/>
        <w:rPr>
          <w:rStyle w:val="Strong"/>
          <w:rFonts w:ascii="Times New Roman" w:hAnsi="Times New Roman"/>
          <w:b w:val="0"/>
          <w:sz w:val="24"/>
          <w:szCs w:val="24"/>
        </w:rPr>
      </w:pPr>
      <w:r w:rsidRPr="008D22EB">
        <w:rPr>
          <w:rStyle w:val="Strong"/>
          <w:rFonts w:ascii="Times New Roman" w:hAnsi="Times New Roman"/>
          <w:b w:val="0"/>
          <w:sz w:val="24"/>
          <w:szCs w:val="24"/>
        </w:rPr>
        <w:t>www.mvp.gov.ba</w:t>
      </w:r>
    </w:p>
    <w:p w:rsidR="009F3EE7" w:rsidRPr="008D22EB" w:rsidRDefault="009F3EE7" w:rsidP="008D22EB">
      <w:pPr>
        <w:pStyle w:val="Title"/>
        <w:ind w:firstLine="720"/>
        <w:rPr>
          <w:rStyle w:val="Strong"/>
          <w:rFonts w:ascii="Times New Roman" w:hAnsi="Times New Roman"/>
          <w:b w:val="0"/>
          <w:sz w:val="24"/>
          <w:szCs w:val="24"/>
        </w:rPr>
      </w:pPr>
      <w:r w:rsidRPr="008D22EB">
        <w:rPr>
          <w:rStyle w:val="Strong"/>
          <w:rFonts w:ascii="Times New Roman" w:hAnsi="Times New Roman"/>
          <w:b w:val="0"/>
          <w:sz w:val="24"/>
          <w:szCs w:val="24"/>
        </w:rPr>
        <w:t>www.dep.gov.ba</w:t>
      </w:r>
    </w:p>
    <w:p w:rsidR="009F3EE7" w:rsidRPr="008D22EB" w:rsidRDefault="009F3EE7" w:rsidP="008D22EB">
      <w:pPr>
        <w:pStyle w:val="Title"/>
        <w:ind w:firstLine="720"/>
        <w:rPr>
          <w:rStyle w:val="Strong"/>
          <w:rFonts w:ascii="Times New Roman" w:hAnsi="Times New Roman"/>
          <w:b w:val="0"/>
          <w:sz w:val="24"/>
          <w:szCs w:val="24"/>
        </w:rPr>
      </w:pPr>
      <w:r w:rsidRPr="008D22EB">
        <w:rPr>
          <w:rStyle w:val="Strong"/>
          <w:rFonts w:ascii="Times New Roman" w:hAnsi="Times New Roman"/>
          <w:b w:val="0"/>
          <w:sz w:val="24"/>
          <w:szCs w:val="24"/>
        </w:rPr>
        <w:t>www.cbbh.ba</w:t>
      </w:r>
    </w:p>
    <w:p w:rsidR="009F3EE7" w:rsidRPr="008D22EB" w:rsidRDefault="009F3EE7" w:rsidP="008D22EB">
      <w:pPr>
        <w:pStyle w:val="Title"/>
        <w:ind w:firstLine="720"/>
        <w:rPr>
          <w:rStyle w:val="Strong"/>
          <w:rFonts w:ascii="Times New Roman" w:hAnsi="Times New Roman"/>
          <w:b w:val="0"/>
          <w:sz w:val="24"/>
          <w:szCs w:val="24"/>
        </w:rPr>
      </w:pPr>
      <w:r w:rsidRPr="008D22EB">
        <w:rPr>
          <w:rStyle w:val="Strong"/>
          <w:rFonts w:ascii="Times New Roman" w:hAnsi="Times New Roman"/>
          <w:b w:val="0"/>
          <w:sz w:val="24"/>
          <w:szCs w:val="24"/>
        </w:rPr>
        <w:t>www.worldbank.org</w:t>
      </w:r>
    </w:p>
    <w:p w:rsidR="009F3EE7" w:rsidRPr="008D22EB" w:rsidRDefault="009F3EE7" w:rsidP="008D22EB">
      <w:pPr>
        <w:pStyle w:val="Title"/>
        <w:ind w:firstLine="720"/>
        <w:rPr>
          <w:rStyle w:val="Strong"/>
          <w:rFonts w:ascii="Times New Roman" w:hAnsi="Times New Roman"/>
          <w:b w:val="0"/>
          <w:sz w:val="24"/>
          <w:szCs w:val="24"/>
        </w:rPr>
      </w:pPr>
      <w:r w:rsidRPr="008D22EB">
        <w:rPr>
          <w:rStyle w:val="Strong"/>
          <w:rFonts w:ascii="Times New Roman" w:hAnsi="Times New Roman"/>
          <w:b w:val="0"/>
          <w:sz w:val="24"/>
          <w:szCs w:val="24"/>
        </w:rPr>
        <w:t>www.bhas.ba</w:t>
      </w:r>
    </w:p>
    <w:p w:rsidR="009F3EE7" w:rsidRPr="008D22EB" w:rsidRDefault="009F3EE7" w:rsidP="008D22EB">
      <w:pPr>
        <w:pStyle w:val="Title"/>
        <w:ind w:firstLine="720"/>
        <w:rPr>
          <w:rStyle w:val="Strong"/>
          <w:rFonts w:ascii="Times New Roman" w:hAnsi="Times New Roman"/>
          <w:b w:val="0"/>
          <w:sz w:val="24"/>
          <w:szCs w:val="24"/>
        </w:rPr>
      </w:pPr>
      <w:r w:rsidRPr="008D22EB">
        <w:rPr>
          <w:rStyle w:val="Strong"/>
          <w:rFonts w:ascii="Times New Roman" w:hAnsi="Times New Roman"/>
          <w:b w:val="0"/>
          <w:sz w:val="24"/>
          <w:szCs w:val="24"/>
        </w:rPr>
        <w:t>www.fzs.ba</w:t>
      </w:r>
    </w:p>
    <w:p w:rsidR="009F3EE7" w:rsidRPr="008D22EB" w:rsidRDefault="009F3EE7" w:rsidP="008D22EB">
      <w:pPr>
        <w:pStyle w:val="Title"/>
        <w:ind w:firstLine="720"/>
        <w:rPr>
          <w:rStyle w:val="Strong"/>
          <w:rFonts w:ascii="Times New Roman" w:hAnsi="Times New Roman"/>
          <w:b w:val="0"/>
          <w:sz w:val="24"/>
          <w:szCs w:val="24"/>
        </w:rPr>
      </w:pPr>
      <w:r w:rsidRPr="008D22EB">
        <w:rPr>
          <w:rStyle w:val="Strong"/>
          <w:rFonts w:ascii="Times New Roman" w:hAnsi="Times New Roman"/>
          <w:b w:val="0"/>
          <w:sz w:val="24"/>
          <w:szCs w:val="24"/>
        </w:rPr>
        <w:t>www.igabih.com</w:t>
      </w:r>
    </w:p>
    <w:p w:rsidR="009F3EE7" w:rsidRPr="00DB5700" w:rsidRDefault="009F3EE7" w:rsidP="00D67F83">
      <w:pPr>
        <w:pStyle w:val="Title"/>
        <w:ind w:firstLine="720"/>
        <w:rPr>
          <w:b/>
        </w:rPr>
      </w:pPr>
      <w:r w:rsidRPr="008D22EB">
        <w:rPr>
          <w:rStyle w:val="Strong"/>
          <w:rFonts w:ascii="Times New Roman" w:hAnsi="Times New Roman"/>
          <w:b w:val="0"/>
          <w:sz w:val="24"/>
          <w:szCs w:val="24"/>
        </w:rPr>
        <w:t>www.unctad.org</w:t>
      </w:r>
    </w:p>
    <w:sectPr w:rsidR="009F3EE7" w:rsidRPr="00DB5700" w:rsidSect="008B2625">
      <w:headerReference w:type="even" r:id="rId10"/>
      <w:headerReference w:type="default" r:id="rId11"/>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EE7" w:rsidRDefault="009F3EE7" w:rsidP="00D3231E">
      <w:pPr>
        <w:spacing w:before="0"/>
      </w:pPr>
      <w:r>
        <w:separator/>
      </w:r>
    </w:p>
  </w:endnote>
  <w:endnote w:type="continuationSeparator" w:id="0">
    <w:p w:rsidR="009F3EE7" w:rsidRDefault="009F3EE7"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EE7" w:rsidRDefault="009F3EE7" w:rsidP="00D3231E">
      <w:pPr>
        <w:spacing w:before="0"/>
      </w:pPr>
      <w:r>
        <w:separator/>
      </w:r>
    </w:p>
  </w:footnote>
  <w:footnote w:type="continuationSeparator" w:id="0">
    <w:p w:rsidR="009F3EE7" w:rsidRDefault="009F3EE7" w:rsidP="00D3231E">
      <w:pPr>
        <w:spacing w:before="0"/>
      </w:pPr>
      <w:r>
        <w:continuationSeparator/>
      </w:r>
    </w:p>
  </w:footnote>
  <w:footnote w:id="1">
    <w:p w:rsidR="009F3EE7" w:rsidRDefault="009F3EE7" w:rsidP="003F6B6D">
      <w:pPr>
        <w:jc w:val="left"/>
        <w:rPr>
          <w:i/>
          <w:sz w:val="22"/>
          <w:szCs w:val="22"/>
        </w:rPr>
      </w:pPr>
      <w:r w:rsidRPr="003D0620">
        <w:rPr>
          <w:i/>
          <w:sz w:val="22"/>
          <w:szCs w:val="22"/>
        </w:rPr>
        <w:t>Primljeno: 2</w:t>
      </w:r>
      <w:r>
        <w:rPr>
          <w:i/>
          <w:sz w:val="22"/>
          <w:szCs w:val="22"/>
        </w:rPr>
        <w:t>1</w:t>
      </w:r>
      <w:r w:rsidRPr="003D0620">
        <w:rPr>
          <w:i/>
          <w:sz w:val="22"/>
          <w:szCs w:val="22"/>
        </w:rPr>
        <w:t>.</w:t>
      </w:r>
      <w:r>
        <w:rPr>
          <w:i/>
          <w:sz w:val="22"/>
          <w:szCs w:val="22"/>
        </w:rPr>
        <w:t>02.2018; Prihvaćeno:07</w:t>
      </w:r>
      <w:r w:rsidRPr="003D0620">
        <w:rPr>
          <w:i/>
          <w:sz w:val="22"/>
          <w:szCs w:val="22"/>
        </w:rPr>
        <w:t>.0</w:t>
      </w:r>
      <w:r>
        <w:rPr>
          <w:i/>
          <w:sz w:val="22"/>
          <w:szCs w:val="22"/>
        </w:rPr>
        <w:t>4</w:t>
      </w:r>
      <w:r w:rsidRPr="003D0620">
        <w:rPr>
          <w:i/>
          <w:sz w:val="22"/>
          <w:szCs w:val="22"/>
        </w:rPr>
        <w:t>.201</w:t>
      </w:r>
      <w:r>
        <w:rPr>
          <w:i/>
          <w:sz w:val="22"/>
          <w:szCs w:val="22"/>
        </w:rPr>
        <w:t>8</w:t>
      </w:r>
      <w:r w:rsidRPr="003D0620">
        <w:rPr>
          <w:i/>
          <w:sz w:val="22"/>
          <w:szCs w:val="22"/>
        </w:rPr>
        <w:t xml:space="preserve">                                                                                </w:t>
      </w:r>
      <w:r>
        <w:rPr>
          <w:i/>
          <w:sz w:val="22"/>
          <w:szCs w:val="22"/>
        </w:rPr>
        <w:t>Submitted</w:t>
      </w:r>
      <w:r w:rsidRPr="003D0620">
        <w:rPr>
          <w:i/>
          <w:sz w:val="22"/>
          <w:szCs w:val="22"/>
        </w:rPr>
        <w:t>: 2</w:t>
      </w:r>
      <w:r>
        <w:rPr>
          <w:i/>
          <w:sz w:val="22"/>
          <w:szCs w:val="22"/>
        </w:rPr>
        <w:t>1</w:t>
      </w:r>
      <w:r w:rsidRPr="003D0620">
        <w:rPr>
          <w:i/>
          <w:sz w:val="22"/>
          <w:szCs w:val="22"/>
        </w:rPr>
        <w:t>-</w:t>
      </w:r>
      <w:r>
        <w:rPr>
          <w:i/>
          <w:sz w:val="22"/>
          <w:szCs w:val="22"/>
        </w:rPr>
        <w:t>02-2018; Accepted: 07</w:t>
      </w:r>
      <w:r w:rsidRPr="003D0620">
        <w:rPr>
          <w:i/>
          <w:sz w:val="22"/>
          <w:szCs w:val="22"/>
        </w:rPr>
        <w:t>-0</w:t>
      </w:r>
      <w:r>
        <w:rPr>
          <w:i/>
          <w:sz w:val="22"/>
          <w:szCs w:val="22"/>
        </w:rPr>
        <w:t>4</w:t>
      </w:r>
      <w:r w:rsidRPr="003D0620">
        <w:rPr>
          <w:i/>
          <w:sz w:val="22"/>
          <w:szCs w:val="22"/>
        </w:rPr>
        <w:t>-201</w:t>
      </w:r>
      <w:r>
        <w:rPr>
          <w:i/>
          <w:sz w:val="22"/>
          <w:szCs w:val="22"/>
        </w:rPr>
        <w:t>8</w:t>
      </w:r>
    </w:p>
    <w:p w:rsidR="009F3EE7" w:rsidRDefault="009F3EE7" w:rsidP="008D2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pPr>
      <w:r w:rsidRPr="001E0676">
        <w:rPr>
          <w:rStyle w:val="FootnoteReference"/>
          <w:b/>
          <w:sz w:val="22"/>
          <w:szCs w:val="22"/>
        </w:rPr>
        <w:t>*</w:t>
      </w:r>
      <w:r w:rsidRPr="001E0676">
        <w:rPr>
          <w:b/>
          <w:sz w:val="22"/>
          <w:szCs w:val="22"/>
        </w:rPr>
        <w:t xml:space="preserve"> Dr. sc. </w:t>
      </w:r>
      <w:r w:rsidRPr="001E0676">
        <w:rPr>
          <w:b/>
          <w:bCs/>
          <w:sz w:val="22"/>
          <w:szCs w:val="22"/>
          <w:lang w:val="bs-Latn-BA"/>
        </w:rPr>
        <w:t xml:space="preserve">Jozo Poljić, </w:t>
      </w:r>
      <w:r w:rsidRPr="00D7337A">
        <w:rPr>
          <w:sz w:val="22"/>
          <w:szCs w:val="22"/>
          <w:lang w:val="hr-BA"/>
        </w:rPr>
        <w:t>Uprava za indirektno oporezivanje Banja Luka, RC Tuzla,</w:t>
      </w:r>
      <w:r w:rsidRPr="001E0676">
        <w:rPr>
          <w:b/>
          <w:sz w:val="22"/>
          <w:szCs w:val="22"/>
          <w:lang w:val="hr-BA"/>
        </w:rPr>
        <w:t xml:space="preserve"> </w:t>
      </w:r>
      <w:r>
        <w:rPr>
          <w:b/>
          <w:sz w:val="22"/>
          <w:szCs w:val="22"/>
          <w:lang w:val="hr-BA"/>
        </w:rPr>
        <w:t xml:space="preserve">                  </w:t>
      </w:r>
      <w:r w:rsidRPr="00CC6C6F">
        <w:rPr>
          <w:sz w:val="22"/>
          <w:szCs w:val="22"/>
          <w:lang w:val="hr-BA"/>
        </w:rPr>
        <w:t>e-mail:</w:t>
      </w:r>
      <w:r>
        <w:rPr>
          <w:b/>
          <w:sz w:val="22"/>
          <w:szCs w:val="22"/>
          <w:lang w:val="hr-BA"/>
        </w:rPr>
        <w:t xml:space="preserve"> </w:t>
      </w:r>
      <w:r w:rsidRPr="00E9768D">
        <w:rPr>
          <w:sz w:val="22"/>
          <w:szCs w:val="22"/>
          <w:lang w:val="hr-BA"/>
        </w:rPr>
        <w:t>jpiljic</w:t>
      </w:r>
      <w:r w:rsidRPr="00E9768D">
        <w:rPr>
          <w:sz w:val="22"/>
          <w:szCs w:val="22"/>
        </w:rPr>
        <w:t>@yahoo.com</w:t>
      </w:r>
    </w:p>
  </w:footnote>
  <w:footnote w:id="2">
    <w:p w:rsidR="009F3EE7" w:rsidRDefault="009F3EE7" w:rsidP="00453DA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FootnoteReference"/>
          <w:sz w:val="20"/>
          <w:szCs w:val="20"/>
        </w:rPr>
        <w:footnoteRef/>
      </w:r>
      <w:r>
        <w:rPr>
          <w:sz w:val="20"/>
          <w:szCs w:val="20"/>
        </w:rPr>
        <w:t xml:space="preserve"> Porter, M.E. (2009). </w:t>
      </w:r>
      <w:r>
        <w:rPr>
          <w:i/>
          <w:iCs/>
          <w:sz w:val="20"/>
          <w:szCs w:val="20"/>
        </w:rPr>
        <w:t xml:space="preserve">Konkurentska prednost. </w:t>
      </w:r>
      <w:r>
        <w:rPr>
          <w:sz w:val="20"/>
          <w:szCs w:val="20"/>
        </w:rPr>
        <w:t xml:space="preserve">Zagreb: Masmedia. </w:t>
      </w:r>
    </w:p>
  </w:footnote>
  <w:footnote w:id="3">
    <w:p w:rsidR="009F3EE7" w:rsidRDefault="009F3EE7" w:rsidP="00453DA5">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FootnoteReference"/>
        </w:rPr>
        <w:footnoteRef/>
      </w:r>
      <w:r>
        <w:t xml:space="preserve"> </w:t>
      </w:r>
      <w:r>
        <w:rPr>
          <w:lang w:val="hr-HR"/>
        </w:rPr>
        <w:t xml:space="preserve">Hauc, A. (2007). </w:t>
      </w:r>
      <w:r>
        <w:rPr>
          <w:i/>
          <w:iCs/>
          <w:lang w:val="hr-HR"/>
        </w:rPr>
        <w:t xml:space="preserve">Projektni menadžment i projektno poslovanje. </w:t>
      </w:r>
      <w:r>
        <w:rPr>
          <w:lang w:val="hr-HR"/>
        </w:rPr>
        <w:t>Zagreb: M.E.P. Consult.</w:t>
      </w:r>
    </w:p>
  </w:footnote>
  <w:footnote w:id="4">
    <w:p w:rsidR="009F3EE7" w:rsidRDefault="009F3EE7" w:rsidP="00453DA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FootnoteReference"/>
          <w:sz w:val="20"/>
          <w:szCs w:val="20"/>
        </w:rPr>
        <w:footnoteRef/>
      </w:r>
      <w:r>
        <w:rPr>
          <w:sz w:val="20"/>
          <w:szCs w:val="20"/>
        </w:rPr>
        <w:t xml:space="preserve"> Ristić, D. i saradnici (2005). </w:t>
      </w:r>
      <w:r>
        <w:rPr>
          <w:i/>
          <w:iCs/>
          <w:sz w:val="20"/>
          <w:szCs w:val="20"/>
        </w:rPr>
        <w:t xml:space="preserve">Upravljanje promenama (treće izdanje). </w:t>
      </w:r>
      <w:r>
        <w:rPr>
          <w:sz w:val="20"/>
          <w:szCs w:val="20"/>
        </w:rPr>
        <w:t xml:space="preserve">Novi Sad: Cekom Books i Fakultet za menadžment. </w:t>
      </w:r>
    </w:p>
  </w:footnote>
  <w:footnote w:id="5">
    <w:p w:rsidR="009F3EE7" w:rsidRDefault="009F3EE7" w:rsidP="00453DA5">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FootnoteReference"/>
        </w:rPr>
        <w:footnoteRef/>
      </w:r>
      <w:r>
        <w:t xml:space="preserve"> </w:t>
      </w:r>
      <w:r>
        <w:rPr>
          <w:lang w:val="hr-HR"/>
        </w:rPr>
        <w:t xml:space="preserve">Hauc, A. (2007). </w:t>
      </w:r>
      <w:r>
        <w:rPr>
          <w:i/>
          <w:iCs/>
          <w:lang w:val="hr-HR"/>
        </w:rPr>
        <w:t xml:space="preserve">Projektni menadžment i projektno poslovanje. </w:t>
      </w:r>
      <w:r>
        <w:rPr>
          <w:lang w:val="hr-HR"/>
        </w:rPr>
        <w:t>Zagreb: M.E.P. Consult.</w:t>
      </w:r>
    </w:p>
  </w:footnote>
  <w:footnote w:id="6">
    <w:p w:rsidR="009F3EE7" w:rsidRDefault="009F3EE7" w:rsidP="00453DA5">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w:t>
      </w:r>
      <w:r w:rsidRPr="00B13D39">
        <w:rPr>
          <w:rFonts w:ascii="Times New Roman" w:hAnsi="Times New Roman"/>
          <w:sz w:val="20"/>
          <w:szCs w:val="20"/>
          <w:lang w:val="hr-HR"/>
        </w:rPr>
        <w:t xml:space="preserve">Kolaković, M. (2006). </w:t>
      </w:r>
      <w:r w:rsidRPr="00B13D39">
        <w:rPr>
          <w:rFonts w:ascii="Times New Roman" w:hAnsi="Times New Roman"/>
          <w:i/>
          <w:iCs/>
          <w:sz w:val="20"/>
          <w:szCs w:val="20"/>
          <w:lang w:val="hr-HR"/>
        </w:rPr>
        <w:t xml:space="preserve">Poduzetništvo u ekonomiji znana. </w:t>
      </w:r>
      <w:r w:rsidRPr="00B13D39">
        <w:rPr>
          <w:rFonts w:ascii="Times New Roman" w:hAnsi="Times New Roman"/>
          <w:sz w:val="20"/>
          <w:szCs w:val="20"/>
          <w:lang w:val="hr-HR"/>
        </w:rPr>
        <w:t>Zagreb: Sinergija.</w:t>
      </w:r>
    </w:p>
  </w:footnote>
  <w:footnote w:id="7">
    <w:p w:rsidR="009F3EE7" w:rsidRDefault="009F3EE7" w:rsidP="00453DA5">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w:t>
      </w:r>
      <w:r w:rsidRPr="00B13D39">
        <w:rPr>
          <w:rFonts w:ascii="Times New Roman" w:hAnsi="Times New Roman"/>
          <w:color w:val="000000"/>
          <w:sz w:val="20"/>
          <w:szCs w:val="20"/>
          <w:lang w:val="hr-HR"/>
        </w:rPr>
        <w:t>Economic Commission for Europe (2004), Economic Survey of Europe 2004 No. 2. United Nations: New</w:t>
      </w:r>
      <w:r>
        <w:rPr>
          <w:rFonts w:ascii="Times New Roman" w:hAnsi="Times New Roman"/>
          <w:color w:val="000000"/>
          <w:sz w:val="20"/>
          <w:szCs w:val="20"/>
          <w:lang w:val="hr-HR"/>
        </w:rPr>
        <w:t xml:space="preserve"> York and Geneva, str</w:t>
      </w:r>
      <w:r w:rsidRPr="00B13D39">
        <w:rPr>
          <w:rFonts w:ascii="Times New Roman" w:hAnsi="Times New Roman"/>
          <w:color w:val="000000"/>
          <w:sz w:val="20"/>
          <w:szCs w:val="20"/>
          <w:lang w:val="hr-HR"/>
        </w:rPr>
        <w:t>. 57.</w:t>
      </w:r>
    </w:p>
  </w:footnote>
  <w:footnote w:id="8">
    <w:p w:rsidR="009F3EE7" w:rsidRDefault="009F3EE7" w:rsidP="00453DA5">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w:t>
      </w:r>
      <w:r w:rsidRPr="00B13D39">
        <w:rPr>
          <w:rFonts w:ascii="Times New Roman" w:hAnsi="Times New Roman"/>
          <w:sz w:val="20"/>
          <w:szCs w:val="20"/>
          <w:lang w:val="hr-HR"/>
        </w:rPr>
        <w:t>Konkurentnost je „stupanj u kojem zemlja, u uvjetima otvorenih tržišta, proizvodi robu i usluge koje zadovoljavaju test inozemne konkurencije, uz istodobno održavanje i uvećavanje tuzemno</w:t>
      </w:r>
      <w:r>
        <w:rPr>
          <w:rFonts w:ascii="Times New Roman" w:hAnsi="Times New Roman"/>
          <w:sz w:val="20"/>
          <w:szCs w:val="20"/>
          <w:lang w:val="hr-HR"/>
        </w:rPr>
        <w:t>g realnog dohotka“ (OECD 1992, str</w:t>
      </w:r>
      <w:r w:rsidRPr="00B13D39">
        <w:rPr>
          <w:rFonts w:ascii="Times New Roman" w:hAnsi="Times New Roman"/>
          <w:sz w:val="20"/>
          <w:szCs w:val="20"/>
          <w:lang w:val="hr-HR"/>
        </w:rPr>
        <w:t>. 237).</w:t>
      </w:r>
    </w:p>
  </w:footnote>
  <w:footnote w:id="9">
    <w:p w:rsidR="009F3EE7" w:rsidRDefault="009F3EE7" w:rsidP="00B13D39">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w:t>
      </w:r>
      <w:r w:rsidRPr="00B13D39">
        <w:rPr>
          <w:rFonts w:ascii="Times New Roman" w:hAnsi="Times New Roman"/>
          <w:sz w:val="20"/>
          <w:szCs w:val="20"/>
          <w:lang w:val="hr-HR"/>
        </w:rPr>
        <w:t>Porter, M. E. (2008). Moving to a New Global Competitiveness Index. In M. E. Porter and K. Schwab (eds.), The Global Competitveness Report 2008-9. Geneva: World Economic Forum.</w:t>
      </w:r>
    </w:p>
  </w:footnote>
  <w:footnote w:id="10">
    <w:p w:rsidR="009F3EE7" w:rsidRDefault="009F3EE7" w:rsidP="00B13D39">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w:t>
      </w:r>
      <w:r w:rsidRPr="00B13D39">
        <w:rPr>
          <w:rFonts w:ascii="Times New Roman" w:hAnsi="Times New Roman"/>
          <w:sz w:val="20"/>
          <w:szCs w:val="20"/>
          <w:lang w:val="hr-HR"/>
        </w:rPr>
        <w:t>Na sjednici Europskog vijeća posvećenoj razmatranju scenarija europske budućnosti usvojeni su zaključci o kriterijima koje zemlje članice moraju ispuniti. To su:</w:t>
      </w:r>
      <w:r>
        <w:rPr>
          <w:rFonts w:ascii="Times New Roman" w:hAnsi="Times New Roman"/>
          <w:sz w:val="20"/>
          <w:szCs w:val="20"/>
          <w:lang w:val="hr-HR"/>
        </w:rPr>
        <w:t xml:space="preserve"> </w:t>
      </w:r>
      <w:r w:rsidRPr="00B13D39">
        <w:rPr>
          <w:rFonts w:ascii="Times New Roman" w:hAnsi="Times New Roman"/>
          <w:sz w:val="20"/>
          <w:szCs w:val="20"/>
          <w:lang w:val="hr-HR"/>
        </w:rPr>
        <w:t>1) politički kriteriji: stabilnost institucija koje osiguravaju demokraciju, vladavinu prava, poštivanje ljudskih prava i manjinskih prava te prihvaćanje političkih ciljeva Unije</w:t>
      </w:r>
      <w:r>
        <w:rPr>
          <w:rFonts w:ascii="Times New Roman" w:hAnsi="Times New Roman"/>
          <w:sz w:val="20"/>
          <w:szCs w:val="20"/>
          <w:lang w:val="hr-HR"/>
        </w:rPr>
        <w:t xml:space="preserve">; </w:t>
      </w:r>
      <w:r w:rsidRPr="00B13D39">
        <w:rPr>
          <w:rFonts w:ascii="Times New Roman" w:hAnsi="Times New Roman"/>
          <w:sz w:val="20"/>
          <w:szCs w:val="20"/>
          <w:lang w:val="hr-HR"/>
        </w:rPr>
        <w:t>2) gospodarski kriteriji:</w:t>
      </w:r>
      <w:r>
        <w:rPr>
          <w:rFonts w:ascii="Times New Roman" w:hAnsi="Times New Roman"/>
          <w:sz w:val="20"/>
          <w:szCs w:val="20"/>
          <w:lang w:val="hr-HR"/>
        </w:rPr>
        <w:t xml:space="preserve"> </w:t>
      </w:r>
      <w:r w:rsidRPr="00B13D39">
        <w:rPr>
          <w:rFonts w:ascii="Times New Roman" w:hAnsi="Times New Roman"/>
          <w:sz w:val="20"/>
          <w:szCs w:val="20"/>
          <w:lang w:val="hr-HR"/>
        </w:rPr>
        <w:t>a) postojanje djelotvornoga tržišnog gospodarstva</w:t>
      </w:r>
      <w:r>
        <w:rPr>
          <w:rFonts w:ascii="Times New Roman" w:hAnsi="Times New Roman"/>
          <w:sz w:val="20"/>
          <w:szCs w:val="20"/>
          <w:lang w:val="hr-HR"/>
        </w:rPr>
        <w:t xml:space="preserve">, </w:t>
      </w:r>
      <w:r w:rsidRPr="00B13D39">
        <w:rPr>
          <w:rFonts w:ascii="Times New Roman" w:hAnsi="Times New Roman"/>
          <w:sz w:val="20"/>
          <w:szCs w:val="20"/>
          <w:lang w:val="hr-HR"/>
        </w:rPr>
        <w:t>b) sposobnost tržišnih čimbenika da se nose s konkurentskim pritiscima i tržišnim zakonitostima unutar Unije</w:t>
      </w:r>
      <w:r>
        <w:rPr>
          <w:rFonts w:ascii="Times New Roman" w:hAnsi="Times New Roman"/>
          <w:sz w:val="20"/>
          <w:szCs w:val="20"/>
          <w:lang w:val="hr-HR"/>
        </w:rPr>
        <w:t xml:space="preserve">; </w:t>
      </w:r>
      <w:r w:rsidRPr="00B13D39">
        <w:rPr>
          <w:rFonts w:ascii="Times New Roman" w:hAnsi="Times New Roman"/>
          <w:sz w:val="20"/>
          <w:szCs w:val="20"/>
          <w:lang w:val="hr-HR"/>
        </w:rPr>
        <w:t>3) pravni kriteriji: sposobnost i obveza usvajanja cjelokupne pravne stečevine EU-a te prihvaćanje ciljeva političke, gospodarske i monetarne unije</w:t>
      </w:r>
      <w:r>
        <w:rPr>
          <w:rFonts w:ascii="Times New Roman" w:hAnsi="Times New Roman"/>
          <w:sz w:val="20"/>
          <w:szCs w:val="20"/>
          <w:lang w:val="hr-HR"/>
        </w:rPr>
        <w:t xml:space="preserve">; </w:t>
      </w:r>
      <w:r w:rsidRPr="00B13D39">
        <w:rPr>
          <w:rFonts w:ascii="Times New Roman" w:hAnsi="Times New Roman"/>
          <w:sz w:val="20"/>
          <w:szCs w:val="20"/>
          <w:lang w:val="hr-HR"/>
        </w:rPr>
        <w:t xml:space="preserve">4) madridski kriterij za prilagodbu administrativne strukture. </w:t>
      </w:r>
    </w:p>
  </w:footnote>
  <w:footnote w:id="11">
    <w:p w:rsidR="009F3EE7" w:rsidRPr="00B13D39" w:rsidRDefault="009F3EE7" w:rsidP="00B13D39">
      <w:pPr>
        <w:pStyle w:val="Title"/>
        <w:rPr>
          <w:rFonts w:ascii="Times New Roman" w:hAnsi="Times New Roman"/>
          <w:sz w:val="20"/>
          <w:szCs w:val="20"/>
          <w:lang w:val="hr-BA"/>
        </w:rPr>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w:t>
      </w:r>
      <w:r w:rsidRPr="00B13D39">
        <w:rPr>
          <w:rFonts w:ascii="Times New Roman" w:hAnsi="Times New Roman"/>
          <w:sz w:val="20"/>
          <w:szCs w:val="20"/>
          <w:lang w:val="hr-BA"/>
        </w:rPr>
        <w:t>Domljan, V. i drugi. (2009). Komparativna analiza konkurentne pozicije BiH ekonomije sa implikacijama za oblikovanje politika,Ekonomski institut, Sarajevo, str. 18.</w:t>
      </w:r>
    </w:p>
    <w:p w:rsidR="009F3EE7" w:rsidRDefault="009F3EE7" w:rsidP="00B13D39">
      <w:pPr>
        <w:pStyle w:val="Title"/>
      </w:pPr>
    </w:p>
  </w:footnote>
  <w:footnote w:id="12">
    <w:p w:rsidR="009F3EE7" w:rsidRDefault="009F3EE7" w:rsidP="00B13D39">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Horvat, Đ. i Kovaĉević, V. (2004). </w:t>
      </w:r>
      <w:r w:rsidRPr="00B13D39">
        <w:rPr>
          <w:rFonts w:ascii="Times New Roman" w:hAnsi="Times New Roman"/>
          <w:i/>
          <w:iCs/>
          <w:sz w:val="20"/>
          <w:szCs w:val="20"/>
        </w:rPr>
        <w:t xml:space="preserve">Clusteri - put do konkurentnosti. </w:t>
      </w:r>
      <w:r w:rsidRPr="00B13D39">
        <w:rPr>
          <w:rFonts w:ascii="Times New Roman" w:hAnsi="Times New Roman"/>
          <w:sz w:val="20"/>
          <w:szCs w:val="20"/>
        </w:rPr>
        <w:t xml:space="preserve">Zagreb: Cera Prom i M.E.P. consult. </w:t>
      </w:r>
    </w:p>
  </w:footnote>
  <w:footnote w:id="13">
    <w:p w:rsidR="009F3EE7" w:rsidRDefault="009F3EE7" w:rsidP="00B13D39">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w:t>
      </w:r>
      <w:r w:rsidRPr="00B13D39">
        <w:rPr>
          <w:rFonts w:ascii="Times New Roman" w:hAnsi="Times New Roman"/>
          <w:sz w:val="20"/>
          <w:szCs w:val="20"/>
          <w:lang w:val="hr-HR"/>
        </w:rPr>
        <w:t xml:space="preserve">Scheer, G. i von Zallinger, L. (2006). </w:t>
      </w:r>
      <w:r w:rsidRPr="00B13D39">
        <w:rPr>
          <w:rFonts w:ascii="Times New Roman" w:hAnsi="Times New Roman"/>
          <w:i/>
          <w:iCs/>
          <w:sz w:val="20"/>
          <w:szCs w:val="20"/>
          <w:lang w:val="hr-HR"/>
        </w:rPr>
        <w:t xml:space="preserve">Cluster Management - priručnik za praksu, dio A: Pregled. </w:t>
      </w:r>
      <w:r w:rsidRPr="00B13D39">
        <w:rPr>
          <w:rFonts w:ascii="Times New Roman" w:hAnsi="Times New Roman"/>
          <w:sz w:val="20"/>
          <w:szCs w:val="20"/>
          <w:lang w:val="hr-HR"/>
        </w:rPr>
        <w:t>Zagreb: Deutsche Gesellscaft fur Tehnische Zusammenarbeit (GTZ) GmbH, Koordinacijski ured Zagreb.</w:t>
      </w:r>
    </w:p>
  </w:footnote>
  <w:footnote w:id="14">
    <w:p w:rsidR="009F3EE7" w:rsidRDefault="009F3EE7" w:rsidP="00B13D39">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Hoolbrok, J.A. (2005). Quantifying Innovation. </w:t>
      </w:r>
      <w:r w:rsidRPr="00B13D39">
        <w:rPr>
          <w:rFonts w:ascii="Times New Roman" w:hAnsi="Times New Roman"/>
          <w:i/>
          <w:iCs/>
          <w:sz w:val="20"/>
          <w:szCs w:val="20"/>
        </w:rPr>
        <w:t xml:space="preserve">UNESCO South Asian Regional Workshop on S&amp;T Statistics. </w:t>
      </w:r>
      <w:r w:rsidRPr="00B13D39">
        <w:rPr>
          <w:rFonts w:ascii="Times New Roman" w:hAnsi="Times New Roman"/>
          <w:sz w:val="20"/>
          <w:szCs w:val="20"/>
        </w:rPr>
        <w:t xml:space="preserve">New Delhi, 19-24.11.2005. </w:t>
      </w:r>
    </w:p>
  </w:footnote>
  <w:footnote w:id="15">
    <w:p w:rsidR="009F3EE7" w:rsidRDefault="009F3EE7" w:rsidP="00B13D39">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w:t>
      </w:r>
      <w:r w:rsidRPr="00B13D39">
        <w:rPr>
          <w:rFonts w:ascii="Times New Roman" w:hAnsi="Times New Roman"/>
          <w:sz w:val="20"/>
          <w:szCs w:val="20"/>
          <w:lang w:val="hr-HR"/>
        </w:rPr>
        <w:t xml:space="preserve">Scheer, G. i von Zallinger, L. (2006). </w:t>
      </w:r>
      <w:r w:rsidRPr="00B13D39">
        <w:rPr>
          <w:rFonts w:ascii="Times New Roman" w:hAnsi="Times New Roman"/>
          <w:i/>
          <w:iCs/>
          <w:sz w:val="20"/>
          <w:szCs w:val="20"/>
          <w:lang w:val="hr-HR"/>
        </w:rPr>
        <w:t xml:space="preserve">Cluster Management - priručnik za praksu, dio A: Pregled. </w:t>
      </w:r>
      <w:r w:rsidRPr="00B13D39">
        <w:rPr>
          <w:rFonts w:ascii="Times New Roman" w:hAnsi="Times New Roman"/>
          <w:sz w:val="20"/>
          <w:szCs w:val="20"/>
          <w:lang w:val="hr-HR"/>
        </w:rPr>
        <w:t>Zagreb: Deutsche Gesellscaft fur Tehnische Zusammenarbeit (GTZ) GmbH, Koordinacijski ured Zagreb</w:t>
      </w:r>
      <w:r>
        <w:rPr>
          <w:rFonts w:ascii="Times New Roman" w:hAnsi="Times New Roman"/>
          <w:sz w:val="20"/>
          <w:szCs w:val="20"/>
          <w:lang w:val="hr-HR"/>
        </w:rPr>
        <w:t>.</w:t>
      </w:r>
    </w:p>
  </w:footnote>
  <w:footnote w:id="16">
    <w:p w:rsidR="009F3EE7" w:rsidRDefault="009F3EE7" w:rsidP="00B13D39">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The Global Competitiveness Report 2012-2013, World Economic Forum</w:t>
      </w:r>
      <w:r>
        <w:rPr>
          <w:rFonts w:ascii="Times New Roman" w:hAnsi="Times New Roman"/>
          <w:sz w:val="20"/>
          <w:szCs w:val="20"/>
        </w:rPr>
        <w:t>.</w:t>
      </w:r>
      <w:r w:rsidRPr="00B13D39">
        <w:rPr>
          <w:rFonts w:ascii="Times New Roman" w:hAnsi="Times New Roman"/>
          <w:sz w:val="20"/>
          <w:szCs w:val="20"/>
        </w:rPr>
        <w:t xml:space="preserve"> </w:t>
      </w:r>
    </w:p>
  </w:footnote>
  <w:footnote w:id="17">
    <w:p w:rsidR="009F3EE7" w:rsidRPr="00B13D39" w:rsidRDefault="009F3EE7" w:rsidP="00B13D39">
      <w:pPr>
        <w:pStyle w:val="Title"/>
        <w:rPr>
          <w:rFonts w:ascii="Times New Roman" w:hAnsi="Times New Roman"/>
          <w:sz w:val="20"/>
          <w:szCs w:val="20"/>
        </w:rPr>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Konkurentnost 2012. – 2013., Federalni zavod za programiranje razvoja , Sarajevo, 2012.</w:t>
      </w:r>
    </w:p>
    <w:p w:rsidR="009F3EE7" w:rsidRPr="00B13D39" w:rsidRDefault="009F3EE7" w:rsidP="00B13D39">
      <w:pPr>
        <w:pStyle w:val="Title"/>
        <w:rPr>
          <w:rFonts w:ascii="Times New Roman" w:hAnsi="Times New Roman"/>
          <w:sz w:val="20"/>
          <w:szCs w:val="20"/>
        </w:rPr>
      </w:pPr>
      <w:r w:rsidRPr="00B13D39">
        <w:rPr>
          <w:rFonts w:ascii="Times New Roman" w:hAnsi="Times New Roman"/>
          <w:sz w:val="20"/>
          <w:szCs w:val="20"/>
        </w:rPr>
        <w:t xml:space="preserve">. </w:t>
      </w:r>
    </w:p>
    <w:p w:rsidR="009F3EE7" w:rsidRDefault="009F3EE7" w:rsidP="00B13D39">
      <w:pPr>
        <w:pStyle w:val="Title"/>
      </w:pPr>
    </w:p>
  </w:footnote>
  <w:footnote w:id="18">
    <w:p w:rsidR="009F3EE7" w:rsidRDefault="009F3EE7" w:rsidP="00B5522A">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w:t>
      </w:r>
      <w:r w:rsidRPr="00B13D39">
        <w:rPr>
          <w:rFonts w:ascii="Times New Roman" w:hAnsi="Times New Roman"/>
          <w:sz w:val="20"/>
          <w:szCs w:val="20"/>
          <w:lang w:val="hr-HR"/>
        </w:rPr>
        <w:t>Konkurentnost 2016. – 2017., Federalni zavod za program</w:t>
      </w:r>
      <w:r>
        <w:rPr>
          <w:rFonts w:ascii="Times New Roman" w:hAnsi="Times New Roman"/>
          <w:sz w:val="20"/>
          <w:szCs w:val="20"/>
          <w:lang w:val="hr-HR"/>
        </w:rPr>
        <w:t xml:space="preserve">iranje razvoja , Sarajevo, 2016, </w:t>
      </w:r>
      <w:r w:rsidRPr="00B13D39">
        <w:rPr>
          <w:rFonts w:ascii="Times New Roman" w:hAnsi="Times New Roman"/>
          <w:sz w:val="20"/>
          <w:szCs w:val="20"/>
          <w:lang w:val="hr-HR"/>
        </w:rPr>
        <w:t xml:space="preserve"> str.</w:t>
      </w:r>
      <w:r>
        <w:rPr>
          <w:rFonts w:ascii="Times New Roman" w:hAnsi="Times New Roman"/>
          <w:sz w:val="20"/>
          <w:szCs w:val="20"/>
          <w:lang w:val="hr-HR"/>
        </w:rPr>
        <w:t xml:space="preserve"> </w:t>
      </w:r>
      <w:r w:rsidRPr="00B13D39">
        <w:rPr>
          <w:rFonts w:ascii="Times New Roman" w:hAnsi="Times New Roman"/>
          <w:sz w:val="20"/>
          <w:szCs w:val="20"/>
          <w:lang w:val="hr-HR"/>
        </w:rPr>
        <w:t>25.</w:t>
      </w:r>
    </w:p>
  </w:footnote>
  <w:footnote w:id="19">
    <w:p w:rsidR="009F3EE7" w:rsidRDefault="009F3EE7" w:rsidP="001340AD">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w:t>
      </w:r>
      <w:r w:rsidRPr="00B13D39">
        <w:rPr>
          <w:rFonts w:ascii="Times New Roman" w:hAnsi="Times New Roman"/>
          <w:sz w:val="20"/>
          <w:szCs w:val="20"/>
          <w:lang w:val="hr-HR"/>
        </w:rPr>
        <w:t>Konkurentnost 2016. – 2017., Federalni zavod za programi</w:t>
      </w:r>
      <w:r>
        <w:rPr>
          <w:rFonts w:ascii="Times New Roman" w:hAnsi="Times New Roman"/>
          <w:sz w:val="20"/>
          <w:szCs w:val="20"/>
          <w:lang w:val="hr-HR"/>
        </w:rPr>
        <w:t xml:space="preserve">ranje razvoja , Sarajevo, 2016, </w:t>
      </w:r>
      <w:r w:rsidRPr="00B13D39">
        <w:rPr>
          <w:rFonts w:ascii="Times New Roman" w:hAnsi="Times New Roman"/>
          <w:sz w:val="20"/>
          <w:szCs w:val="20"/>
          <w:lang w:val="hr-HR"/>
        </w:rPr>
        <w:t>str. 16.</w:t>
      </w:r>
    </w:p>
  </w:footnote>
  <w:footnote w:id="20">
    <w:p w:rsidR="009F3EE7" w:rsidRDefault="009F3EE7" w:rsidP="00B13D39">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Kada se</w:t>
      </w:r>
      <w:r w:rsidRPr="00B13D39">
        <w:rPr>
          <w:rFonts w:ascii="Times New Roman" w:hAnsi="Times New Roman"/>
          <w:b/>
          <w:sz w:val="20"/>
          <w:szCs w:val="20"/>
        </w:rPr>
        <w:t xml:space="preserve"> </w:t>
      </w:r>
      <w:r w:rsidRPr="00B13D39">
        <w:rPr>
          <w:rStyle w:val="Strong"/>
          <w:rFonts w:ascii="Times New Roman" w:hAnsi="Times New Roman"/>
          <w:b w:val="0"/>
          <w:sz w:val="20"/>
          <w:szCs w:val="20"/>
        </w:rPr>
        <w:t>više poslovnih subjekata iz neke gospodarske grane poveže u razne poslovne odnose nastaje ''klaster'</w:t>
      </w:r>
      <w:r w:rsidRPr="00B13D39">
        <w:rPr>
          <w:rFonts w:ascii="Times New Roman" w:hAnsi="Times New Roman"/>
          <w:b/>
          <w:sz w:val="20"/>
          <w:szCs w:val="20"/>
        </w:rPr>
        <w:t xml:space="preserve">', </w:t>
      </w:r>
      <w:r>
        <w:rPr>
          <w:rFonts w:ascii="Times New Roman" w:hAnsi="Times New Roman"/>
          <w:sz w:val="20"/>
          <w:szCs w:val="20"/>
        </w:rPr>
        <w:t>(</w:t>
      </w:r>
      <w:r w:rsidRPr="00B13D39">
        <w:rPr>
          <w:rStyle w:val="Emphasis"/>
          <w:rFonts w:ascii="Times New Roman" w:hAnsi="Times New Roman"/>
          <w:sz w:val="20"/>
          <w:szCs w:val="20"/>
        </w:rPr>
        <w:t>''Cluster''</w:t>
      </w:r>
      <w:r>
        <w:rPr>
          <w:rFonts w:ascii="Times New Roman" w:hAnsi="Times New Roman"/>
          <w:sz w:val="20"/>
          <w:szCs w:val="20"/>
        </w:rPr>
        <w:t xml:space="preserve"> -</w:t>
      </w:r>
      <w:r w:rsidRPr="00B13D39">
        <w:rPr>
          <w:rFonts w:ascii="Times New Roman" w:hAnsi="Times New Roman"/>
          <w:sz w:val="20"/>
          <w:szCs w:val="20"/>
        </w:rPr>
        <w:t xml:space="preserve"> znači grozd ili skupina). Radi se dakle o kooperaciji koja ima za cilj što bolje poslovanje.</w:t>
      </w:r>
    </w:p>
  </w:footnote>
  <w:footnote w:id="21">
    <w:p w:rsidR="009F3EE7" w:rsidRDefault="009F3EE7" w:rsidP="00B13D39">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w:t>
      </w:r>
      <w:r>
        <w:rPr>
          <w:rFonts w:ascii="Times New Roman" w:hAnsi="Times New Roman"/>
          <w:sz w:val="20"/>
          <w:szCs w:val="20"/>
          <w:lang w:val="hr-BA"/>
        </w:rPr>
        <w:t>Domljan, V.</w:t>
      </w:r>
      <w:r w:rsidRPr="00B13D39">
        <w:rPr>
          <w:rFonts w:ascii="Times New Roman" w:hAnsi="Times New Roman"/>
          <w:sz w:val="20"/>
          <w:szCs w:val="20"/>
          <w:lang w:val="hr-BA"/>
        </w:rPr>
        <w:t xml:space="preserve"> i drugi.  (2009). Komparativna analiza konkurentne pozicije BiH ekonomije sa implikacijama za oblikovanje politika,Ekonomski institut, Sarajevo, str. 36.</w:t>
      </w:r>
    </w:p>
  </w:footnote>
  <w:footnote w:id="22">
    <w:p w:rsidR="009F3EE7" w:rsidRDefault="009F3EE7" w:rsidP="00B13D39">
      <w:pPr>
        <w:pStyle w:val="Title"/>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w:t>
      </w:r>
      <w:r w:rsidRPr="00B13D39">
        <w:rPr>
          <w:rFonts w:ascii="Times New Roman" w:hAnsi="Times New Roman"/>
          <w:color w:val="000000"/>
          <w:sz w:val="20"/>
          <w:szCs w:val="20"/>
          <w:lang w:val="hr-HR"/>
        </w:rPr>
        <w:t>OECD (2005). Business Clusters – Promoting Enterprise in Central and Eastern Europe. Paris: OECD.</w:t>
      </w:r>
    </w:p>
  </w:footnote>
  <w:footnote w:id="23">
    <w:p w:rsidR="009F3EE7" w:rsidRPr="00B13D39" w:rsidRDefault="009F3EE7" w:rsidP="00B13D39">
      <w:pPr>
        <w:pStyle w:val="Title"/>
        <w:rPr>
          <w:rFonts w:ascii="Times New Roman" w:hAnsi="Times New Roman"/>
          <w:sz w:val="20"/>
          <w:szCs w:val="20"/>
          <w:lang w:val="hr-BA"/>
        </w:rPr>
      </w:pPr>
      <w:r w:rsidRPr="00B13D39">
        <w:rPr>
          <w:rStyle w:val="FootnoteReference"/>
          <w:rFonts w:ascii="Times New Roman" w:hAnsi="Times New Roman"/>
          <w:sz w:val="20"/>
          <w:szCs w:val="20"/>
        </w:rPr>
        <w:footnoteRef/>
      </w:r>
      <w:r w:rsidRPr="00B13D39">
        <w:rPr>
          <w:rFonts w:ascii="Times New Roman" w:hAnsi="Times New Roman"/>
          <w:sz w:val="20"/>
          <w:szCs w:val="20"/>
        </w:rPr>
        <w:t xml:space="preserve"> </w:t>
      </w:r>
      <w:r w:rsidRPr="00B13D39">
        <w:rPr>
          <w:rFonts w:ascii="Times New Roman" w:hAnsi="Times New Roman"/>
          <w:sz w:val="20"/>
          <w:szCs w:val="20"/>
          <w:lang w:val="hr-BA"/>
        </w:rPr>
        <w:t>Domljan ,V. i drugi. (2009). Komparativna analiza konkurentne pozicije BiH ekonomije sa implikacijama za oblikovanje politika,Ekonomski institut, Sarajevo, str. 45.</w:t>
      </w:r>
    </w:p>
    <w:p w:rsidR="009F3EE7" w:rsidRDefault="009F3EE7" w:rsidP="00B13D39">
      <w:pPr>
        <w:pStyle w:val="Titl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EE7" w:rsidRDefault="009F3EE7"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3EE7" w:rsidRDefault="009F3EE7" w:rsidP="00612EA2">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9F3EE7" w:rsidRDefault="009F3E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EE7" w:rsidRDefault="009F3EE7"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9F3EE7" w:rsidRDefault="009F3EE7" w:rsidP="00CC0B6B">
    <w:pPr>
      <w:pStyle w:val="Header"/>
      <w:ind w:right="360"/>
      <w:rPr>
        <w:sz w:val="18"/>
        <w:szCs w:val="18"/>
        <w:lang w:val="hr-HR"/>
      </w:rPr>
    </w:pPr>
    <w:r>
      <w:rPr>
        <w:sz w:val="18"/>
        <w:szCs w:val="18"/>
        <w:lang w:val="hr-HR"/>
      </w:rPr>
      <w:t>Jozo Piljić</w:t>
    </w:r>
    <w:r w:rsidRPr="00736D64">
      <w:rPr>
        <w:sz w:val="18"/>
        <w:szCs w:val="18"/>
        <w:lang w:val="hr-HR"/>
      </w:rPr>
      <w:t xml:space="preserve">: </w:t>
    </w:r>
    <w:r>
      <w:rPr>
        <w:sz w:val="18"/>
        <w:szCs w:val="18"/>
        <w:lang w:val="hr-HR"/>
      </w:rPr>
      <w:t>ANALIZA KONKURENTNOSTI BiH I PREPORUKE ZA JAČANJE KONKURENTNOSTI</w:t>
    </w:r>
  </w:p>
  <w:p w:rsidR="009F3EE7" w:rsidRPr="00736D64" w:rsidRDefault="009F3EE7" w:rsidP="00CC0B6B">
    <w:pPr>
      <w:pStyle w:val="Header"/>
      <w:ind w:right="360"/>
      <w:rPr>
        <w:sz w:val="18"/>
        <w:szCs w:val="18"/>
        <w:lang w:val="hr-HR"/>
      </w:rPr>
    </w:pP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41</w:t>
    </w:r>
  </w:p>
  <w:p w:rsidR="009F3EE7" w:rsidRDefault="009F3EE7"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051E7AD7"/>
    <w:multiLevelType w:val="hybridMultilevel"/>
    <w:tmpl w:val="D42C5B3A"/>
    <w:lvl w:ilvl="0" w:tplc="7534DF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CF70980"/>
    <w:multiLevelType w:val="hybridMultilevel"/>
    <w:tmpl w:val="52DE995C"/>
    <w:lvl w:ilvl="0" w:tplc="7534DFA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05946B2"/>
    <w:multiLevelType w:val="hybridMultilevel"/>
    <w:tmpl w:val="B21212C2"/>
    <w:lvl w:ilvl="0" w:tplc="7534DF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7">
    <w:nsid w:val="14997406"/>
    <w:multiLevelType w:val="hybridMultilevel"/>
    <w:tmpl w:val="97C4CB5C"/>
    <w:lvl w:ilvl="0" w:tplc="7534DF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6EB685F"/>
    <w:multiLevelType w:val="hybridMultilevel"/>
    <w:tmpl w:val="7C567B5A"/>
    <w:lvl w:ilvl="0" w:tplc="141A000F">
      <w:start w:val="1"/>
      <w:numFmt w:val="decimal"/>
      <w:lvlText w:val="%1."/>
      <w:lvlJc w:val="left"/>
      <w:pPr>
        <w:ind w:left="720" w:hanging="360"/>
      </w:pPr>
      <w:rPr>
        <w:rFonts w:cs="Times New Roman"/>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9">
    <w:nsid w:val="1AEE6192"/>
    <w:multiLevelType w:val="hybridMultilevel"/>
    <w:tmpl w:val="CCE298E4"/>
    <w:lvl w:ilvl="0" w:tplc="141A000F">
      <w:start w:val="1"/>
      <w:numFmt w:val="decimal"/>
      <w:lvlText w:val="%1."/>
      <w:lvlJc w:val="left"/>
      <w:pPr>
        <w:ind w:left="720" w:hanging="360"/>
      </w:pPr>
      <w:rPr>
        <w:rFonts w:cs="Times New Roman" w:hint="default"/>
      </w:rPr>
    </w:lvl>
    <w:lvl w:ilvl="1" w:tplc="141A0019">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0">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1">
    <w:nsid w:val="1F9675FE"/>
    <w:multiLevelType w:val="hybridMultilevel"/>
    <w:tmpl w:val="5156CE2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nsid w:val="21794ED4"/>
    <w:multiLevelType w:val="hybridMultilevel"/>
    <w:tmpl w:val="BB005D44"/>
    <w:lvl w:ilvl="0" w:tplc="66867B6C">
      <w:start w:val="3"/>
      <w:numFmt w:val="decimal"/>
      <w:lvlText w:val="%1."/>
      <w:lvlJc w:val="left"/>
      <w:pPr>
        <w:ind w:left="720" w:hanging="360"/>
      </w:pPr>
      <w:rPr>
        <w:rFonts w:cs="Times New Roman" w:hint="default"/>
        <w:b/>
      </w:rPr>
    </w:lvl>
    <w:lvl w:ilvl="1" w:tplc="141A0019">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3">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5">
    <w:nsid w:val="348225AC"/>
    <w:multiLevelType w:val="hybridMultilevel"/>
    <w:tmpl w:val="F856BA1A"/>
    <w:lvl w:ilvl="0" w:tplc="7534DF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4EA7FA7"/>
    <w:multiLevelType w:val="multilevel"/>
    <w:tmpl w:val="6B56633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b/>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080" w:hanging="720"/>
      </w:pPr>
      <w:rPr>
        <w:rFonts w:cs="Times New Roman"/>
        <w:b/>
      </w:rPr>
    </w:lvl>
    <w:lvl w:ilvl="4">
      <w:start w:val="1"/>
      <w:numFmt w:val="decimal"/>
      <w:isLgl/>
      <w:lvlText w:val="%1.%2.%3.%4.%5."/>
      <w:lvlJc w:val="left"/>
      <w:pPr>
        <w:ind w:left="1440" w:hanging="1080"/>
      </w:pPr>
      <w:rPr>
        <w:rFonts w:cs="Times New Roman"/>
        <w:b/>
      </w:rPr>
    </w:lvl>
    <w:lvl w:ilvl="5">
      <w:start w:val="1"/>
      <w:numFmt w:val="decimal"/>
      <w:isLgl/>
      <w:lvlText w:val="%1.%2.%3.%4.%5.%6."/>
      <w:lvlJc w:val="left"/>
      <w:pPr>
        <w:ind w:left="1440" w:hanging="1080"/>
      </w:pPr>
      <w:rPr>
        <w:rFonts w:cs="Times New Roman"/>
        <w:b/>
      </w:rPr>
    </w:lvl>
    <w:lvl w:ilvl="6">
      <w:start w:val="1"/>
      <w:numFmt w:val="decimal"/>
      <w:isLgl/>
      <w:lvlText w:val="%1.%2.%3.%4.%5.%6.%7."/>
      <w:lvlJc w:val="left"/>
      <w:pPr>
        <w:ind w:left="1800" w:hanging="1440"/>
      </w:pPr>
      <w:rPr>
        <w:rFonts w:cs="Times New Roman"/>
        <w:b/>
      </w:rPr>
    </w:lvl>
    <w:lvl w:ilvl="7">
      <w:start w:val="1"/>
      <w:numFmt w:val="decimal"/>
      <w:isLgl/>
      <w:lvlText w:val="%1.%2.%3.%4.%5.%6.%7.%8."/>
      <w:lvlJc w:val="left"/>
      <w:pPr>
        <w:ind w:left="1800" w:hanging="1440"/>
      </w:pPr>
      <w:rPr>
        <w:rFonts w:cs="Times New Roman"/>
        <w:b/>
      </w:rPr>
    </w:lvl>
    <w:lvl w:ilvl="8">
      <w:start w:val="1"/>
      <w:numFmt w:val="decimal"/>
      <w:isLgl/>
      <w:lvlText w:val="%1.%2.%3.%4.%5.%6.%7.%8.%9."/>
      <w:lvlJc w:val="left"/>
      <w:pPr>
        <w:ind w:left="2160" w:hanging="1800"/>
      </w:pPr>
      <w:rPr>
        <w:rFonts w:cs="Times New Roman"/>
        <w:b/>
      </w:rPr>
    </w:lvl>
  </w:abstractNum>
  <w:abstractNum w:abstractNumId="17">
    <w:nsid w:val="4C81341F"/>
    <w:multiLevelType w:val="hybridMultilevel"/>
    <w:tmpl w:val="1ABC079A"/>
    <w:lvl w:ilvl="0" w:tplc="7534DFA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nsid w:val="4F540A2E"/>
    <w:multiLevelType w:val="hybridMultilevel"/>
    <w:tmpl w:val="7E26FF3A"/>
    <w:lvl w:ilvl="0" w:tplc="7534DF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1846B06"/>
    <w:multiLevelType w:val="hybridMultilevel"/>
    <w:tmpl w:val="1D68899C"/>
    <w:lvl w:ilvl="0" w:tplc="7534DFAA">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0">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21">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782BF6"/>
    <w:multiLevelType w:val="hybridMultilevel"/>
    <w:tmpl w:val="6D862E98"/>
    <w:lvl w:ilvl="0" w:tplc="7534DF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nsid w:val="63283ADE"/>
    <w:multiLevelType w:val="hybridMultilevel"/>
    <w:tmpl w:val="42F2A8E2"/>
    <w:lvl w:ilvl="0" w:tplc="7534DF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9DC68E3"/>
    <w:multiLevelType w:val="hybridMultilevel"/>
    <w:tmpl w:val="34C8456E"/>
    <w:lvl w:ilvl="0" w:tplc="7534DF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A3835BC"/>
    <w:multiLevelType w:val="hybridMultilevel"/>
    <w:tmpl w:val="7BC6F80A"/>
    <w:lvl w:ilvl="0" w:tplc="7534DFA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nsid w:val="730D1090"/>
    <w:multiLevelType w:val="hybridMultilevel"/>
    <w:tmpl w:val="A56C98E6"/>
    <w:lvl w:ilvl="0" w:tplc="7534DF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76D17D9E"/>
    <w:multiLevelType w:val="hybridMultilevel"/>
    <w:tmpl w:val="2F0E8C48"/>
    <w:lvl w:ilvl="0" w:tplc="141A000F">
      <w:start w:val="1"/>
      <w:numFmt w:val="decimal"/>
      <w:lvlText w:val="%1."/>
      <w:lvlJc w:val="left"/>
      <w:pPr>
        <w:ind w:left="720" w:hanging="360"/>
      </w:pPr>
      <w:rPr>
        <w:rFonts w:cs="Times New Roman"/>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29">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0">
    <w:nsid w:val="7F066678"/>
    <w:multiLevelType w:val="hybridMultilevel"/>
    <w:tmpl w:val="A164136A"/>
    <w:lvl w:ilvl="0" w:tplc="7534DFA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0"/>
  </w:num>
  <w:num w:numId="3">
    <w:abstractNumId w:val="20"/>
  </w:num>
  <w:num w:numId="4">
    <w:abstractNumId w:val="4"/>
  </w:num>
  <w:num w:numId="5">
    <w:abstractNumId w:val="29"/>
  </w:num>
  <w:num w:numId="6">
    <w:abstractNumId w:val="6"/>
  </w:num>
  <w:num w:numId="7">
    <w:abstractNumId w:val="10"/>
  </w:num>
  <w:num w:numId="8">
    <w:abstractNumId w:val="13"/>
  </w:num>
  <w:num w:numId="9">
    <w:abstractNumId w:val="21"/>
  </w:num>
  <w:num w:numId="10">
    <w:abstractNumId w:val="1"/>
  </w:num>
  <w:num w:numId="11">
    <w:abstractNumId w:val="14"/>
  </w:num>
  <w:num w:numId="12">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7"/>
  </w:num>
  <w:num w:numId="18">
    <w:abstractNumId w:val="19"/>
  </w:num>
  <w:num w:numId="19">
    <w:abstractNumId w:val="2"/>
  </w:num>
  <w:num w:numId="20">
    <w:abstractNumId w:val="5"/>
  </w:num>
  <w:num w:numId="21">
    <w:abstractNumId w:val="24"/>
  </w:num>
  <w:num w:numId="22">
    <w:abstractNumId w:val="15"/>
  </w:num>
  <w:num w:numId="23">
    <w:abstractNumId w:val="26"/>
  </w:num>
  <w:num w:numId="24">
    <w:abstractNumId w:val="3"/>
  </w:num>
  <w:num w:numId="25">
    <w:abstractNumId w:val="30"/>
  </w:num>
  <w:num w:numId="26">
    <w:abstractNumId w:val="25"/>
  </w:num>
  <w:num w:numId="27">
    <w:abstractNumId w:val="17"/>
  </w:num>
  <w:num w:numId="28">
    <w:abstractNumId w:val="22"/>
  </w:num>
  <w:num w:numId="29">
    <w:abstractNumId w:val="18"/>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2D6F"/>
    <w:rsid w:val="00017415"/>
    <w:rsid w:val="000177FD"/>
    <w:rsid w:val="00024918"/>
    <w:rsid w:val="0003098F"/>
    <w:rsid w:val="00034090"/>
    <w:rsid w:val="00035711"/>
    <w:rsid w:val="00065702"/>
    <w:rsid w:val="000740DF"/>
    <w:rsid w:val="00087AAF"/>
    <w:rsid w:val="0009154C"/>
    <w:rsid w:val="00095750"/>
    <w:rsid w:val="000A20C9"/>
    <w:rsid w:val="000D5D7C"/>
    <w:rsid w:val="000E0D53"/>
    <w:rsid w:val="000E57DD"/>
    <w:rsid w:val="000F0A75"/>
    <w:rsid w:val="000F28FD"/>
    <w:rsid w:val="000F7BB1"/>
    <w:rsid w:val="00101117"/>
    <w:rsid w:val="00102BC8"/>
    <w:rsid w:val="00106CC7"/>
    <w:rsid w:val="001154EE"/>
    <w:rsid w:val="001158A4"/>
    <w:rsid w:val="00122C71"/>
    <w:rsid w:val="001340AD"/>
    <w:rsid w:val="00135F40"/>
    <w:rsid w:val="00143E4D"/>
    <w:rsid w:val="00152A0A"/>
    <w:rsid w:val="00155E30"/>
    <w:rsid w:val="00157C08"/>
    <w:rsid w:val="00163B34"/>
    <w:rsid w:val="001653EA"/>
    <w:rsid w:val="0016647B"/>
    <w:rsid w:val="001703AC"/>
    <w:rsid w:val="00170A47"/>
    <w:rsid w:val="00172985"/>
    <w:rsid w:val="0019677B"/>
    <w:rsid w:val="001A04D5"/>
    <w:rsid w:val="001A2966"/>
    <w:rsid w:val="001B383D"/>
    <w:rsid w:val="001C562A"/>
    <w:rsid w:val="001E00CF"/>
    <w:rsid w:val="001E0676"/>
    <w:rsid w:val="001E32DC"/>
    <w:rsid w:val="002223FF"/>
    <w:rsid w:val="00224F4B"/>
    <w:rsid w:val="0023309B"/>
    <w:rsid w:val="00241240"/>
    <w:rsid w:val="00243A5B"/>
    <w:rsid w:val="00246D56"/>
    <w:rsid w:val="00250ED2"/>
    <w:rsid w:val="00263322"/>
    <w:rsid w:val="0026510A"/>
    <w:rsid w:val="00267AD3"/>
    <w:rsid w:val="00272307"/>
    <w:rsid w:val="00277681"/>
    <w:rsid w:val="002815D3"/>
    <w:rsid w:val="002844E1"/>
    <w:rsid w:val="0028562E"/>
    <w:rsid w:val="00294CBC"/>
    <w:rsid w:val="002962D2"/>
    <w:rsid w:val="002A0B82"/>
    <w:rsid w:val="002B105D"/>
    <w:rsid w:val="002C2A0F"/>
    <w:rsid w:val="002E5E01"/>
    <w:rsid w:val="002E7BE9"/>
    <w:rsid w:val="00301183"/>
    <w:rsid w:val="003017D5"/>
    <w:rsid w:val="00301969"/>
    <w:rsid w:val="00314BEF"/>
    <w:rsid w:val="00320BCB"/>
    <w:rsid w:val="00321752"/>
    <w:rsid w:val="00321C58"/>
    <w:rsid w:val="00322ED3"/>
    <w:rsid w:val="00326CFA"/>
    <w:rsid w:val="0034089C"/>
    <w:rsid w:val="003459BC"/>
    <w:rsid w:val="00350D5A"/>
    <w:rsid w:val="00370FE1"/>
    <w:rsid w:val="00371515"/>
    <w:rsid w:val="00381B59"/>
    <w:rsid w:val="003A3685"/>
    <w:rsid w:val="003B4193"/>
    <w:rsid w:val="003B6218"/>
    <w:rsid w:val="003B719F"/>
    <w:rsid w:val="003D0620"/>
    <w:rsid w:val="003D2629"/>
    <w:rsid w:val="003E0BC9"/>
    <w:rsid w:val="003E1192"/>
    <w:rsid w:val="003E3B8A"/>
    <w:rsid w:val="003F6B6D"/>
    <w:rsid w:val="00400F6A"/>
    <w:rsid w:val="00427C29"/>
    <w:rsid w:val="00430955"/>
    <w:rsid w:val="00451C87"/>
    <w:rsid w:val="00453DA5"/>
    <w:rsid w:val="004553C1"/>
    <w:rsid w:val="004560BB"/>
    <w:rsid w:val="0045798B"/>
    <w:rsid w:val="004744FD"/>
    <w:rsid w:val="00474524"/>
    <w:rsid w:val="00475139"/>
    <w:rsid w:val="0048382D"/>
    <w:rsid w:val="00486C46"/>
    <w:rsid w:val="004956C5"/>
    <w:rsid w:val="004A5606"/>
    <w:rsid w:val="004A6511"/>
    <w:rsid w:val="004A6B6A"/>
    <w:rsid w:val="004D1E5D"/>
    <w:rsid w:val="004D334D"/>
    <w:rsid w:val="004D49D3"/>
    <w:rsid w:val="004D5178"/>
    <w:rsid w:val="004D707D"/>
    <w:rsid w:val="004F6DBB"/>
    <w:rsid w:val="00510FF3"/>
    <w:rsid w:val="00520B39"/>
    <w:rsid w:val="00537797"/>
    <w:rsid w:val="005441C4"/>
    <w:rsid w:val="00547EF1"/>
    <w:rsid w:val="00550B1A"/>
    <w:rsid w:val="0055799A"/>
    <w:rsid w:val="005836E1"/>
    <w:rsid w:val="005A3295"/>
    <w:rsid w:val="005A66D5"/>
    <w:rsid w:val="005C0A8A"/>
    <w:rsid w:val="005D01DA"/>
    <w:rsid w:val="005D236A"/>
    <w:rsid w:val="005D329E"/>
    <w:rsid w:val="005E35C0"/>
    <w:rsid w:val="00606C74"/>
    <w:rsid w:val="00612EA2"/>
    <w:rsid w:val="006139FB"/>
    <w:rsid w:val="00625640"/>
    <w:rsid w:val="0063040A"/>
    <w:rsid w:val="006369D2"/>
    <w:rsid w:val="00640128"/>
    <w:rsid w:val="00644BA4"/>
    <w:rsid w:val="00647B13"/>
    <w:rsid w:val="00655178"/>
    <w:rsid w:val="0067290A"/>
    <w:rsid w:val="006735AC"/>
    <w:rsid w:val="006809C1"/>
    <w:rsid w:val="00687D90"/>
    <w:rsid w:val="006A0F21"/>
    <w:rsid w:val="006A689F"/>
    <w:rsid w:val="006B3E95"/>
    <w:rsid w:val="006B7897"/>
    <w:rsid w:val="006D797B"/>
    <w:rsid w:val="006E7C83"/>
    <w:rsid w:val="006F0E90"/>
    <w:rsid w:val="00701D22"/>
    <w:rsid w:val="00703769"/>
    <w:rsid w:val="00705F2F"/>
    <w:rsid w:val="00732F73"/>
    <w:rsid w:val="00736D64"/>
    <w:rsid w:val="0074164D"/>
    <w:rsid w:val="007509C7"/>
    <w:rsid w:val="00766E8A"/>
    <w:rsid w:val="00775A75"/>
    <w:rsid w:val="00783CE8"/>
    <w:rsid w:val="00787665"/>
    <w:rsid w:val="00793EB4"/>
    <w:rsid w:val="0079481A"/>
    <w:rsid w:val="00796CEF"/>
    <w:rsid w:val="007A04DD"/>
    <w:rsid w:val="007A3EFC"/>
    <w:rsid w:val="007A7198"/>
    <w:rsid w:val="007A79A5"/>
    <w:rsid w:val="007B65B4"/>
    <w:rsid w:val="007B65CA"/>
    <w:rsid w:val="007D0AFC"/>
    <w:rsid w:val="007D7C29"/>
    <w:rsid w:val="007E6C67"/>
    <w:rsid w:val="007F4074"/>
    <w:rsid w:val="007F449C"/>
    <w:rsid w:val="00804BA9"/>
    <w:rsid w:val="0083651D"/>
    <w:rsid w:val="0083709C"/>
    <w:rsid w:val="0084264E"/>
    <w:rsid w:val="00843D1E"/>
    <w:rsid w:val="008734B5"/>
    <w:rsid w:val="0088076D"/>
    <w:rsid w:val="00886FDA"/>
    <w:rsid w:val="008A3B9A"/>
    <w:rsid w:val="008A518F"/>
    <w:rsid w:val="008B2625"/>
    <w:rsid w:val="008B3196"/>
    <w:rsid w:val="008B4EC6"/>
    <w:rsid w:val="008B7B75"/>
    <w:rsid w:val="008C7EF3"/>
    <w:rsid w:val="008D22EB"/>
    <w:rsid w:val="008E5F6A"/>
    <w:rsid w:val="008E678F"/>
    <w:rsid w:val="008F126B"/>
    <w:rsid w:val="00905873"/>
    <w:rsid w:val="00923202"/>
    <w:rsid w:val="0092447D"/>
    <w:rsid w:val="0093159F"/>
    <w:rsid w:val="0094511E"/>
    <w:rsid w:val="00946907"/>
    <w:rsid w:val="00954C47"/>
    <w:rsid w:val="00963A44"/>
    <w:rsid w:val="0096748B"/>
    <w:rsid w:val="0099027D"/>
    <w:rsid w:val="009A14AE"/>
    <w:rsid w:val="009B18A4"/>
    <w:rsid w:val="009B443B"/>
    <w:rsid w:val="009C0ED5"/>
    <w:rsid w:val="009E7DD5"/>
    <w:rsid w:val="009F3EE7"/>
    <w:rsid w:val="00A346C6"/>
    <w:rsid w:val="00A47DB2"/>
    <w:rsid w:val="00A5168D"/>
    <w:rsid w:val="00A5560D"/>
    <w:rsid w:val="00A55DED"/>
    <w:rsid w:val="00A60DAC"/>
    <w:rsid w:val="00A71D82"/>
    <w:rsid w:val="00A732CB"/>
    <w:rsid w:val="00A83232"/>
    <w:rsid w:val="00A91470"/>
    <w:rsid w:val="00A915B1"/>
    <w:rsid w:val="00A94DAC"/>
    <w:rsid w:val="00AA322D"/>
    <w:rsid w:val="00AA7817"/>
    <w:rsid w:val="00AB3C48"/>
    <w:rsid w:val="00AB6B4A"/>
    <w:rsid w:val="00AC22C8"/>
    <w:rsid w:val="00AC2355"/>
    <w:rsid w:val="00AC323C"/>
    <w:rsid w:val="00AC4683"/>
    <w:rsid w:val="00AC4C47"/>
    <w:rsid w:val="00AD1B65"/>
    <w:rsid w:val="00AE0170"/>
    <w:rsid w:val="00AE7EE3"/>
    <w:rsid w:val="00AF14AD"/>
    <w:rsid w:val="00AF50F6"/>
    <w:rsid w:val="00B003F5"/>
    <w:rsid w:val="00B13D39"/>
    <w:rsid w:val="00B2529C"/>
    <w:rsid w:val="00B31EE0"/>
    <w:rsid w:val="00B32AB3"/>
    <w:rsid w:val="00B44380"/>
    <w:rsid w:val="00B45292"/>
    <w:rsid w:val="00B53F42"/>
    <w:rsid w:val="00B5471D"/>
    <w:rsid w:val="00B5522A"/>
    <w:rsid w:val="00B573BA"/>
    <w:rsid w:val="00B656D6"/>
    <w:rsid w:val="00B65CFE"/>
    <w:rsid w:val="00B730DD"/>
    <w:rsid w:val="00B8023E"/>
    <w:rsid w:val="00B82C22"/>
    <w:rsid w:val="00B85EFA"/>
    <w:rsid w:val="00BA5DC1"/>
    <w:rsid w:val="00BA75F8"/>
    <w:rsid w:val="00BB1875"/>
    <w:rsid w:val="00BC0214"/>
    <w:rsid w:val="00BC4477"/>
    <w:rsid w:val="00BE3E3D"/>
    <w:rsid w:val="00BE7E04"/>
    <w:rsid w:val="00C078DE"/>
    <w:rsid w:val="00C21AF9"/>
    <w:rsid w:val="00C316FD"/>
    <w:rsid w:val="00C3763D"/>
    <w:rsid w:val="00C53457"/>
    <w:rsid w:val="00C6633F"/>
    <w:rsid w:val="00C90135"/>
    <w:rsid w:val="00C93474"/>
    <w:rsid w:val="00CB7248"/>
    <w:rsid w:val="00CC0169"/>
    <w:rsid w:val="00CC0313"/>
    <w:rsid w:val="00CC0B6B"/>
    <w:rsid w:val="00CC6A6A"/>
    <w:rsid w:val="00CC6C6F"/>
    <w:rsid w:val="00CD4CAA"/>
    <w:rsid w:val="00CD519F"/>
    <w:rsid w:val="00CD57C2"/>
    <w:rsid w:val="00CD5909"/>
    <w:rsid w:val="00CD5DCB"/>
    <w:rsid w:val="00CD6F9C"/>
    <w:rsid w:val="00CE4788"/>
    <w:rsid w:val="00D3231E"/>
    <w:rsid w:val="00D36B2E"/>
    <w:rsid w:val="00D5245D"/>
    <w:rsid w:val="00D5778A"/>
    <w:rsid w:val="00D57D49"/>
    <w:rsid w:val="00D67F83"/>
    <w:rsid w:val="00D7337A"/>
    <w:rsid w:val="00D778A3"/>
    <w:rsid w:val="00D85BE4"/>
    <w:rsid w:val="00D91956"/>
    <w:rsid w:val="00DA0E8D"/>
    <w:rsid w:val="00DA101E"/>
    <w:rsid w:val="00DA5B93"/>
    <w:rsid w:val="00DA635F"/>
    <w:rsid w:val="00DB07A5"/>
    <w:rsid w:val="00DB5700"/>
    <w:rsid w:val="00DC0189"/>
    <w:rsid w:val="00DC51DD"/>
    <w:rsid w:val="00DD47B0"/>
    <w:rsid w:val="00DD6216"/>
    <w:rsid w:val="00DF18E0"/>
    <w:rsid w:val="00DF27D4"/>
    <w:rsid w:val="00E05ED5"/>
    <w:rsid w:val="00E2479B"/>
    <w:rsid w:val="00E248F4"/>
    <w:rsid w:val="00E41C65"/>
    <w:rsid w:val="00E43CC3"/>
    <w:rsid w:val="00E445C2"/>
    <w:rsid w:val="00E4573F"/>
    <w:rsid w:val="00E625A8"/>
    <w:rsid w:val="00E64819"/>
    <w:rsid w:val="00E704A1"/>
    <w:rsid w:val="00E709EC"/>
    <w:rsid w:val="00E866CA"/>
    <w:rsid w:val="00E90F14"/>
    <w:rsid w:val="00E952C2"/>
    <w:rsid w:val="00E9768D"/>
    <w:rsid w:val="00EA0F9C"/>
    <w:rsid w:val="00EC05B0"/>
    <w:rsid w:val="00EC0F7B"/>
    <w:rsid w:val="00EC1921"/>
    <w:rsid w:val="00EC1A33"/>
    <w:rsid w:val="00EC3DD1"/>
    <w:rsid w:val="00EC5E2F"/>
    <w:rsid w:val="00EE3017"/>
    <w:rsid w:val="00EE5F56"/>
    <w:rsid w:val="00EF4F79"/>
    <w:rsid w:val="00EF71D7"/>
    <w:rsid w:val="00F164AE"/>
    <w:rsid w:val="00F16B26"/>
    <w:rsid w:val="00F176C2"/>
    <w:rsid w:val="00F428FB"/>
    <w:rsid w:val="00F439F9"/>
    <w:rsid w:val="00F4690F"/>
    <w:rsid w:val="00F5082C"/>
    <w:rsid w:val="00F60C59"/>
    <w:rsid w:val="00F62BEE"/>
    <w:rsid w:val="00F70E23"/>
    <w:rsid w:val="00F71316"/>
    <w:rsid w:val="00F75B01"/>
    <w:rsid w:val="00F84344"/>
    <w:rsid w:val="00F9552F"/>
    <w:rsid w:val="00FA4CB2"/>
    <w:rsid w:val="00FA692F"/>
    <w:rsid w:val="00FB427A"/>
    <w:rsid w:val="00FB451C"/>
    <w:rsid w:val="00FC2D5C"/>
    <w:rsid w:val="00FD24B8"/>
    <w:rsid w:val="00FE0A8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semiHidden/>
    <w:locked/>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basedOn w:val="Heading1"/>
    <w:link w:val="NoSpacingChar"/>
    <w:uiPriority w:val="99"/>
    <w:qFormat/>
    <w:rsid w:val="002E5E01"/>
    <w:rPr>
      <w:sz w:val="20"/>
      <w:szCs w:val="20"/>
      <w:lang w:val="hr-HR" w:eastAsia="hr-HR"/>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E6061F"/>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E6061F"/>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E6061F"/>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character" w:customStyle="1" w:styleId="NoSpacingChar">
    <w:name w:val="No 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table" w:customStyle="1" w:styleId="PlainTable21">
    <w:name w:val="Plain Table 21"/>
    <w:uiPriority w:val="99"/>
    <w:rsid w:val="003F6B6D"/>
    <w:rPr>
      <w:lang w:val="bs-Latn-B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HTMLPreformatted">
    <w:name w:val="HTML Preformatted"/>
    <w:basedOn w:val="Normal"/>
    <w:link w:val="HTMLPreformattedChar"/>
    <w:uiPriority w:val="99"/>
    <w:semiHidden/>
    <w:rsid w:val="003B7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sz w:val="20"/>
      <w:szCs w:val="20"/>
      <w:lang w:val="hr-HR" w:eastAsia="hr-HR"/>
    </w:rPr>
  </w:style>
  <w:style w:type="character" w:customStyle="1" w:styleId="HTMLPreformattedChar">
    <w:name w:val="HTML Preformatted Char"/>
    <w:basedOn w:val="DefaultParagraphFont"/>
    <w:link w:val="HTMLPreformatted"/>
    <w:uiPriority w:val="99"/>
    <w:semiHidden/>
    <w:locked/>
    <w:rsid w:val="003B719F"/>
    <w:rPr>
      <w:rFonts w:ascii="Courier New" w:hAnsi="Courier New" w:cs="Times New Roman"/>
      <w:sz w:val="20"/>
      <w:szCs w:val="20"/>
      <w:lang/>
    </w:rPr>
  </w:style>
  <w:style w:type="character" w:styleId="Strong">
    <w:name w:val="Strong"/>
    <w:basedOn w:val="DefaultParagraphFont"/>
    <w:uiPriority w:val="99"/>
    <w:qFormat/>
    <w:rsid w:val="003B719F"/>
    <w:rPr>
      <w:rFonts w:cs="Times New Roman"/>
      <w:b/>
      <w:bCs/>
    </w:rPr>
  </w:style>
  <w:style w:type="character" w:styleId="Emphasis">
    <w:name w:val="Emphasis"/>
    <w:basedOn w:val="DefaultParagraphFont"/>
    <w:uiPriority w:val="99"/>
    <w:qFormat/>
    <w:rsid w:val="003B719F"/>
    <w:rPr>
      <w:rFonts w:cs="Times New Roman"/>
      <w:i/>
      <w:iCs/>
    </w:rPr>
  </w:style>
</w:styles>
</file>

<file path=word/webSettings.xml><?xml version="1.0" encoding="utf-8"?>
<w:webSettings xmlns:r="http://schemas.openxmlformats.org/officeDocument/2006/relationships" xmlns:w="http://schemas.openxmlformats.org/wordprocessingml/2006/main">
  <w:divs>
    <w:div w:id="2096975306">
      <w:marLeft w:val="0"/>
      <w:marRight w:val="0"/>
      <w:marTop w:val="0"/>
      <w:marBottom w:val="0"/>
      <w:divBdr>
        <w:top w:val="none" w:sz="0" w:space="0" w:color="auto"/>
        <w:left w:val="none" w:sz="0" w:space="0" w:color="auto"/>
        <w:bottom w:val="none" w:sz="0" w:space="0" w:color="auto"/>
        <w:right w:val="none" w:sz="0" w:space="0" w:color="auto"/>
      </w:divBdr>
    </w:div>
    <w:div w:id="2096975311">
      <w:marLeft w:val="0"/>
      <w:marRight w:val="0"/>
      <w:marTop w:val="0"/>
      <w:marBottom w:val="0"/>
      <w:divBdr>
        <w:top w:val="none" w:sz="0" w:space="0" w:color="auto"/>
        <w:left w:val="none" w:sz="0" w:space="0" w:color="auto"/>
        <w:bottom w:val="none" w:sz="0" w:space="0" w:color="auto"/>
        <w:right w:val="none" w:sz="0" w:space="0" w:color="auto"/>
      </w:divBdr>
    </w:div>
    <w:div w:id="2096975312">
      <w:marLeft w:val="0"/>
      <w:marRight w:val="0"/>
      <w:marTop w:val="0"/>
      <w:marBottom w:val="0"/>
      <w:divBdr>
        <w:top w:val="none" w:sz="0" w:space="0" w:color="auto"/>
        <w:left w:val="none" w:sz="0" w:space="0" w:color="auto"/>
        <w:bottom w:val="none" w:sz="0" w:space="0" w:color="auto"/>
        <w:right w:val="none" w:sz="0" w:space="0" w:color="auto"/>
      </w:divBdr>
    </w:div>
    <w:div w:id="2096975313">
      <w:marLeft w:val="0"/>
      <w:marRight w:val="0"/>
      <w:marTop w:val="0"/>
      <w:marBottom w:val="0"/>
      <w:divBdr>
        <w:top w:val="none" w:sz="0" w:space="0" w:color="auto"/>
        <w:left w:val="none" w:sz="0" w:space="0" w:color="auto"/>
        <w:bottom w:val="none" w:sz="0" w:space="0" w:color="auto"/>
        <w:right w:val="none" w:sz="0" w:space="0" w:color="auto"/>
      </w:divBdr>
    </w:div>
    <w:div w:id="2096975314">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sChild>
            <w:div w:id="2096975308">
              <w:marLeft w:val="0"/>
              <w:marRight w:val="0"/>
              <w:marTop w:val="0"/>
              <w:marBottom w:val="0"/>
              <w:divBdr>
                <w:top w:val="none" w:sz="0" w:space="0" w:color="auto"/>
                <w:left w:val="none" w:sz="0" w:space="0" w:color="auto"/>
                <w:bottom w:val="none" w:sz="0" w:space="0" w:color="auto"/>
                <w:right w:val="none" w:sz="0" w:space="0" w:color="auto"/>
              </w:divBdr>
              <w:divsChild>
                <w:div w:id="20969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5315">
      <w:marLeft w:val="0"/>
      <w:marRight w:val="0"/>
      <w:marTop w:val="0"/>
      <w:marBottom w:val="0"/>
      <w:divBdr>
        <w:top w:val="none" w:sz="0" w:space="0" w:color="auto"/>
        <w:left w:val="none" w:sz="0" w:space="0" w:color="auto"/>
        <w:bottom w:val="none" w:sz="0" w:space="0" w:color="auto"/>
        <w:right w:val="none" w:sz="0" w:space="0" w:color="auto"/>
      </w:divBdr>
      <w:divsChild>
        <w:div w:id="2096975307">
          <w:marLeft w:val="0"/>
          <w:marRight w:val="0"/>
          <w:marTop w:val="0"/>
          <w:marBottom w:val="0"/>
          <w:divBdr>
            <w:top w:val="none" w:sz="0" w:space="0" w:color="auto"/>
            <w:left w:val="none" w:sz="0" w:space="0" w:color="auto"/>
            <w:bottom w:val="none" w:sz="0" w:space="0" w:color="auto"/>
            <w:right w:val="none" w:sz="0" w:space="0" w:color="auto"/>
          </w:divBdr>
          <w:divsChild>
            <w:div w:id="2096975310">
              <w:marLeft w:val="0"/>
              <w:marRight w:val="0"/>
              <w:marTop w:val="0"/>
              <w:marBottom w:val="0"/>
              <w:divBdr>
                <w:top w:val="none" w:sz="0" w:space="0" w:color="auto"/>
                <w:left w:val="none" w:sz="0" w:space="0" w:color="auto"/>
                <w:bottom w:val="none" w:sz="0" w:space="0" w:color="auto"/>
                <w:right w:val="none" w:sz="0" w:space="0" w:color="auto"/>
              </w:divBdr>
              <w:divsChild>
                <w:div w:id="20969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5316">
      <w:marLeft w:val="0"/>
      <w:marRight w:val="0"/>
      <w:marTop w:val="0"/>
      <w:marBottom w:val="0"/>
      <w:divBdr>
        <w:top w:val="none" w:sz="0" w:space="0" w:color="auto"/>
        <w:left w:val="none" w:sz="0" w:space="0" w:color="auto"/>
        <w:bottom w:val="none" w:sz="0" w:space="0" w:color="auto"/>
        <w:right w:val="none" w:sz="0" w:space="0" w:color="auto"/>
      </w:divBdr>
    </w:div>
    <w:div w:id="2096975317">
      <w:marLeft w:val="0"/>
      <w:marRight w:val="0"/>
      <w:marTop w:val="0"/>
      <w:marBottom w:val="0"/>
      <w:divBdr>
        <w:top w:val="none" w:sz="0" w:space="0" w:color="auto"/>
        <w:left w:val="none" w:sz="0" w:space="0" w:color="auto"/>
        <w:bottom w:val="none" w:sz="0" w:space="0" w:color="auto"/>
        <w:right w:val="none" w:sz="0" w:space="0" w:color="auto"/>
      </w:divBdr>
    </w:div>
    <w:div w:id="2096975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15</Pages>
  <Words>5310</Words>
  <Characters>30273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2018-09-14T08:49:00Z</dcterms:created>
  <dcterms:modified xsi:type="dcterms:W3CDTF">2018-09-14T08:49:00Z</dcterms:modified>
</cp:coreProperties>
</file>