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D2A" w:rsidRDefault="00275D2A" w:rsidP="00C21AF9">
      <w:pPr>
        <w:pStyle w:val="Heading1"/>
        <w:jc w:val="center"/>
        <w:rPr>
          <w:rFonts w:ascii="Times New Roman" w:hAnsi="Times New Roman"/>
          <w:b w:val="0"/>
          <w:i/>
          <w:sz w:val="22"/>
          <w:szCs w:val="22"/>
        </w:rPr>
      </w:pPr>
      <w:r w:rsidRPr="00C21AF9">
        <w:rPr>
          <w:sz w:val="18"/>
          <w:szCs w:val="18"/>
        </w:rPr>
        <w:t xml:space="preserve">TRANZICIJA/TRANSITION                                                                                                                                        </w:t>
      </w:r>
      <w:r w:rsidRPr="00C21AF9">
        <w:rPr>
          <w:sz w:val="18"/>
          <w:szCs w:val="18"/>
          <w:u w:val="single"/>
        </w:rPr>
        <w:t xml:space="preserve">                    </w:t>
      </w:r>
      <w:r w:rsidRPr="00C21AF9">
        <w:rPr>
          <w:sz w:val="18"/>
          <w:szCs w:val="18"/>
          <w:bdr w:val="single" w:sz="4" w:space="0" w:color="auto"/>
        </w:rPr>
        <w:t xml:space="preserve">Časopis za ekonomiju i politiku tranzicije  /  Journal of economic and politics of Transition     </w:t>
      </w:r>
      <w:r>
        <w:rPr>
          <w:sz w:val="18"/>
          <w:szCs w:val="18"/>
          <w:bdr w:val="single" w:sz="4" w:space="0" w:color="auto"/>
        </w:rPr>
        <w:t xml:space="preserve">                     Godina XX</w:t>
      </w:r>
      <w:r w:rsidRPr="00C21AF9">
        <w:rPr>
          <w:sz w:val="18"/>
          <w:szCs w:val="18"/>
          <w:bdr w:val="single" w:sz="4" w:space="0" w:color="auto"/>
        </w:rPr>
        <w:t xml:space="preserve">                                     Vitez-Tuzla-Zagreb-Beograd-Bukurešt, 201</w:t>
      </w:r>
      <w:r>
        <w:rPr>
          <w:sz w:val="18"/>
          <w:szCs w:val="18"/>
          <w:bdr w:val="single" w:sz="4" w:space="0" w:color="auto"/>
        </w:rPr>
        <w:t>8</w:t>
      </w:r>
      <w:r w:rsidRPr="00C21AF9">
        <w:rPr>
          <w:sz w:val="18"/>
          <w:szCs w:val="18"/>
          <w:bdr w:val="single" w:sz="4" w:space="0" w:color="auto"/>
        </w:rPr>
        <w:t xml:space="preserve">.           </w:t>
      </w:r>
      <w:r>
        <w:rPr>
          <w:sz w:val="18"/>
          <w:szCs w:val="18"/>
          <w:bdr w:val="single" w:sz="4" w:space="0" w:color="auto"/>
        </w:rPr>
        <w:t xml:space="preserve">                           Br. 41</w:t>
      </w:r>
      <w:r w:rsidRPr="00732F73">
        <w:rPr>
          <w:sz w:val="20"/>
        </w:rPr>
        <w:t xml:space="preserve"> </w:t>
      </w:r>
      <w:r>
        <w:rPr>
          <w:i/>
        </w:rPr>
        <w:t xml:space="preserve">             </w:t>
      </w:r>
      <w:r>
        <w:rPr>
          <w:i/>
        </w:rPr>
        <w:tab/>
      </w:r>
      <w:r>
        <w:rPr>
          <w:i/>
        </w:rPr>
        <w:tab/>
      </w:r>
      <w:r>
        <w:rPr>
          <w:rFonts w:ascii="Times New Roman" w:hAnsi="Times New Roman"/>
          <w:b w:val="0"/>
          <w:i/>
          <w:sz w:val="22"/>
          <w:szCs w:val="22"/>
        </w:rPr>
        <w:t xml:space="preserve">                        </w:t>
      </w:r>
      <w:r w:rsidRPr="000F7BB1">
        <w:rPr>
          <w:rFonts w:ascii="Times New Roman" w:hAnsi="Times New Roman"/>
          <w:b w:val="0"/>
          <w:i/>
          <w:sz w:val="22"/>
          <w:szCs w:val="22"/>
        </w:rPr>
        <w:t xml:space="preserve">          </w:t>
      </w:r>
      <w:r>
        <w:rPr>
          <w:rFonts w:ascii="Times New Roman" w:hAnsi="Times New Roman"/>
          <w:b w:val="0"/>
          <w:i/>
          <w:sz w:val="22"/>
          <w:szCs w:val="22"/>
        </w:rPr>
        <w:t xml:space="preserve">    </w:t>
      </w:r>
    </w:p>
    <w:p w:rsidR="00275D2A" w:rsidRPr="00B46E8E" w:rsidRDefault="00275D2A" w:rsidP="00B46E8E">
      <w:pPr>
        <w:pStyle w:val="Heading2"/>
      </w:pPr>
      <w:r>
        <w:t>Pregledni</w:t>
      </w:r>
      <w:r w:rsidRPr="00B46E8E">
        <w:t xml:space="preserve"> rad                                                                                                                     Review article</w:t>
      </w:r>
    </w:p>
    <w:p w:rsidR="00275D2A" w:rsidRPr="007739CC" w:rsidRDefault="00275D2A" w:rsidP="0055314E">
      <w:pPr>
        <w:jc w:val="right"/>
        <w:rPr>
          <w:i/>
          <w:lang w:val="hr-BA"/>
        </w:rPr>
      </w:pPr>
      <w:r w:rsidRPr="001D2F5E">
        <w:rPr>
          <w:b/>
          <w:i/>
        </w:rPr>
        <w:t>JEL Classification</w:t>
      </w:r>
      <w:r w:rsidRPr="007739CC">
        <w:rPr>
          <w:i/>
        </w:rPr>
        <w:t xml:space="preserve">: </w:t>
      </w:r>
      <w:r w:rsidRPr="00B46E8E">
        <w:rPr>
          <w:i/>
          <w:lang w:val="hr-BA"/>
        </w:rPr>
        <w:t>G32, G28</w:t>
      </w:r>
    </w:p>
    <w:p w:rsidR="00275D2A" w:rsidRPr="00B53F42" w:rsidRDefault="00275D2A" w:rsidP="002E5E01">
      <w:pPr>
        <w:pStyle w:val="NoSpacing"/>
        <w:rPr>
          <w:rFonts w:ascii="Times New Roman" w:hAnsi="Times New Roman"/>
        </w:rPr>
      </w:pPr>
      <w:r>
        <w:rPr>
          <w:rFonts w:ascii="Times New Roman" w:hAnsi="Times New Roman"/>
        </w:rPr>
        <w:t>Slavko Vukić</w:t>
      </w:r>
      <w:r w:rsidRPr="00AE0170">
        <w:rPr>
          <w:rStyle w:val="FootnoteReference"/>
          <w:rFonts w:ascii="Times New Roman" w:hAnsi="Times New Roman"/>
        </w:rPr>
        <w:footnoteReference w:customMarkFollows="1" w:id="1"/>
        <w:t>*</w:t>
      </w:r>
      <w:r>
        <w:rPr>
          <w:rFonts w:ascii="Times New Roman" w:hAnsi="Times New Roman"/>
        </w:rPr>
        <w:t xml:space="preserve"> </w:t>
      </w:r>
    </w:p>
    <w:p w:rsidR="00275D2A" w:rsidRPr="0055314E" w:rsidRDefault="00275D2A" w:rsidP="0055314E">
      <w:pPr>
        <w:jc w:val="center"/>
        <w:rPr>
          <w:b/>
          <w:sz w:val="32"/>
          <w:szCs w:val="32"/>
          <w:lang w:val="hr-BA"/>
        </w:rPr>
      </w:pPr>
      <w:bookmarkStart w:id="0" w:name="_Toc462440602"/>
      <w:r w:rsidRPr="0055314E">
        <w:rPr>
          <w:b/>
          <w:sz w:val="32"/>
          <w:szCs w:val="32"/>
          <w:lang w:val="hr-BA"/>
        </w:rPr>
        <w:t xml:space="preserve">DVOSTRUKI DEFICIT – FISKALNI I EKONOMSKI PROBLEMI BOSNE I HERCEGOVINE </w:t>
      </w:r>
    </w:p>
    <w:p w:rsidR="00275D2A" w:rsidRPr="0055314E" w:rsidRDefault="00275D2A" w:rsidP="0055314E">
      <w:pPr>
        <w:jc w:val="center"/>
        <w:rPr>
          <w:b/>
          <w:sz w:val="32"/>
          <w:szCs w:val="32"/>
        </w:rPr>
      </w:pPr>
      <w:r w:rsidRPr="0055314E">
        <w:rPr>
          <w:b/>
          <w:sz w:val="32"/>
          <w:szCs w:val="32"/>
        </w:rPr>
        <w:t>DOUBLE DEFICIT - FISCAL AND ECONOMIC PROBLEMS BOSNIA AND HERZEGOVINA</w:t>
      </w:r>
    </w:p>
    <w:p w:rsidR="00275D2A" w:rsidRPr="001872D2" w:rsidRDefault="00275D2A" w:rsidP="0083709C">
      <w:r w:rsidRPr="0083709C">
        <w:rPr>
          <w:b/>
          <w:i/>
        </w:rPr>
        <w:t>S</w:t>
      </w:r>
      <w:r>
        <w:rPr>
          <w:b/>
          <w:i/>
        </w:rPr>
        <w:t>až</w:t>
      </w:r>
      <w:r w:rsidRPr="0083709C">
        <w:rPr>
          <w:b/>
          <w:i/>
        </w:rPr>
        <w:t xml:space="preserve">etak </w:t>
      </w:r>
    </w:p>
    <w:bookmarkEnd w:id="0"/>
    <w:p w:rsidR="00275D2A" w:rsidRPr="00C5661A" w:rsidRDefault="00275D2A" w:rsidP="00C5661A">
      <w:pPr>
        <w:ind w:left="720"/>
        <w:rPr>
          <w:i/>
          <w:color w:val="D24726"/>
        </w:rPr>
      </w:pPr>
      <w:r w:rsidRPr="00C5661A">
        <w:rPr>
          <w:i/>
          <w:lang w:val="hr-BA"/>
        </w:rPr>
        <w:t>Analiza dvostrukog deficita kao fiskalnog i ekonomskog problema u Bosni i Hercegovini se odnosi na kretanje proračunskog deficita i deficita tekućeg računa platne bilance u razdoblju 2007.-2016. godine. Utjecaj svjetske financijske krize na ekonomiju Bosne i Hercegovine u navedenom razdoblju utvrđen je temeljem analize temeljnih makroekonomskim pokazatelja. Evidentna fiskalna neravnoteža utvrđena je temeljem fiskalne bilance opće države i javnog duga i njegove valutne strukture. Poseban naglasak je dat na negativne tendencije tekućeg računa platne bilance i vanjskog duga. Navedeni fiskalni pokazatelji impliciraju kronični proračunski deficit u dužem vremenskom razdoblju koji se uglavnom financiraju iz tuđih izvora.</w:t>
      </w:r>
      <w:r>
        <w:rPr>
          <w:i/>
          <w:color w:val="D24726"/>
        </w:rPr>
        <w:t xml:space="preserve">                                                             </w:t>
      </w:r>
      <w:r>
        <w:rPr>
          <w:i/>
          <w:color w:val="D24726"/>
        </w:rPr>
        <w:tab/>
      </w:r>
      <w:r>
        <w:rPr>
          <w:i/>
          <w:color w:val="D24726"/>
        </w:rPr>
        <w:tab/>
        <w:t xml:space="preserve">                    </w:t>
      </w:r>
      <w:r w:rsidRPr="00C5661A">
        <w:rPr>
          <w:b/>
          <w:i/>
          <w:lang w:val="hr-BA"/>
        </w:rPr>
        <w:t>Ključne riječi</w:t>
      </w:r>
      <w:r w:rsidRPr="00C5661A">
        <w:rPr>
          <w:i/>
          <w:lang w:val="hr-BA"/>
        </w:rPr>
        <w:t>: proračunski deficit, deficit tekućeg računa, javni dug.</w:t>
      </w:r>
    </w:p>
    <w:p w:rsidR="00275D2A" w:rsidRDefault="00275D2A" w:rsidP="00C5661A">
      <w:r w:rsidRPr="005F24A5">
        <w:rPr>
          <w:b/>
          <w:i/>
        </w:rPr>
        <w:t>Abstract</w:t>
      </w:r>
    </w:p>
    <w:p w:rsidR="00275D2A" w:rsidRDefault="00275D2A" w:rsidP="00E47316">
      <w:pPr>
        <w:ind w:left="720"/>
        <w:rPr>
          <w:i/>
        </w:rPr>
      </w:pPr>
      <w:r w:rsidRPr="005F24A5">
        <w:rPr>
          <w:i/>
        </w:rPr>
        <w:t>The analysis of the double deficit as a fiscal and economic problem in Bosnia and Herzegovina relates to the movement of the budget deficit and the current account deficit in the period 2007-2016. years. The impact of the global financial crisis on the economy of Bosnia and Herzegovina in this period was determined based on an analysis of fundamental macroeconomic indicators. The evident fiscal imbalance was established on the basis of the fiscal balance of the general government and the public debt and its currency structure. Special emphasis is given to the negative tendencies of the current account of balance of payments and external debt. These fiscal indicators imply a chronic budget deficit over a longer period of time, which is mainly funded from other sources.</w:t>
      </w:r>
      <w:r>
        <w:rPr>
          <w:i/>
        </w:rPr>
        <w:t xml:space="preserve">                     </w:t>
      </w:r>
      <w:r w:rsidRPr="005F24A5">
        <w:rPr>
          <w:b/>
          <w:i/>
        </w:rPr>
        <w:t>Key words</w:t>
      </w:r>
      <w:r w:rsidRPr="005F24A5">
        <w:rPr>
          <w:i/>
        </w:rPr>
        <w:t>: budget deficit, current account deficit, public debt.</w:t>
      </w:r>
    </w:p>
    <w:p w:rsidR="00275D2A" w:rsidRDefault="00275D2A" w:rsidP="00E47316">
      <w:pPr>
        <w:rPr>
          <w:i/>
        </w:rPr>
      </w:pPr>
    </w:p>
    <w:p w:rsidR="00275D2A" w:rsidRDefault="00275D2A" w:rsidP="00E47316">
      <w:pPr>
        <w:rPr>
          <w:i/>
        </w:rPr>
      </w:pPr>
      <w:r>
        <w:rPr>
          <w:b/>
          <w:lang w:val="hr-BA"/>
        </w:rPr>
        <w:t>UVOD</w:t>
      </w:r>
    </w:p>
    <w:p w:rsidR="00275D2A" w:rsidRDefault="00275D2A" w:rsidP="00E47316">
      <w:pPr>
        <w:ind w:firstLine="720"/>
        <w:rPr>
          <w:i/>
        </w:rPr>
      </w:pPr>
      <w:r>
        <w:rPr>
          <w:lang w:val="hr-BA"/>
        </w:rPr>
        <w:t xml:space="preserve">Sukladno većini suvremenih financijskih teoretičara problem dvostrukog deficita predstavlja dugoročan odnos između proračunskog deficita i deficita tekućeg računa. Problem se intenzivnije proučava u drugoj polovini XX. stoljeća, kada se pojavljuju negativni trend dobi ekonomskih neravnoteža u nekim značajnijim suvremenim gospodarstvima. Kod nekih država se troše sredstva više nego što se mogu proizvesti - deficit, dok je kod nekih država javna potrošnja manja od proizvodnje - suficit i odlaže se za naredno razdoblje. Takve situacije ovise od poreznog sustava, trgovinskih odnosa, deviznih tečajeva i niza ostalih faktora pod utjecajem međunarodnog okruženja. </w:t>
      </w:r>
      <w:r>
        <w:rPr>
          <w:i/>
        </w:rPr>
        <w:tab/>
      </w:r>
      <w:r>
        <w:rPr>
          <w:i/>
        </w:rPr>
        <w:tab/>
      </w:r>
      <w:r>
        <w:rPr>
          <w:lang w:val="hr-BA"/>
        </w:rPr>
        <w:t>Svjetska ekonomska kriza utjecala je na produbljivanje dvostrukog fiskalnog deficita, s obzirom da je u tom razdoblju došlo do značajnog rasta proračunske potrošnje kod većine suvremenih država. Cilj rasta javne potrošnje bio je izbjegavanje ekonomskog kolapsa i ublažavanje negativnih učinaka ekonomske krize.  Ekonomska kriza je snažnije utjecala na slabija gospodarstva kakvo je Bosna i Hercegovina, s obzirom da je proračunski deficit i deficit tekućeg računa i prije krize bio kronična pojava. Bosna i Hercegovina nema dovoljno sredstava u obliku domaće štednje, kako bi financirala preveliku državnu potrošnju, stoga u izvjesnoj mjeri gubi dio svoje ekonomske samostalnosti, tako što je prepuštena inozemnim kreditnim institucijama i stanju na financijskom tržištu.</w:t>
      </w:r>
      <w:r>
        <w:rPr>
          <w:i/>
        </w:rPr>
        <w:tab/>
      </w:r>
      <w:r>
        <w:rPr>
          <w:i/>
        </w:rPr>
        <w:tab/>
      </w:r>
      <w:r>
        <w:rPr>
          <w:i/>
        </w:rPr>
        <w:tab/>
      </w:r>
      <w:r>
        <w:rPr>
          <w:i/>
        </w:rPr>
        <w:tab/>
      </w:r>
      <w:r>
        <w:rPr>
          <w:i/>
        </w:rPr>
        <w:tab/>
      </w:r>
      <w:r>
        <w:rPr>
          <w:i/>
        </w:rPr>
        <w:tab/>
      </w:r>
      <w:r>
        <w:rPr>
          <w:i/>
        </w:rPr>
        <w:tab/>
      </w:r>
      <w:r>
        <w:rPr>
          <w:i/>
        </w:rPr>
        <w:tab/>
      </w:r>
      <w:r>
        <w:rPr>
          <w:i/>
        </w:rPr>
        <w:tab/>
      </w:r>
      <w:r>
        <w:rPr>
          <w:i/>
        </w:rPr>
        <w:tab/>
      </w:r>
      <w:r>
        <w:rPr>
          <w:lang w:val="hr-BA"/>
        </w:rPr>
        <w:t>Cilj rada je objasniti teorijsku pretpostavku za postojanje dvostrukog deficita, da se ukaže na značaj koji deficit može imati na razvitak nacionalnog gospodarstva sa osvrtom na stanje ekonomije Bosne i Hercegovine. Ključne pretpostavke rada se odnose na procjenu rasta proračunskog deficita i njegovog utjecaja na saldo tekućeg računa te utjecaja deficita tekućeg računa na investicijsku potrošnju u Bosni i Hercegovini. U radu se primjenjuje metodologija temeljena na proučavanju i opisnoj analizi istraživanog problema. Polazeći od relevantne literature analizira se veza proračunskog deficita i deficita tekućeg računa. Posebno se analizira stanje tih pokazatelja u ekonomiji Bosne i Hercegovine u razdoblju 1997.-2016. godine, kako bi se došlo do odgovora da li je postojao bitan utjecaj takvih pojava na razvoj domaće bh ekonomije.</w:t>
      </w:r>
    </w:p>
    <w:p w:rsidR="00275D2A" w:rsidRPr="00E47316" w:rsidRDefault="00275D2A" w:rsidP="00E47316">
      <w:pPr>
        <w:pStyle w:val="ListParagraph"/>
        <w:numPr>
          <w:ilvl w:val="0"/>
          <w:numId w:val="16"/>
        </w:numPr>
        <w:rPr>
          <w:i/>
          <w:lang w:val="en-GB"/>
        </w:rPr>
      </w:pPr>
      <w:r w:rsidRPr="00E47316">
        <w:rPr>
          <w:b/>
          <w:lang w:val="hr-BA"/>
        </w:rPr>
        <w:t>Teorijske veze proračunskog deficita i deficita tekućeg računa</w:t>
      </w:r>
    </w:p>
    <w:p w:rsidR="00275D2A" w:rsidRPr="00E47316" w:rsidRDefault="00275D2A" w:rsidP="00E47316">
      <w:pPr>
        <w:ind w:firstLine="720"/>
        <w:rPr>
          <w:lang w:val="hr-BA"/>
        </w:rPr>
      </w:pPr>
      <w:r>
        <w:rPr>
          <w:lang w:val="hr-BA"/>
        </w:rPr>
        <w:t xml:space="preserve">Odnos između proračunskog deficita i deficita tekućeg računa države se može dokazivati preko tzv. nacionalnih računovodstvenih identiteta. Model se započinje sa identitetom tzv. </w:t>
      </w:r>
      <w:r>
        <w:rPr>
          <w:b/>
          <w:i/>
          <w:lang w:val="hr-BA"/>
        </w:rPr>
        <w:t>otvorenog gospodarstva</w:t>
      </w:r>
      <w:r>
        <w:rPr>
          <w:lang w:val="hr-BA"/>
        </w:rPr>
        <w:t xml:space="preserve">, pri čemu se smatra da država može dio svog BDP-a da izvoze u inozemstvo i da se dio inozemnog proizvoda koristi u toj državi, pri čemu se stvara neravnoteža  između proizvodnje i potrošnje dobara i usluga. </w:t>
      </w:r>
      <w:r>
        <w:rPr>
          <w:lang w:val="hr-BA"/>
        </w:rPr>
        <w:tab/>
      </w:r>
      <w:r>
        <w:rPr>
          <w:lang w:val="hr-BA"/>
        </w:rPr>
        <w:tab/>
        <w:t xml:space="preserve">Identitet otvorenog gospodarstva se prikazuje putem posebne formule:                 </w:t>
      </w:r>
      <w:r>
        <w:rPr>
          <w:b/>
          <w:lang w:val="hr-BA"/>
        </w:rPr>
        <w:t>Y = C + I + G + X – Z</w:t>
      </w:r>
      <w:r w:rsidRPr="005F24A5">
        <w:rPr>
          <w:lang w:val="hr-BA"/>
        </w:rPr>
        <w:t>, pri čemu su:</w:t>
      </w:r>
    </w:p>
    <w:p w:rsidR="00275D2A" w:rsidRPr="005F24A5" w:rsidRDefault="00275D2A" w:rsidP="005F24A5">
      <w:pPr>
        <w:pStyle w:val="Title"/>
        <w:ind w:left="720" w:firstLine="720"/>
        <w:rPr>
          <w:rFonts w:ascii="Times New Roman" w:hAnsi="Times New Roman"/>
          <w:sz w:val="24"/>
          <w:szCs w:val="24"/>
        </w:rPr>
      </w:pPr>
      <w:r w:rsidRPr="005F24A5">
        <w:rPr>
          <w:rFonts w:ascii="Times New Roman" w:hAnsi="Times New Roman"/>
          <w:sz w:val="24"/>
          <w:szCs w:val="24"/>
        </w:rPr>
        <w:t>Y - bruto društveni proizvod - BDP,</w:t>
      </w:r>
    </w:p>
    <w:p w:rsidR="00275D2A" w:rsidRPr="005F24A5" w:rsidRDefault="00275D2A" w:rsidP="005F24A5">
      <w:pPr>
        <w:pStyle w:val="Title"/>
        <w:ind w:left="720" w:firstLine="720"/>
        <w:rPr>
          <w:rFonts w:ascii="Times New Roman" w:hAnsi="Times New Roman"/>
          <w:sz w:val="24"/>
          <w:szCs w:val="24"/>
        </w:rPr>
      </w:pPr>
      <w:r w:rsidRPr="005F24A5">
        <w:rPr>
          <w:rFonts w:ascii="Times New Roman" w:hAnsi="Times New Roman"/>
          <w:sz w:val="24"/>
          <w:szCs w:val="24"/>
        </w:rPr>
        <w:t>C - tekuća potrošnja,</w:t>
      </w:r>
    </w:p>
    <w:p w:rsidR="00275D2A" w:rsidRPr="005F24A5" w:rsidRDefault="00275D2A" w:rsidP="005F24A5">
      <w:pPr>
        <w:pStyle w:val="Title"/>
        <w:ind w:left="720" w:firstLine="720"/>
        <w:rPr>
          <w:rFonts w:ascii="Times New Roman" w:hAnsi="Times New Roman"/>
          <w:sz w:val="24"/>
          <w:szCs w:val="24"/>
        </w:rPr>
      </w:pPr>
      <w:r w:rsidRPr="005F24A5">
        <w:rPr>
          <w:rFonts w:ascii="Times New Roman" w:hAnsi="Times New Roman"/>
          <w:sz w:val="24"/>
          <w:szCs w:val="24"/>
        </w:rPr>
        <w:t>I - investicijska potrošnja,</w:t>
      </w:r>
    </w:p>
    <w:p w:rsidR="00275D2A" w:rsidRPr="005F24A5" w:rsidRDefault="00275D2A" w:rsidP="005F24A5">
      <w:pPr>
        <w:pStyle w:val="Title"/>
        <w:ind w:left="720" w:firstLine="720"/>
        <w:rPr>
          <w:rFonts w:ascii="Times New Roman" w:hAnsi="Times New Roman"/>
          <w:sz w:val="24"/>
          <w:szCs w:val="24"/>
        </w:rPr>
      </w:pPr>
      <w:r w:rsidRPr="005F24A5">
        <w:rPr>
          <w:rFonts w:ascii="Times New Roman" w:hAnsi="Times New Roman"/>
          <w:sz w:val="24"/>
          <w:szCs w:val="24"/>
        </w:rPr>
        <w:t>G - proračunska potrošnja,</w:t>
      </w:r>
    </w:p>
    <w:p w:rsidR="00275D2A" w:rsidRPr="005F24A5" w:rsidRDefault="00275D2A" w:rsidP="005F24A5">
      <w:pPr>
        <w:pStyle w:val="Title"/>
        <w:ind w:left="720" w:firstLine="720"/>
        <w:rPr>
          <w:rFonts w:ascii="Times New Roman" w:hAnsi="Times New Roman"/>
          <w:sz w:val="24"/>
          <w:szCs w:val="24"/>
        </w:rPr>
      </w:pPr>
      <w:r w:rsidRPr="005F24A5">
        <w:rPr>
          <w:rFonts w:ascii="Times New Roman" w:hAnsi="Times New Roman"/>
          <w:sz w:val="24"/>
          <w:szCs w:val="24"/>
        </w:rPr>
        <w:t>X - izvoz dobara i usluga i</w:t>
      </w:r>
    </w:p>
    <w:p w:rsidR="00275D2A" w:rsidRPr="005F24A5" w:rsidRDefault="00275D2A" w:rsidP="005F24A5">
      <w:pPr>
        <w:pStyle w:val="Title"/>
        <w:ind w:left="720" w:firstLine="720"/>
        <w:rPr>
          <w:rFonts w:ascii="Times New Roman" w:hAnsi="Times New Roman"/>
          <w:sz w:val="24"/>
          <w:szCs w:val="24"/>
        </w:rPr>
      </w:pPr>
      <w:r w:rsidRPr="005F24A5">
        <w:rPr>
          <w:rFonts w:ascii="Times New Roman" w:hAnsi="Times New Roman"/>
          <w:sz w:val="24"/>
          <w:szCs w:val="24"/>
        </w:rPr>
        <w:t xml:space="preserve">Z - uvoz dobara i usluga. </w:t>
      </w:r>
    </w:p>
    <w:p w:rsidR="00275D2A" w:rsidRPr="005F24A5" w:rsidRDefault="00275D2A" w:rsidP="005F24A5">
      <w:pPr>
        <w:pStyle w:val="Title"/>
        <w:ind w:left="1440"/>
        <w:rPr>
          <w:rFonts w:ascii="Times New Roman" w:hAnsi="Times New Roman"/>
          <w:sz w:val="24"/>
          <w:szCs w:val="24"/>
        </w:rPr>
      </w:pPr>
      <w:r w:rsidRPr="005F24A5">
        <w:rPr>
          <w:rFonts w:ascii="Times New Roman" w:hAnsi="Times New Roman"/>
          <w:sz w:val="24"/>
          <w:szCs w:val="24"/>
        </w:rPr>
        <w:t>X - Z  - bilanca tekućeg računa (</w:t>
      </w:r>
      <w:r w:rsidRPr="005F24A5">
        <w:rPr>
          <w:rFonts w:ascii="Times New Roman" w:hAnsi="Times New Roman"/>
          <w:i/>
          <w:sz w:val="24"/>
          <w:szCs w:val="24"/>
        </w:rPr>
        <w:t>saldo neto dohotka i tekućih transfera se u ovim analizama zanemaruje</w:t>
      </w:r>
      <w:r w:rsidRPr="005F24A5">
        <w:rPr>
          <w:rFonts w:ascii="Times New Roman" w:hAnsi="Times New Roman"/>
          <w:sz w:val="24"/>
          <w:szCs w:val="24"/>
        </w:rPr>
        <w:t>)</w:t>
      </w:r>
    </w:p>
    <w:p w:rsidR="00275D2A" w:rsidRDefault="00275D2A" w:rsidP="005F24A5">
      <w:pPr>
        <w:ind w:firstLine="720"/>
        <w:rPr>
          <w:lang w:val="hr-BA"/>
        </w:rPr>
      </w:pPr>
      <w:r>
        <w:rPr>
          <w:b/>
          <w:i/>
          <w:lang w:val="hr-BA"/>
        </w:rPr>
        <w:t>Tekući račun</w:t>
      </w:r>
      <w:r>
        <w:rPr>
          <w:lang w:val="hr-BA"/>
        </w:rPr>
        <w:t xml:space="preserve"> se definira kao razlika između izvoza i uvoza roba i usluga, uvećana za saldo neto dohotka i tekućih transfera. Saldo tekućeg računa ili tekuća bilanca plaćanja određene države ukazuje na pravac i opseg kretanja međunarodnog kapitala. Kada je uvoz roba i usluga veći od izvoza roba i usluga, </w:t>
      </w:r>
      <w:r>
        <w:rPr>
          <w:b/>
          <w:i/>
          <w:lang w:val="hr-BA"/>
        </w:rPr>
        <w:t>tekuća bilanca plaćanja je u deficitu</w:t>
      </w:r>
      <w:r>
        <w:rPr>
          <w:lang w:val="hr-BA"/>
        </w:rPr>
        <w:t xml:space="preserve"> , što se može financirati zaduženjem u inozemstvu ili kod privatnog sektora, a država sa deficitom povećava svoje vanjsko zaduženje za iznos tog deficita. </w:t>
      </w:r>
      <w:r>
        <w:rPr>
          <w:lang w:val="hr-BA"/>
        </w:rPr>
        <w:tab/>
      </w:r>
      <w:r>
        <w:t xml:space="preserve">Najznačajniji problem kod otvorenog gospodarstva je to što se štednja može razlikovati od investicija. U ovom slučaju, štednja se može prikazati kao </w:t>
      </w:r>
      <w:r>
        <w:rPr>
          <w:b/>
        </w:rPr>
        <w:t xml:space="preserve">S = I + CA, </w:t>
      </w:r>
      <w:r>
        <w:t xml:space="preserve">što znači da ako je bilanca tekućeg računa pozitivna da takva država više izvozi nego što uvozi, a štednja je veća od investicija te suficit bilance tekućeg računa ima obilježje neto inozemnih investicija. Kako bi se uspostavila veza između dva pomenuta deficita, potrebno je štednju razlučiti na </w:t>
      </w:r>
      <w:r>
        <w:rPr>
          <w:b/>
        </w:rPr>
        <w:t>privatnu (Sp) i državnu (Sg</w:t>
      </w:r>
      <w:r>
        <w:t xml:space="preserve">) - </w:t>
      </w:r>
      <w:r>
        <w:rPr>
          <w:b/>
        </w:rPr>
        <w:t>S = Sp + Sg</w:t>
      </w:r>
      <w:r>
        <w:t xml:space="preserve">. Državna štednja se dobija kada se od poreznih prihoda države (T) oduzme državna proračunska potrošnja </w:t>
      </w:r>
      <w:r>
        <w:rPr>
          <w:b/>
        </w:rPr>
        <w:t>(G) - Sg = T - G</w:t>
      </w:r>
      <w:r>
        <w:t xml:space="preserve">. Ovaj izraz predstavlja proračunsku bilancu i ukoliko je </w:t>
      </w:r>
      <w:r>
        <w:rPr>
          <w:b/>
        </w:rPr>
        <w:t>Sg &lt; 0</w:t>
      </w:r>
      <w:r>
        <w:t xml:space="preserve"> to implicira da postoji „negativna“ štednja, ili deficit proračuna </w:t>
      </w:r>
      <w:r>
        <w:rPr>
          <w:b/>
        </w:rPr>
        <w:t>(G - T)</w:t>
      </w:r>
      <w:r>
        <w:t xml:space="preserve">  ili obrnuto ukoliko je </w:t>
      </w:r>
      <w:r>
        <w:rPr>
          <w:b/>
        </w:rPr>
        <w:t xml:space="preserve">Sg &gt; 0 </w:t>
      </w:r>
      <w:r>
        <w:t xml:space="preserve">postoji proračunski suficit. Na temelju prethodnog izraza, bilans tekućeg računa će biti jednak razlici izraza </w:t>
      </w:r>
      <w:r>
        <w:rPr>
          <w:b/>
        </w:rPr>
        <w:t>(Sp - I) i (G - T): CA = (Sp - I) - (G - T)</w:t>
      </w:r>
      <w:r>
        <w:t>, čime su dovedeni u vezu budžetski deficit i deficit tekućeg računa.</w:t>
      </w:r>
      <w:r>
        <w:rPr>
          <w:rStyle w:val="FootnoteReference"/>
        </w:rPr>
        <w:footnoteReference w:id="2"/>
      </w:r>
      <w:r>
        <w:t xml:space="preserve"> </w:t>
      </w:r>
      <w:r>
        <w:rPr>
          <w:lang w:val="hr-BA"/>
        </w:rPr>
        <w:tab/>
      </w:r>
      <w:r>
        <w:rPr>
          <w:lang w:val="hr-BA"/>
        </w:rPr>
        <w:tab/>
      </w:r>
      <w:r>
        <w:rPr>
          <w:lang w:val="hr-BA"/>
        </w:rPr>
        <w:tab/>
      </w:r>
      <w:r>
        <w:t xml:space="preserve">Dakle, temeljem navedenog izraza, ukoliko se investicije i privatna štednja ne menjaju, porast proračunskog deficita uvjetuje smanjenje suficita ili povećanje deficita tekućeg računa. Upravo ova pojava se u literaturi naziva dvostruki deficit. Međutim, ukoliko ova pretpostavka nije ispunjena i razina privatne štednje se može povećati ili se investicije mogu smanjiti, porast proračunskog deficita ne mora dovesti do rasta deficita tekućeg računa. Iz ovog razloga su i nastala dva teorijska pravca u kojima se, potvrđuje, </w:t>
      </w:r>
      <w:r>
        <w:rPr>
          <w:b/>
          <w:i/>
        </w:rPr>
        <w:t>uzročno posljedična veza između ovih deficita</w:t>
      </w:r>
      <w:r>
        <w:t>.</w:t>
      </w:r>
      <w:r>
        <w:rPr>
          <w:rStyle w:val="FootnoteReference"/>
        </w:rPr>
        <w:footnoteReference w:id="3"/>
      </w:r>
      <w:r>
        <w:rPr>
          <w:lang w:val="hr-BA"/>
        </w:rPr>
        <w:tab/>
      </w:r>
      <w:r>
        <w:rPr>
          <w:lang w:val="hr-BA"/>
        </w:rPr>
        <w:tab/>
      </w:r>
      <w:r>
        <w:rPr>
          <w:lang w:val="hr-BA"/>
        </w:rPr>
        <w:tab/>
      </w:r>
      <w:r>
        <w:rPr>
          <w:lang w:val="hr-BA"/>
        </w:rPr>
        <w:tab/>
      </w:r>
      <w:r>
        <w:rPr>
          <w:lang w:val="hr-BA"/>
        </w:rPr>
        <w:tab/>
        <w:t>Proračunski deficit je moguće financirati i povećanjem poreznog tereta, prodajom državne imovine ili zaduživanjem u zemlji ili inozemstvu. Praksa je dokazala da niti jedan način financiranja proračunskog deficita nije idealan i da dugotrajno stvara određene posljedice.</w:t>
      </w:r>
      <w:r>
        <w:rPr>
          <w:rStyle w:val="FootnoteReference"/>
          <w:lang w:val="hr-BA"/>
        </w:rPr>
        <w:footnoteReference w:id="4"/>
      </w:r>
    </w:p>
    <w:p w:rsidR="00275D2A" w:rsidRPr="005F24A5" w:rsidRDefault="00275D2A" w:rsidP="005F24A5">
      <w:pPr>
        <w:rPr>
          <w:lang w:val="hr-BA"/>
        </w:rPr>
      </w:pPr>
      <w:r w:rsidRPr="005F24A5">
        <w:rPr>
          <w:b/>
          <w:lang w:val="hr-BA"/>
        </w:rPr>
        <w:t>2. Utjecaj</w:t>
      </w:r>
      <w:r>
        <w:rPr>
          <w:b/>
          <w:lang w:val="hr-BA"/>
        </w:rPr>
        <w:t xml:space="preserve"> svjetske ekonomske krize na ekonomiju BiH</w:t>
      </w:r>
    </w:p>
    <w:p w:rsidR="00275D2A" w:rsidRDefault="00275D2A" w:rsidP="005F24A5">
      <w:pPr>
        <w:ind w:firstLine="720"/>
        <w:rPr>
          <w:lang w:val="hr-BA"/>
        </w:rPr>
      </w:pPr>
      <w:r>
        <w:rPr>
          <w:lang w:val="hr-BA"/>
        </w:rPr>
        <w:t xml:space="preserve">Tranzicijsko razdoblje u Bosni i Hercegovini započinje od 2000. godine. U to vrijeme bile su povoljni uvjeti u svjetskoj ekonomiji, a ekonomija BiH bilježila je zadovoljavajuće ekonomske rezultate.  Prekid svih pozitivnih ekonomskih trendova nastao je sa svjetskom ekonomskog krizom, koja nije mimoišla ni BiH.  U tablici je prikazano kretanje temeljnih makroekonomskih pokazatelja u razdoblju 2007.-2016. godine. Kod većine pokazatelja značajni pad vrijednosti nastao je 2009. godine, kao posljedica ekonomske krize. Slaba ekonomska situacija uvjetovala je pad priljeva inozemnog kapitala i stranih direktnih investicija.    </w:t>
      </w:r>
    </w:p>
    <w:p w:rsidR="00275D2A" w:rsidRPr="006557D8" w:rsidRDefault="00275D2A" w:rsidP="00C00EFF">
      <w:pPr>
        <w:rPr>
          <w:i/>
          <w:sz w:val="22"/>
          <w:szCs w:val="22"/>
          <w:lang w:val="hr-BA"/>
        </w:rPr>
      </w:pPr>
      <w:r w:rsidRPr="006557D8">
        <w:rPr>
          <w:i/>
          <w:sz w:val="22"/>
          <w:szCs w:val="22"/>
          <w:lang w:val="hr-BA"/>
        </w:rPr>
        <w:t>Tablica 1. Kretanje makroekonomskih pokazatelja BiH u razdoblju 2007.-2016. godine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68"/>
        <w:gridCol w:w="709"/>
        <w:gridCol w:w="709"/>
        <w:gridCol w:w="709"/>
        <w:gridCol w:w="708"/>
        <w:gridCol w:w="709"/>
        <w:gridCol w:w="709"/>
        <w:gridCol w:w="709"/>
        <w:gridCol w:w="708"/>
        <w:gridCol w:w="709"/>
        <w:gridCol w:w="709"/>
      </w:tblGrid>
      <w:tr w:rsidR="00275D2A" w:rsidRPr="003A69CB" w:rsidTr="00C00EFF">
        <w:trPr>
          <w:trHeight w:val="283"/>
        </w:trPr>
        <w:tc>
          <w:tcPr>
            <w:tcW w:w="2268" w:type="dxa"/>
            <w:shd w:val="clear" w:color="auto" w:fill="DBE5F1"/>
          </w:tcPr>
          <w:p w:rsidR="00275D2A" w:rsidRPr="00C00EFF" w:rsidRDefault="00275D2A">
            <w:pPr>
              <w:pStyle w:val="FootnoteText"/>
              <w:tabs>
                <w:tab w:val="left" w:pos="0"/>
              </w:tabs>
              <w:jc w:val="both"/>
              <w:outlineLvl w:val="2"/>
              <w:rPr>
                <w:b/>
                <w:sz w:val="22"/>
                <w:szCs w:val="22"/>
                <w:lang w:val="hr-HR"/>
              </w:rPr>
            </w:pPr>
            <w:r w:rsidRPr="00C00EFF">
              <w:rPr>
                <w:b/>
                <w:sz w:val="22"/>
                <w:szCs w:val="22"/>
              </w:rPr>
              <w:t>Država</w:t>
            </w:r>
          </w:p>
        </w:tc>
        <w:tc>
          <w:tcPr>
            <w:tcW w:w="7088" w:type="dxa"/>
            <w:gridSpan w:val="10"/>
            <w:shd w:val="clear" w:color="auto" w:fill="DBE5F1"/>
          </w:tcPr>
          <w:p w:rsidR="00275D2A" w:rsidRPr="00C00EFF" w:rsidRDefault="00275D2A">
            <w:pPr>
              <w:pStyle w:val="FootnoteText"/>
              <w:tabs>
                <w:tab w:val="left" w:pos="0"/>
              </w:tabs>
              <w:jc w:val="center"/>
              <w:outlineLvl w:val="2"/>
              <w:rPr>
                <w:b/>
                <w:sz w:val="22"/>
                <w:szCs w:val="22"/>
              </w:rPr>
            </w:pPr>
            <w:r w:rsidRPr="00C00EFF">
              <w:rPr>
                <w:b/>
                <w:sz w:val="22"/>
                <w:szCs w:val="22"/>
              </w:rPr>
              <w:t xml:space="preserve">Fiskalne godine </w:t>
            </w:r>
          </w:p>
        </w:tc>
      </w:tr>
      <w:tr w:rsidR="00275D2A" w:rsidRPr="003A69CB" w:rsidTr="00045D09">
        <w:trPr>
          <w:trHeight w:val="60"/>
        </w:trPr>
        <w:tc>
          <w:tcPr>
            <w:tcW w:w="2268" w:type="dxa"/>
          </w:tcPr>
          <w:p w:rsidR="00275D2A" w:rsidRPr="006557D8" w:rsidRDefault="00275D2A">
            <w:pPr>
              <w:pStyle w:val="FootnoteText"/>
              <w:tabs>
                <w:tab w:val="left" w:pos="0"/>
              </w:tabs>
              <w:jc w:val="both"/>
              <w:outlineLvl w:val="2"/>
              <w:rPr>
                <w:b/>
                <w:sz w:val="22"/>
                <w:szCs w:val="22"/>
              </w:rPr>
            </w:pPr>
          </w:p>
        </w:tc>
        <w:tc>
          <w:tcPr>
            <w:tcW w:w="709" w:type="dxa"/>
          </w:tcPr>
          <w:p w:rsidR="00275D2A" w:rsidRPr="006557D8" w:rsidRDefault="00275D2A">
            <w:pPr>
              <w:pStyle w:val="FootnoteText"/>
              <w:tabs>
                <w:tab w:val="left" w:pos="0"/>
              </w:tabs>
              <w:jc w:val="center"/>
              <w:outlineLvl w:val="2"/>
              <w:rPr>
                <w:b/>
                <w:sz w:val="22"/>
                <w:szCs w:val="22"/>
              </w:rPr>
            </w:pPr>
            <w:r w:rsidRPr="006557D8">
              <w:rPr>
                <w:b/>
                <w:sz w:val="22"/>
                <w:szCs w:val="22"/>
              </w:rPr>
              <w:t>2007</w:t>
            </w:r>
          </w:p>
        </w:tc>
        <w:tc>
          <w:tcPr>
            <w:tcW w:w="709" w:type="dxa"/>
          </w:tcPr>
          <w:p w:rsidR="00275D2A" w:rsidRPr="006557D8" w:rsidRDefault="00275D2A">
            <w:pPr>
              <w:pStyle w:val="FootnoteText"/>
              <w:tabs>
                <w:tab w:val="left" w:pos="0"/>
              </w:tabs>
              <w:jc w:val="center"/>
              <w:outlineLvl w:val="2"/>
              <w:rPr>
                <w:b/>
                <w:sz w:val="22"/>
                <w:szCs w:val="22"/>
              </w:rPr>
            </w:pPr>
            <w:r w:rsidRPr="006557D8">
              <w:rPr>
                <w:b/>
                <w:sz w:val="22"/>
                <w:szCs w:val="22"/>
              </w:rPr>
              <w:t>2008</w:t>
            </w:r>
          </w:p>
        </w:tc>
        <w:tc>
          <w:tcPr>
            <w:tcW w:w="709" w:type="dxa"/>
          </w:tcPr>
          <w:p w:rsidR="00275D2A" w:rsidRPr="006557D8" w:rsidRDefault="00275D2A">
            <w:pPr>
              <w:pStyle w:val="FootnoteText"/>
              <w:tabs>
                <w:tab w:val="left" w:pos="0"/>
              </w:tabs>
              <w:jc w:val="center"/>
              <w:outlineLvl w:val="2"/>
              <w:rPr>
                <w:b/>
                <w:sz w:val="22"/>
                <w:szCs w:val="22"/>
              </w:rPr>
            </w:pPr>
            <w:r w:rsidRPr="006557D8">
              <w:rPr>
                <w:b/>
                <w:sz w:val="22"/>
                <w:szCs w:val="22"/>
              </w:rPr>
              <w:t>2009</w:t>
            </w:r>
          </w:p>
        </w:tc>
        <w:tc>
          <w:tcPr>
            <w:tcW w:w="708" w:type="dxa"/>
          </w:tcPr>
          <w:p w:rsidR="00275D2A" w:rsidRPr="006557D8" w:rsidRDefault="00275D2A">
            <w:pPr>
              <w:pStyle w:val="FootnoteText"/>
              <w:tabs>
                <w:tab w:val="left" w:pos="0"/>
              </w:tabs>
              <w:outlineLvl w:val="2"/>
              <w:rPr>
                <w:b/>
                <w:sz w:val="22"/>
                <w:szCs w:val="22"/>
              </w:rPr>
            </w:pPr>
            <w:r w:rsidRPr="006557D8">
              <w:rPr>
                <w:b/>
                <w:sz w:val="22"/>
                <w:szCs w:val="22"/>
              </w:rPr>
              <w:t>2010</w:t>
            </w:r>
          </w:p>
        </w:tc>
        <w:tc>
          <w:tcPr>
            <w:tcW w:w="709" w:type="dxa"/>
          </w:tcPr>
          <w:p w:rsidR="00275D2A" w:rsidRPr="006557D8" w:rsidRDefault="00275D2A">
            <w:pPr>
              <w:pStyle w:val="FootnoteText"/>
              <w:tabs>
                <w:tab w:val="left" w:pos="-108"/>
              </w:tabs>
              <w:ind w:right="-108" w:hanging="108"/>
              <w:jc w:val="center"/>
              <w:outlineLvl w:val="2"/>
              <w:rPr>
                <w:b/>
                <w:sz w:val="22"/>
                <w:szCs w:val="22"/>
              </w:rPr>
            </w:pPr>
            <w:r w:rsidRPr="006557D8">
              <w:rPr>
                <w:b/>
                <w:sz w:val="22"/>
                <w:szCs w:val="22"/>
              </w:rPr>
              <w:t>2011</w:t>
            </w:r>
          </w:p>
        </w:tc>
        <w:tc>
          <w:tcPr>
            <w:tcW w:w="709" w:type="dxa"/>
          </w:tcPr>
          <w:p w:rsidR="00275D2A" w:rsidRPr="006557D8" w:rsidRDefault="00275D2A" w:rsidP="00C00EFF">
            <w:pPr>
              <w:pStyle w:val="FootnoteText"/>
              <w:tabs>
                <w:tab w:val="left" w:pos="0"/>
              </w:tabs>
              <w:jc w:val="center"/>
              <w:outlineLvl w:val="2"/>
              <w:rPr>
                <w:b/>
                <w:sz w:val="22"/>
                <w:szCs w:val="22"/>
              </w:rPr>
            </w:pPr>
            <w:r w:rsidRPr="006557D8">
              <w:rPr>
                <w:b/>
                <w:sz w:val="22"/>
                <w:szCs w:val="22"/>
              </w:rPr>
              <w:t>2012</w:t>
            </w:r>
          </w:p>
        </w:tc>
        <w:tc>
          <w:tcPr>
            <w:tcW w:w="709" w:type="dxa"/>
          </w:tcPr>
          <w:p w:rsidR="00275D2A" w:rsidRPr="006557D8" w:rsidRDefault="00275D2A">
            <w:pPr>
              <w:pStyle w:val="FootnoteText"/>
              <w:tabs>
                <w:tab w:val="left" w:pos="0"/>
              </w:tabs>
              <w:jc w:val="center"/>
              <w:outlineLvl w:val="2"/>
              <w:rPr>
                <w:b/>
                <w:sz w:val="22"/>
                <w:szCs w:val="22"/>
              </w:rPr>
            </w:pPr>
            <w:r w:rsidRPr="006557D8">
              <w:rPr>
                <w:b/>
                <w:sz w:val="22"/>
                <w:szCs w:val="22"/>
              </w:rPr>
              <w:t>2013</w:t>
            </w:r>
          </w:p>
        </w:tc>
        <w:tc>
          <w:tcPr>
            <w:tcW w:w="708" w:type="dxa"/>
          </w:tcPr>
          <w:p w:rsidR="00275D2A" w:rsidRPr="006557D8" w:rsidRDefault="00275D2A">
            <w:pPr>
              <w:pStyle w:val="FootnoteText"/>
              <w:tabs>
                <w:tab w:val="left" w:pos="0"/>
              </w:tabs>
              <w:jc w:val="center"/>
              <w:outlineLvl w:val="2"/>
              <w:rPr>
                <w:b/>
                <w:sz w:val="22"/>
                <w:szCs w:val="22"/>
              </w:rPr>
            </w:pPr>
            <w:r w:rsidRPr="006557D8">
              <w:rPr>
                <w:b/>
                <w:sz w:val="22"/>
                <w:szCs w:val="22"/>
              </w:rPr>
              <w:t>2014</w:t>
            </w:r>
          </w:p>
        </w:tc>
        <w:tc>
          <w:tcPr>
            <w:tcW w:w="709" w:type="dxa"/>
          </w:tcPr>
          <w:p w:rsidR="00275D2A" w:rsidRPr="006557D8" w:rsidRDefault="00275D2A">
            <w:pPr>
              <w:pStyle w:val="FootnoteText"/>
              <w:tabs>
                <w:tab w:val="left" w:pos="0"/>
              </w:tabs>
              <w:jc w:val="center"/>
              <w:outlineLvl w:val="2"/>
              <w:rPr>
                <w:b/>
                <w:sz w:val="22"/>
                <w:szCs w:val="22"/>
              </w:rPr>
            </w:pPr>
            <w:r w:rsidRPr="006557D8">
              <w:rPr>
                <w:b/>
                <w:sz w:val="22"/>
                <w:szCs w:val="22"/>
              </w:rPr>
              <w:t>2015</w:t>
            </w:r>
          </w:p>
        </w:tc>
        <w:tc>
          <w:tcPr>
            <w:tcW w:w="709" w:type="dxa"/>
          </w:tcPr>
          <w:p w:rsidR="00275D2A" w:rsidRPr="006557D8" w:rsidRDefault="00275D2A" w:rsidP="00C00EFF">
            <w:pPr>
              <w:pStyle w:val="FootnoteText"/>
              <w:tabs>
                <w:tab w:val="left" w:pos="0"/>
              </w:tabs>
              <w:jc w:val="center"/>
              <w:outlineLvl w:val="2"/>
              <w:rPr>
                <w:b/>
                <w:sz w:val="22"/>
                <w:szCs w:val="22"/>
              </w:rPr>
            </w:pPr>
            <w:r w:rsidRPr="006557D8">
              <w:rPr>
                <w:b/>
                <w:sz w:val="22"/>
                <w:szCs w:val="22"/>
              </w:rPr>
              <w:t>2016</w:t>
            </w:r>
          </w:p>
        </w:tc>
      </w:tr>
      <w:tr w:rsidR="00275D2A" w:rsidRPr="003A69CB" w:rsidTr="00045D09">
        <w:trPr>
          <w:trHeight w:val="60"/>
        </w:trPr>
        <w:tc>
          <w:tcPr>
            <w:tcW w:w="2268" w:type="dxa"/>
          </w:tcPr>
          <w:p w:rsidR="00275D2A" w:rsidRPr="006557D8" w:rsidRDefault="00275D2A">
            <w:pPr>
              <w:pStyle w:val="FootnoteText"/>
              <w:tabs>
                <w:tab w:val="left" w:pos="0"/>
              </w:tabs>
              <w:spacing w:line="276" w:lineRule="auto"/>
              <w:outlineLvl w:val="2"/>
              <w:rPr>
                <w:sz w:val="22"/>
                <w:szCs w:val="22"/>
              </w:rPr>
            </w:pPr>
            <w:r w:rsidRPr="006557D8">
              <w:rPr>
                <w:sz w:val="22"/>
                <w:szCs w:val="22"/>
              </w:rPr>
              <w:t>BDP milijuna KM</w:t>
            </w:r>
          </w:p>
        </w:tc>
        <w:tc>
          <w:tcPr>
            <w:tcW w:w="709" w:type="dxa"/>
          </w:tcPr>
          <w:p w:rsidR="00275D2A" w:rsidRPr="006557D8" w:rsidRDefault="00275D2A">
            <w:pPr>
              <w:pStyle w:val="FootnoteText"/>
              <w:tabs>
                <w:tab w:val="left" w:pos="0"/>
              </w:tabs>
              <w:spacing w:line="276" w:lineRule="auto"/>
              <w:jc w:val="right"/>
              <w:outlineLvl w:val="2"/>
              <w:rPr>
                <w:sz w:val="22"/>
                <w:szCs w:val="22"/>
              </w:rPr>
            </w:pPr>
            <w:r w:rsidRPr="006557D8">
              <w:rPr>
                <w:sz w:val="22"/>
                <w:szCs w:val="22"/>
              </w:rPr>
              <w:t>22.065</w:t>
            </w:r>
          </w:p>
        </w:tc>
        <w:tc>
          <w:tcPr>
            <w:tcW w:w="709" w:type="dxa"/>
          </w:tcPr>
          <w:p w:rsidR="00275D2A" w:rsidRPr="006557D8" w:rsidRDefault="00275D2A">
            <w:pPr>
              <w:pStyle w:val="FootnoteText"/>
              <w:tabs>
                <w:tab w:val="left" w:pos="0"/>
              </w:tabs>
              <w:spacing w:line="276" w:lineRule="auto"/>
              <w:jc w:val="right"/>
              <w:outlineLvl w:val="2"/>
              <w:rPr>
                <w:sz w:val="22"/>
                <w:szCs w:val="22"/>
              </w:rPr>
            </w:pPr>
            <w:r w:rsidRPr="006557D8">
              <w:rPr>
                <w:sz w:val="22"/>
                <w:szCs w:val="22"/>
              </w:rPr>
              <w:t>24.984</w:t>
            </w:r>
          </w:p>
        </w:tc>
        <w:tc>
          <w:tcPr>
            <w:tcW w:w="709" w:type="dxa"/>
          </w:tcPr>
          <w:p w:rsidR="00275D2A" w:rsidRPr="006557D8" w:rsidRDefault="00275D2A">
            <w:pPr>
              <w:pStyle w:val="FootnoteText"/>
              <w:tabs>
                <w:tab w:val="left" w:pos="0"/>
              </w:tabs>
              <w:spacing w:line="276" w:lineRule="auto"/>
              <w:jc w:val="right"/>
              <w:outlineLvl w:val="2"/>
              <w:rPr>
                <w:sz w:val="22"/>
                <w:szCs w:val="22"/>
              </w:rPr>
            </w:pPr>
            <w:r w:rsidRPr="006557D8">
              <w:rPr>
                <w:sz w:val="22"/>
                <w:szCs w:val="22"/>
              </w:rPr>
              <w:t>24.780</w:t>
            </w:r>
          </w:p>
        </w:tc>
        <w:tc>
          <w:tcPr>
            <w:tcW w:w="708" w:type="dxa"/>
          </w:tcPr>
          <w:p w:rsidR="00275D2A" w:rsidRPr="006557D8" w:rsidRDefault="00275D2A">
            <w:pPr>
              <w:pStyle w:val="FootnoteText"/>
              <w:tabs>
                <w:tab w:val="left" w:pos="0"/>
              </w:tabs>
              <w:spacing w:line="276" w:lineRule="auto"/>
              <w:jc w:val="right"/>
              <w:outlineLvl w:val="2"/>
              <w:rPr>
                <w:sz w:val="22"/>
                <w:szCs w:val="22"/>
              </w:rPr>
            </w:pPr>
            <w:r w:rsidRPr="006557D8">
              <w:rPr>
                <w:sz w:val="22"/>
                <w:szCs w:val="22"/>
              </w:rPr>
              <w:t>25.346</w:t>
            </w:r>
          </w:p>
        </w:tc>
        <w:tc>
          <w:tcPr>
            <w:tcW w:w="709" w:type="dxa"/>
          </w:tcPr>
          <w:p w:rsidR="00275D2A" w:rsidRPr="006557D8" w:rsidRDefault="00275D2A">
            <w:pPr>
              <w:pStyle w:val="FootnoteText"/>
              <w:tabs>
                <w:tab w:val="left" w:pos="0"/>
              </w:tabs>
              <w:spacing w:line="276" w:lineRule="auto"/>
              <w:jc w:val="right"/>
              <w:outlineLvl w:val="2"/>
              <w:rPr>
                <w:sz w:val="22"/>
                <w:szCs w:val="22"/>
              </w:rPr>
            </w:pPr>
            <w:r w:rsidRPr="006557D8">
              <w:rPr>
                <w:sz w:val="22"/>
                <w:szCs w:val="22"/>
              </w:rPr>
              <w:t>26.210</w:t>
            </w:r>
          </w:p>
        </w:tc>
        <w:tc>
          <w:tcPr>
            <w:tcW w:w="709" w:type="dxa"/>
          </w:tcPr>
          <w:p w:rsidR="00275D2A" w:rsidRPr="006557D8" w:rsidRDefault="00275D2A">
            <w:pPr>
              <w:pStyle w:val="FootnoteText"/>
              <w:tabs>
                <w:tab w:val="left" w:pos="0"/>
              </w:tabs>
              <w:spacing w:line="276" w:lineRule="auto"/>
              <w:outlineLvl w:val="2"/>
              <w:rPr>
                <w:sz w:val="22"/>
                <w:szCs w:val="22"/>
              </w:rPr>
            </w:pPr>
            <w:r w:rsidRPr="006557D8">
              <w:rPr>
                <w:sz w:val="22"/>
                <w:szCs w:val="22"/>
              </w:rPr>
              <w:t>26.193</w:t>
            </w:r>
          </w:p>
        </w:tc>
        <w:tc>
          <w:tcPr>
            <w:tcW w:w="709" w:type="dxa"/>
          </w:tcPr>
          <w:p w:rsidR="00275D2A" w:rsidRPr="006557D8" w:rsidRDefault="00275D2A">
            <w:pPr>
              <w:pStyle w:val="FootnoteText"/>
              <w:tabs>
                <w:tab w:val="left" w:pos="0"/>
              </w:tabs>
              <w:spacing w:line="276" w:lineRule="auto"/>
              <w:outlineLvl w:val="2"/>
              <w:rPr>
                <w:sz w:val="22"/>
                <w:szCs w:val="22"/>
              </w:rPr>
            </w:pPr>
            <w:r w:rsidRPr="006557D8">
              <w:rPr>
                <w:sz w:val="22"/>
                <w:szCs w:val="22"/>
              </w:rPr>
              <w:t>26.743</w:t>
            </w:r>
          </w:p>
        </w:tc>
        <w:tc>
          <w:tcPr>
            <w:tcW w:w="708" w:type="dxa"/>
          </w:tcPr>
          <w:p w:rsidR="00275D2A" w:rsidRPr="006557D8" w:rsidRDefault="00275D2A">
            <w:pPr>
              <w:pStyle w:val="FootnoteText"/>
              <w:tabs>
                <w:tab w:val="left" w:pos="0"/>
              </w:tabs>
              <w:spacing w:line="276" w:lineRule="auto"/>
              <w:jc w:val="right"/>
              <w:outlineLvl w:val="2"/>
              <w:rPr>
                <w:sz w:val="22"/>
                <w:szCs w:val="22"/>
              </w:rPr>
            </w:pPr>
            <w:r w:rsidRPr="006557D8">
              <w:rPr>
                <w:sz w:val="22"/>
                <w:szCs w:val="22"/>
              </w:rPr>
              <w:t>27.304</w:t>
            </w:r>
          </w:p>
        </w:tc>
        <w:tc>
          <w:tcPr>
            <w:tcW w:w="709" w:type="dxa"/>
          </w:tcPr>
          <w:p w:rsidR="00275D2A" w:rsidRPr="006557D8" w:rsidRDefault="00275D2A">
            <w:pPr>
              <w:pStyle w:val="FootnoteText"/>
              <w:tabs>
                <w:tab w:val="left" w:pos="0"/>
              </w:tabs>
              <w:spacing w:line="276" w:lineRule="auto"/>
              <w:jc w:val="right"/>
              <w:outlineLvl w:val="2"/>
              <w:rPr>
                <w:sz w:val="22"/>
                <w:szCs w:val="22"/>
              </w:rPr>
            </w:pPr>
            <w:r w:rsidRPr="006557D8">
              <w:rPr>
                <w:sz w:val="22"/>
                <w:szCs w:val="22"/>
              </w:rPr>
              <w:t>28.659</w:t>
            </w:r>
          </w:p>
        </w:tc>
        <w:tc>
          <w:tcPr>
            <w:tcW w:w="709" w:type="dxa"/>
          </w:tcPr>
          <w:p w:rsidR="00275D2A" w:rsidRPr="006557D8" w:rsidRDefault="00275D2A">
            <w:pPr>
              <w:pStyle w:val="FootnoteText"/>
              <w:tabs>
                <w:tab w:val="left" w:pos="0"/>
              </w:tabs>
              <w:spacing w:line="276" w:lineRule="auto"/>
              <w:outlineLvl w:val="2"/>
              <w:rPr>
                <w:sz w:val="22"/>
                <w:szCs w:val="22"/>
              </w:rPr>
            </w:pPr>
            <w:r w:rsidRPr="006557D8">
              <w:rPr>
                <w:sz w:val="22"/>
                <w:szCs w:val="22"/>
              </w:rPr>
              <w:t>30.389</w:t>
            </w:r>
          </w:p>
        </w:tc>
      </w:tr>
      <w:tr w:rsidR="00275D2A" w:rsidRPr="003A69CB" w:rsidTr="00045D09">
        <w:trPr>
          <w:trHeight w:val="60"/>
        </w:trPr>
        <w:tc>
          <w:tcPr>
            <w:tcW w:w="2268" w:type="dxa"/>
          </w:tcPr>
          <w:p w:rsidR="00275D2A" w:rsidRPr="006557D8" w:rsidRDefault="00275D2A">
            <w:pPr>
              <w:pStyle w:val="FootnoteText"/>
              <w:tabs>
                <w:tab w:val="left" w:pos="0"/>
              </w:tabs>
              <w:spacing w:line="276" w:lineRule="auto"/>
              <w:outlineLvl w:val="2"/>
              <w:rPr>
                <w:sz w:val="22"/>
                <w:szCs w:val="22"/>
              </w:rPr>
            </w:pPr>
            <w:r w:rsidRPr="006557D8">
              <w:rPr>
                <w:sz w:val="22"/>
                <w:szCs w:val="22"/>
              </w:rPr>
              <w:t>BDP realni rast u %</w:t>
            </w:r>
          </w:p>
        </w:tc>
        <w:tc>
          <w:tcPr>
            <w:tcW w:w="709" w:type="dxa"/>
          </w:tcPr>
          <w:p w:rsidR="00275D2A" w:rsidRPr="006557D8" w:rsidRDefault="00275D2A">
            <w:pPr>
              <w:pStyle w:val="FootnoteText"/>
              <w:tabs>
                <w:tab w:val="left" w:pos="0"/>
              </w:tabs>
              <w:spacing w:line="276" w:lineRule="auto"/>
              <w:jc w:val="right"/>
              <w:outlineLvl w:val="2"/>
              <w:rPr>
                <w:sz w:val="22"/>
                <w:szCs w:val="22"/>
              </w:rPr>
            </w:pPr>
            <w:r w:rsidRPr="006557D8">
              <w:rPr>
                <w:sz w:val="22"/>
                <w:szCs w:val="22"/>
              </w:rPr>
              <w:t>6,0</w:t>
            </w:r>
          </w:p>
        </w:tc>
        <w:tc>
          <w:tcPr>
            <w:tcW w:w="709" w:type="dxa"/>
          </w:tcPr>
          <w:p w:rsidR="00275D2A" w:rsidRPr="006557D8" w:rsidRDefault="00275D2A">
            <w:pPr>
              <w:pStyle w:val="FootnoteText"/>
              <w:tabs>
                <w:tab w:val="left" w:pos="0"/>
              </w:tabs>
              <w:spacing w:line="276" w:lineRule="auto"/>
              <w:jc w:val="right"/>
              <w:outlineLvl w:val="2"/>
              <w:rPr>
                <w:sz w:val="22"/>
                <w:szCs w:val="22"/>
              </w:rPr>
            </w:pPr>
            <w:r w:rsidRPr="006557D8">
              <w:rPr>
                <w:sz w:val="22"/>
                <w:szCs w:val="22"/>
              </w:rPr>
              <w:t>5,6</w:t>
            </w:r>
          </w:p>
        </w:tc>
        <w:tc>
          <w:tcPr>
            <w:tcW w:w="709" w:type="dxa"/>
          </w:tcPr>
          <w:p w:rsidR="00275D2A" w:rsidRPr="006557D8" w:rsidRDefault="00275D2A">
            <w:pPr>
              <w:pStyle w:val="FootnoteText"/>
              <w:tabs>
                <w:tab w:val="left" w:pos="0"/>
              </w:tabs>
              <w:spacing w:line="276" w:lineRule="auto"/>
              <w:jc w:val="right"/>
              <w:outlineLvl w:val="2"/>
              <w:rPr>
                <w:sz w:val="22"/>
                <w:szCs w:val="22"/>
              </w:rPr>
            </w:pPr>
            <w:r w:rsidRPr="006557D8">
              <w:rPr>
                <w:sz w:val="22"/>
                <w:szCs w:val="22"/>
              </w:rPr>
              <w:t>-2,9</w:t>
            </w:r>
          </w:p>
        </w:tc>
        <w:tc>
          <w:tcPr>
            <w:tcW w:w="708" w:type="dxa"/>
          </w:tcPr>
          <w:p w:rsidR="00275D2A" w:rsidRPr="006557D8" w:rsidRDefault="00275D2A">
            <w:pPr>
              <w:pStyle w:val="FootnoteText"/>
              <w:tabs>
                <w:tab w:val="left" w:pos="0"/>
              </w:tabs>
              <w:spacing w:line="276" w:lineRule="auto"/>
              <w:jc w:val="right"/>
              <w:outlineLvl w:val="2"/>
              <w:rPr>
                <w:sz w:val="22"/>
                <w:szCs w:val="22"/>
              </w:rPr>
            </w:pPr>
            <w:r w:rsidRPr="006557D8">
              <w:rPr>
                <w:sz w:val="22"/>
                <w:szCs w:val="22"/>
              </w:rPr>
              <w:t>0,8</w:t>
            </w:r>
          </w:p>
        </w:tc>
        <w:tc>
          <w:tcPr>
            <w:tcW w:w="709" w:type="dxa"/>
          </w:tcPr>
          <w:p w:rsidR="00275D2A" w:rsidRPr="006557D8" w:rsidRDefault="00275D2A">
            <w:pPr>
              <w:pStyle w:val="FootnoteText"/>
              <w:tabs>
                <w:tab w:val="left" w:pos="0"/>
              </w:tabs>
              <w:spacing w:line="276" w:lineRule="auto"/>
              <w:jc w:val="right"/>
              <w:outlineLvl w:val="2"/>
              <w:rPr>
                <w:sz w:val="22"/>
                <w:szCs w:val="22"/>
              </w:rPr>
            </w:pPr>
            <w:r w:rsidRPr="006557D8">
              <w:rPr>
                <w:sz w:val="22"/>
                <w:szCs w:val="22"/>
              </w:rPr>
              <w:t>0,9</w:t>
            </w:r>
          </w:p>
        </w:tc>
        <w:tc>
          <w:tcPr>
            <w:tcW w:w="709" w:type="dxa"/>
          </w:tcPr>
          <w:p w:rsidR="00275D2A" w:rsidRPr="006557D8" w:rsidRDefault="00275D2A">
            <w:pPr>
              <w:pStyle w:val="FootnoteText"/>
              <w:tabs>
                <w:tab w:val="left" w:pos="0"/>
              </w:tabs>
              <w:spacing w:line="276" w:lineRule="auto"/>
              <w:jc w:val="right"/>
              <w:outlineLvl w:val="2"/>
              <w:rPr>
                <w:sz w:val="22"/>
                <w:szCs w:val="22"/>
              </w:rPr>
            </w:pPr>
            <w:r w:rsidRPr="006557D8">
              <w:rPr>
                <w:sz w:val="22"/>
                <w:szCs w:val="22"/>
              </w:rPr>
              <w:t>-0,9</w:t>
            </w:r>
          </w:p>
        </w:tc>
        <w:tc>
          <w:tcPr>
            <w:tcW w:w="709" w:type="dxa"/>
          </w:tcPr>
          <w:p w:rsidR="00275D2A" w:rsidRPr="006557D8" w:rsidRDefault="00275D2A">
            <w:pPr>
              <w:pStyle w:val="FootnoteText"/>
              <w:tabs>
                <w:tab w:val="left" w:pos="0"/>
              </w:tabs>
              <w:spacing w:line="276" w:lineRule="auto"/>
              <w:jc w:val="right"/>
              <w:outlineLvl w:val="2"/>
              <w:rPr>
                <w:sz w:val="22"/>
                <w:szCs w:val="22"/>
              </w:rPr>
            </w:pPr>
            <w:r w:rsidRPr="006557D8">
              <w:rPr>
                <w:sz w:val="22"/>
                <w:szCs w:val="22"/>
              </w:rPr>
              <w:t>2,4</w:t>
            </w:r>
          </w:p>
        </w:tc>
        <w:tc>
          <w:tcPr>
            <w:tcW w:w="708" w:type="dxa"/>
          </w:tcPr>
          <w:p w:rsidR="00275D2A" w:rsidRPr="006557D8" w:rsidRDefault="00275D2A">
            <w:pPr>
              <w:pStyle w:val="FootnoteText"/>
              <w:tabs>
                <w:tab w:val="left" w:pos="0"/>
              </w:tabs>
              <w:spacing w:line="276" w:lineRule="auto"/>
              <w:jc w:val="right"/>
              <w:outlineLvl w:val="2"/>
              <w:rPr>
                <w:sz w:val="22"/>
                <w:szCs w:val="22"/>
              </w:rPr>
            </w:pPr>
            <w:r w:rsidRPr="006557D8">
              <w:rPr>
                <w:sz w:val="22"/>
                <w:szCs w:val="22"/>
              </w:rPr>
              <w:t>1,1</w:t>
            </w:r>
          </w:p>
        </w:tc>
        <w:tc>
          <w:tcPr>
            <w:tcW w:w="709" w:type="dxa"/>
          </w:tcPr>
          <w:p w:rsidR="00275D2A" w:rsidRPr="006557D8" w:rsidRDefault="00275D2A">
            <w:pPr>
              <w:pStyle w:val="FootnoteText"/>
              <w:tabs>
                <w:tab w:val="left" w:pos="0"/>
              </w:tabs>
              <w:spacing w:line="276" w:lineRule="auto"/>
              <w:jc w:val="right"/>
              <w:outlineLvl w:val="2"/>
              <w:rPr>
                <w:sz w:val="22"/>
                <w:szCs w:val="22"/>
              </w:rPr>
            </w:pPr>
            <w:r w:rsidRPr="006557D8">
              <w:rPr>
                <w:sz w:val="22"/>
                <w:szCs w:val="22"/>
              </w:rPr>
              <w:t>3,1</w:t>
            </w:r>
          </w:p>
        </w:tc>
        <w:tc>
          <w:tcPr>
            <w:tcW w:w="709" w:type="dxa"/>
          </w:tcPr>
          <w:p w:rsidR="00275D2A" w:rsidRPr="006557D8" w:rsidRDefault="00275D2A">
            <w:pPr>
              <w:pStyle w:val="FootnoteText"/>
              <w:tabs>
                <w:tab w:val="left" w:pos="0"/>
              </w:tabs>
              <w:spacing w:line="276" w:lineRule="auto"/>
              <w:jc w:val="right"/>
              <w:outlineLvl w:val="2"/>
              <w:rPr>
                <w:sz w:val="22"/>
                <w:szCs w:val="22"/>
              </w:rPr>
            </w:pPr>
            <w:r w:rsidRPr="006557D8">
              <w:rPr>
                <w:sz w:val="22"/>
                <w:szCs w:val="22"/>
              </w:rPr>
              <w:t>3,0</w:t>
            </w:r>
          </w:p>
        </w:tc>
      </w:tr>
      <w:tr w:rsidR="00275D2A" w:rsidRPr="003A69CB" w:rsidTr="00045D09">
        <w:trPr>
          <w:trHeight w:val="60"/>
        </w:trPr>
        <w:tc>
          <w:tcPr>
            <w:tcW w:w="2268" w:type="dxa"/>
          </w:tcPr>
          <w:p w:rsidR="00275D2A" w:rsidRPr="006557D8" w:rsidRDefault="00275D2A">
            <w:pPr>
              <w:pStyle w:val="FootnoteText"/>
              <w:tabs>
                <w:tab w:val="left" w:pos="0"/>
              </w:tabs>
              <w:spacing w:line="276" w:lineRule="auto"/>
              <w:outlineLvl w:val="2"/>
              <w:rPr>
                <w:sz w:val="22"/>
                <w:szCs w:val="22"/>
              </w:rPr>
            </w:pPr>
            <w:r w:rsidRPr="006557D8">
              <w:rPr>
                <w:sz w:val="22"/>
                <w:szCs w:val="22"/>
              </w:rPr>
              <w:t>Strane direktne inv. u milijun. KM</w:t>
            </w:r>
          </w:p>
        </w:tc>
        <w:tc>
          <w:tcPr>
            <w:tcW w:w="709" w:type="dxa"/>
          </w:tcPr>
          <w:p w:rsidR="00275D2A" w:rsidRPr="006557D8" w:rsidRDefault="00275D2A">
            <w:pPr>
              <w:pStyle w:val="FootnoteText"/>
              <w:tabs>
                <w:tab w:val="left" w:pos="0"/>
              </w:tabs>
              <w:spacing w:line="276" w:lineRule="auto"/>
              <w:jc w:val="right"/>
              <w:outlineLvl w:val="2"/>
              <w:rPr>
                <w:sz w:val="22"/>
                <w:szCs w:val="22"/>
              </w:rPr>
            </w:pPr>
            <w:r w:rsidRPr="006557D8">
              <w:rPr>
                <w:sz w:val="22"/>
                <w:szCs w:val="22"/>
              </w:rPr>
              <w:t>2.599,8</w:t>
            </w:r>
          </w:p>
        </w:tc>
        <w:tc>
          <w:tcPr>
            <w:tcW w:w="709" w:type="dxa"/>
          </w:tcPr>
          <w:p w:rsidR="00275D2A" w:rsidRPr="006557D8" w:rsidRDefault="00275D2A">
            <w:pPr>
              <w:pStyle w:val="FootnoteText"/>
              <w:tabs>
                <w:tab w:val="left" w:pos="0"/>
              </w:tabs>
              <w:spacing w:line="276" w:lineRule="auto"/>
              <w:jc w:val="right"/>
              <w:outlineLvl w:val="2"/>
              <w:rPr>
                <w:sz w:val="22"/>
                <w:szCs w:val="22"/>
              </w:rPr>
            </w:pPr>
            <w:r w:rsidRPr="006557D8">
              <w:rPr>
                <w:sz w:val="22"/>
                <w:szCs w:val="22"/>
              </w:rPr>
              <w:t>1.337,5</w:t>
            </w:r>
          </w:p>
        </w:tc>
        <w:tc>
          <w:tcPr>
            <w:tcW w:w="709" w:type="dxa"/>
          </w:tcPr>
          <w:p w:rsidR="00275D2A" w:rsidRPr="006557D8" w:rsidRDefault="00275D2A">
            <w:pPr>
              <w:pStyle w:val="FootnoteText"/>
              <w:tabs>
                <w:tab w:val="left" w:pos="0"/>
              </w:tabs>
              <w:spacing w:line="276" w:lineRule="auto"/>
              <w:jc w:val="right"/>
              <w:outlineLvl w:val="2"/>
              <w:rPr>
                <w:sz w:val="22"/>
                <w:szCs w:val="22"/>
              </w:rPr>
            </w:pPr>
            <w:r w:rsidRPr="006557D8">
              <w:rPr>
                <w:sz w:val="22"/>
                <w:szCs w:val="22"/>
              </w:rPr>
              <w:t>351,9</w:t>
            </w:r>
          </w:p>
        </w:tc>
        <w:tc>
          <w:tcPr>
            <w:tcW w:w="708" w:type="dxa"/>
          </w:tcPr>
          <w:p w:rsidR="00275D2A" w:rsidRPr="006557D8" w:rsidRDefault="00275D2A">
            <w:pPr>
              <w:pStyle w:val="FootnoteText"/>
              <w:tabs>
                <w:tab w:val="left" w:pos="0"/>
              </w:tabs>
              <w:spacing w:line="276" w:lineRule="auto"/>
              <w:jc w:val="right"/>
              <w:outlineLvl w:val="2"/>
              <w:rPr>
                <w:sz w:val="22"/>
                <w:szCs w:val="22"/>
              </w:rPr>
            </w:pPr>
            <w:r w:rsidRPr="006557D8">
              <w:rPr>
                <w:sz w:val="22"/>
                <w:szCs w:val="22"/>
              </w:rPr>
              <w:t>599,7</w:t>
            </w:r>
          </w:p>
        </w:tc>
        <w:tc>
          <w:tcPr>
            <w:tcW w:w="709" w:type="dxa"/>
          </w:tcPr>
          <w:p w:rsidR="00275D2A" w:rsidRPr="006557D8" w:rsidRDefault="00275D2A">
            <w:pPr>
              <w:pStyle w:val="FootnoteText"/>
              <w:tabs>
                <w:tab w:val="left" w:pos="0"/>
              </w:tabs>
              <w:spacing w:line="276" w:lineRule="auto"/>
              <w:jc w:val="right"/>
              <w:outlineLvl w:val="2"/>
              <w:rPr>
                <w:sz w:val="22"/>
                <w:szCs w:val="22"/>
              </w:rPr>
            </w:pPr>
            <w:r w:rsidRPr="006557D8">
              <w:rPr>
                <w:sz w:val="22"/>
                <w:szCs w:val="22"/>
              </w:rPr>
              <w:t>698,6</w:t>
            </w:r>
          </w:p>
        </w:tc>
        <w:tc>
          <w:tcPr>
            <w:tcW w:w="709" w:type="dxa"/>
          </w:tcPr>
          <w:p w:rsidR="00275D2A" w:rsidRPr="006557D8" w:rsidRDefault="00275D2A">
            <w:pPr>
              <w:pStyle w:val="FootnoteText"/>
              <w:tabs>
                <w:tab w:val="left" w:pos="0"/>
              </w:tabs>
              <w:spacing w:line="276" w:lineRule="auto"/>
              <w:jc w:val="right"/>
              <w:outlineLvl w:val="2"/>
              <w:rPr>
                <w:sz w:val="22"/>
                <w:szCs w:val="22"/>
              </w:rPr>
            </w:pPr>
            <w:r w:rsidRPr="006557D8">
              <w:rPr>
                <w:sz w:val="22"/>
                <w:szCs w:val="22"/>
              </w:rPr>
              <w:t>601,1</w:t>
            </w:r>
          </w:p>
        </w:tc>
        <w:tc>
          <w:tcPr>
            <w:tcW w:w="709" w:type="dxa"/>
          </w:tcPr>
          <w:p w:rsidR="00275D2A" w:rsidRPr="006557D8" w:rsidRDefault="00275D2A">
            <w:pPr>
              <w:pStyle w:val="FootnoteText"/>
              <w:tabs>
                <w:tab w:val="left" w:pos="0"/>
              </w:tabs>
              <w:spacing w:line="276" w:lineRule="auto"/>
              <w:jc w:val="right"/>
              <w:outlineLvl w:val="2"/>
              <w:rPr>
                <w:sz w:val="22"/>
                <w:szCs w:val="22"/>
              </w:rPr>
            </w:pPr>
            <w:r w:rsidRPr="006557D8">
              <w:rPr>
                <w:sz w:val="22"/>
                <w:szCs w:val="22"/>
              </w:rPr>
              <w:t>407,1</w:t>
            </w:r>
          </w:p>
        </w:tc>
        <w:tc>
          <w:tcPr>
            <w:tcW w:w="708" w:type="dxa"/>
          </w:tcPr>
          <w:p w:rsidR="00275D2A" w:rsidRPr="006557D8" w:rsidRDefault="00275D2A">
            <w:pPr>
              <w:pStyle w:val="FootnoteText"/>
              <w:tabs>
                <w:tab w:val="left" w:pos="0"/>
              </w:tabs>
              <w:spacing w:line="276" w:lineRule="auto"/>
              <w:jc w:val="right"/>
              <w:outlineLvl w:val="2"/>
              <w:rPr>
                <w:sz w:val="22"/>
                <w:szCs w:val="22"/>
              </w:rPr>
            </w:pPr>
            <w:r w:rsidRPr="006557D8">
              <w:rPr>
                <w:sz w:val="22"/>
                <w:szCs w:val="22"/>
              </w:rPr>
              <w:t>779,9</w:t>
            </w:r>
          </w:p>
        </w:tc>
        <w:tc>
          <w:tcPr>
            <w:tcW w:w="709" w:type="dxa"/>
          </w:tcPr>
          <w:p w:rsidR="00275D2A" w:rsidRPr="006557D8" w:rsidRDefault="00275D2A">
            <w:pPr>
              <w:pStyle w:val="FootnoteText"/>
              <w:tabs>
                <w:tab w:val="left" w:pos="0"/>
              </w:tabs>
              <w:spacing w:line="276" w:lineRule="auto"/>
              <w:jc w:val="right"/>
              <w:outlineLvl w:val="2"/>
              <w:rPr>
                <w:sz w:val="22"/>
                <w:szCs w:val="22"/>
              </w:rPr>
            </w:pPr>
            <w:r w:rsidRPr="006557D8">
              <w:rPr>
                <w:sz w:val="22"/>
                <w:szCs w:val="22"/>
              </w:rPr>
              <w:t>476,7</w:t>
            </w:r>
          </w:p>
        </w:tc>
        <w:tc>
          <w:tcPr>
            <w:tcW w:w="709" w:type="dxa"/>
          </w:tcPr>
          <w:p w:rsidR="00275D2A" w:rsidRPr="006557D8" w:rsidRDefault="00275D2A">
            <w:pPr>
              <w:pStyle w:val="FootnoteText"/>
              <w:tabs>
                <w:tab w:val="left" w:pos="0"/>
              </w:tabs>
              <w:spacing w:line="276" w:lineRule="auto"/>
              <w:jc w:val="right"/>
              <w:outlineLvl w:val="2"/>
              <w:rPr>
                <w:sz w:val="22"/>
                <w:szCs w:val="22"/>
              </w:rPr>
            </w:pPr>
            <w:r w:rsidRPr="006557D8">
              <w:rPr>
                <w:sz w:val="22"/>
                <w:szCs w:val="22"/>
              </w:rPr>
              <w:t>460,6</w:t>
            </w:r>
          </w:p>
        </w:tc>
      </w:tr>
      <w:tr w:rsidR="00275D2A" w:rsidRPr="003A69CB" w:rsidTr="00045D09">
        <w:trPr>
          <w:trHeight w:val="60"/>
        </w:trPr>
        <w:tc>
          <w:tcPr>
            <w:tcW w:w="2268" w:type="dxa"/>
          </w:tcPr>
          <w:p w:rsidR="00275D2A" w:rsidRPr="006557D8" w:rsidRDefault="00275D2A" w:rsidP="00386178">
            <w:pPr>
              <w:pStyle w:val="FootnoteText"/>
              <w:tabs>
                <w:tab w:val="left" w:pos="0"/>
              </w:tabs>
              <w:spacing w:line="276" w:lineRule="auto"/>
              <w:outlineLvl w:val="2"/>
              <w:rPr>
                <w:sz w:val="22"/>
                <w:szCs w:val="22"/>
              </w:rPr>
            </w:pPr>
            <w:r w:rsidRPr="006557D8">
              <w:rPr>
                <w:sz w:val="22"/>
                <w:szCs w:val="22"/>
              </w:rPr>
              <w:t xml:space="preserve">Investicije u </w:t>
            </w:r>
          </w:p>
          <w:p w:rsidR="00275D2A" w:rsidRPr="006557D8" w:rsidRDefault="00275D2A" w:rsidP="00386178">
            <w:pPr>
              <w:pStyle w:val="FootnoteText"/>
              <w:tabs>
                <w:tab w:val="left" w:pos="0"/>
              </w:tabs>
              <w:spacing w:line="276" w:lineRule="auto"/>
              <w:outlineLvl w:val="2"/>
              <w:rPr>
                <w:sz w:val="22"/>
                <w:szCs w:val="22"/>
              </w:rPr>
            </w:pPr>
            <w:r w:rsidRPr="006557D8">
              <w:rPr>
                <w:sz w:val="22"/>
                <w:szCs w:val="22"/>
              </w:rPr>
              <w:t>st. sredstva u mil. KM</w:t>
            </w:r>
          </w:p>
        </w:tc>
        <w:tc>
          <w:tcPr>
            <w:tcW w:w="709" w:type="dxa"/>
          </w:tcPr>
          <w:p w:rsidR="00275D2A" w:rsidRPr="006557D8" w:rsidRDefault="00275D2A">
            <w:pPr>
              <w:pStyle w:val="FootnoteText"/>
              <w:tabs>
                <w:tab w:val="left" w:pos="0"/>
              </w:tabs>
              <w:spacing w:line="276" w:lineRule="auto"/>
              <w:jc w:val="right"/>
              <w:outlineLvl w:val="2"/>
              <w:rPr>
                <w:sz w:val="22"/>
                <w:szCs w:val="22"/>
              </w:rPr>
            </w:pPr>
            <w:r w:rsidRPr="006557D8">
              <w:rPr>
                <w:sz w:val="22"/>
                <w:szCs w:val="22"/>
              </w:rPr>
              <w:t>5.071,2</w:t>
            </w:r>
          </w:p>
        </w:tc>
        <w:tc>
          <w:tcPr>
            <w:tcW w:w="709" w:type="dxa"/>
          </w:tcPr>
          <w:p w:rsidR="00275D2A" w:rsidRPr="006557D8" w:rsidRDefault="00275D2A">
            <w:pPr>
              <w:pStyle w:val="FootnoteText"/>
              <w:tabs>
                <w:tab w:val="left" w:pos="0"/>
              </w:tabs>
              <w:spacing w:line="276" w:lineRule="auto"/>
              <w:jc w:val="right"/>
              <w:outlineLvl w:val="2"/>
              <w:rPr>
                <w:sz w:val="22"/>
                <w:szCs w:val="22"/>
              </w:rPr>
            </w:pPr>
            <w:r w:rsidRPr="006557D8">
              <w:rPr>
                <w:sz w:val="22"/>
                <w:szCs w:val="22"/>
              </w:rPr>
              <w:t>6.184,9</w:t>
            </w:r>
          </w:p>
        </w:tc>
        <w:tc>
          <w:tcPr>
            <w:tcW w:w="709" w:type="dxa"/>
          </w:tcPr>
          <w:p w:rsidR="00275D2A" w:rsidRPr="006557D8" w:rsidRDefault="00275D2A">
            <w:pPr>
              <w:pStyle w:val="FootnoteText"/>
              <w:tabs>
                <w:tab w:val="left" w:pos="0"/>
              </w:tabs>
              <w:spacing w:line="276" w:lineRule="auto"/>
              <w:jc w:val="right"/>
              <w:outlineLvl w:val="2"/>
              <w:rPr>
                <w:sz w:val="22"/>
                <w:szCs w:val="22"/>
              </w:rPr>
            </w:pPr>
            <w:r w:rsidRPr="006557D8">
              <w:rPr>
                <w:sz w:val="22"/>
                <w:szCs w:val="22"/>
              </w:rPr>
              <w:t>4.646,4</w:t>
            </w:r>
          </w:p>
        </w:tc>
        <w:tc>
          <w:tcPr>
            <w:tcW w:w="708" w:type="dxa"/>
          </w:tcPr>
          <w:p w:rsidR="00275D2A" w:rsidRPr="006557D8" w:rsidRDefault="00275D2A">
            <w:pPr>
              <w:pStyle w:val="FootnoteText"/>
              <w:tabs>
                <w:tab w:val="left" w:pos="0"/>
              </w:tabs>
              <w:spacing w:line="276" w:lineRule="auto"/>
              <w:jc w:val="right"/>
              <w:outlineLvl w:val="2"/>
              <w:rPr>
                <w:sz w:val="22"/>
                <w:szCs w:val="22"/>
              </w:rPr>
            </w:pPr>
            <w:r w:rsidRPr="006557D8">
              <w:rPr>
                <w:sz w:val="22"/>
                <w:szCs w:val="22"/>
              </w:rPr>
              <w:t>4.266,5</w:t>
            </w:r>
          </w:p>
        </w:tc>
        <w:tc>
          <w:tcPr>
            <w:tcW w:w="709" w:type="dxa"/>
          </w:tcPr>
          <w:p w:rsidR="00275D2A" w:rsidRPr="006557D8" w:rsidRDefault="00275D2A">
            <w:pPr>
              <w:pStyle w:val="FootnoteText"/>
              <w:tabs>
                <w:tab w:val="left" w:pos="0"/>
              </w:tabs>
              <w:spacing w:line="276" w:lineRule="auto"/>
              <w:jc w:val="right"/>
              <w:outlineLvl w:val="2"/>
              <w:rPr>
                <w:sz w:val="22"/>
                <w:szCs w:val="22"/>
              </w:rPr>
            </w:pPr>
            <w:r w:rsidRPr="006557D8">
              <w:rPr>
                <w:sz w:val="22"/>
                <w:szCs w:val="22"/>
              </w:rPr>
              <w:t>4.281,2</w:t>
            </w:r>
          </w:p>
        </w:tc>
        <w:tc>
          <w:tcPr>
            <w:tcW w:w="709" w:type="dxa"/>
          </w:tcPr>
          <w:p w:rsidR="00275D2A" w:rsidRPr="006557D8" w:rsidRDefault="00275D2A">
            <w:pPr>
              <w:pStyle w:val="FootnoteText"/>
              <w:tabs>
                <w:tab w:val="left" w:pos="0"/>
              </w:tabs>
              <w:spacing w:line="276" w:lineRule="auto"/>
              <w:jc w:val="right"/>
              <w:outlineLvl w:val="2"/>
              <w:rPr>
                <w:sz w:val="22"/>
                <w:szCs w:val="22"/>
              </w:rPr>
            </w:pPr>
            <w:r w:rsidRPr="006557D8">
              <w:rPr>
                <w:sz w:val="22"/>
                <w:szCs w:val="22"/>
              </w:rPr>
              <w:t>4.541,4</w:t>
            </w:r>
          </w:p>
        </w:tc>
        <w:tc>
          <w:tcPr>
            <w:tcW w:w="709" w:type="dxa"/>
          </w:tcPr>
          <w:p w:rsidR="00275D2A" w:rsidRPr="006557D8" w:rsidRDefault="00275D2A">
            <w:pPr>
              <w:pStyle w:val="FootnoteText"/>
              <w:tabs>
                <w:tab w:val="left" w:pos="0"/>
              </w:tabs>
              <w:spacing w:line="276" w:lineRule="auto"/>
              <w:jc w:val="right"/>
              <w:outlineLvl w:val="2"/>
              <w:rPr>
                <w:sz w:val="22"/>
                <w:szCs w:val="22"/>
              </w:rPr>
            </w:pPr>
            <w:r w:rsidRPr="006557D8">
              <w:rPr>
                <w:sz w:val="22"/>
                <w:szCs w:val="22"/>
              </w:rPr>
              <w:t>4.665,7</w:t>
            </w:r>
          </w:p>
        </w:tc>
        <w:tc>
          <w:tcPr>
            <w:tcW w:w="708" w:type="dxa"/>
          </w:tcPr>
          <w:p w:rsidR="00275D2A" w:rsidRPr="006557D8" w:rsidRDefault="00275D2A">
            <w:pPr>
              <w:pStyle w:val="FootnoteText"/>
              <w:tabs>
                <w:tab w:val="left" w:pos="0"/>
              </w:tabs>
              <w:spacing w:line="276" w:lineRule="auto"/>
              <w:jc w:val="right"/>
              <w:outlineLvl w:val="2"/>
              <w:rPr>
                <w:sz w:val="22"/>
                <w:szCs w:val="22"/>
              </w:rPr>
            </w:pPr>
            <w:r w:rsidRPr="006557D8">
              <w:rPr>
                <w:sz w:val="22"/>
                <w:szCs w:val="22"/>
              </w:rPr>
              <w:t>5.195,9</w:t>
            </w:r>
          </w:p>
        </w:tc>
        <w:tc>
          <w:tcPr>
            <w:tcW w:w="709" w:type="dxa"/>
          </w:tcPr>
          <w:p w:rsidR="00275D2A" w:rsidRPr="006557D8" w:rsidRDefault="00275D2A">
            <w:pPr>
              <w:pStyle w:val="FootnoteText"/>
              <w:tabs>
                <w:tab w:val="left" w:pos="0"/>
              </w:tabs>
              <w:spacing w:line="276" w:lineRule="auto"/>
              <w:jc w:val="right"/>
              <w:outlineLvl w:val="2"/>
              <w:rPr>
                <w:sz w:val="22"/>
                <w:szCs w:val="22"/>
              </w:rPr>
            </w:pPr>
            <w:r w:rsidRPr="006557D8">
              <w:rPr>
                <w:sz w:val="22"/>
                <w:szCs w:val="22"/>
              </w:rPr>
              <w:t>4.484,4</w:t>
            </w:r>
          </w:p>
        </w:tc>
        <w:tc>
          <w:tcPr>
            <w:tcW w:w="709" w:type="dxa"/>
          </w:tcPr>
          <w:p w:rsidR="00275D2A" w:rsidRPr="006557D8" w:rsidRDefault="00275D2A">
            <w:pPr>
              <w:pStyle w:val="FootnoteText"/>
              <w:tabs>
                <w:tab w:val="left" w:pos="0"/>
              </w:tabs>
              <w:spacing w:line="276" w:lineRule="auto"/>
              <w:jc w:val="right"/>
              <w:outlineLvl w:val="2"/>
              <w:rPr>
                <w:sz w:val="22"/>
                <w:szCs w:val="22"/>
              </w:rPr>
            </w:pPr>
            <w:r w:rsidRPr="006557D8">
              <w:rPr>
                <w:sz w:val="22"/>
                <w:szCs w:val="22"/>
              </w:rPr>
              <w:t>4.567,1</w:t>
            </w:r>
          </w:p>
        </w:tc>
      </w:tr>
      <w:tr w:rsidR="00275D2A" w:rsidRPr="003A69CB" w:rsidTr="00045D09">
        <w:trPr>
          <w:trHeight w:val="60"/>
        </w:trPr>
        <w:tc>
          <w:tcPr>
            <w:tcW w:w="2268" w:type="dxa"/>
          </w:tcPr>
          <w:p w:rsidR="00275D2A" w:rsidRPr="006557D8" w:rsidRDefault="00275D2A">
            <w:pPr>
              <w:pStyle w:val="FootnoteText"/>
              <w:tabs>
                <w:tab w:val="left" w:pos="0"/>
              </w:tabs>
              <w:spacing w:line="276" w:lineRule="auto"/>
              <w:outlineLvl w:val="2"/>
              <w:rPr>
                <w:sz w:val="22"/>
                <w:szCs w:val="22"/>
              </w:rPr>
            </w:pPr>
            <w:r w:rsidRPr="006557D8">
              <w:rPr>
                <w:sz w:val="22"/>
                <w:szCs w:val="22"/>
              </w:rPr>
              <w:t>Saldo tekućeg računa u milijun. KM</w:t>
            </w:r>
          </w:p>
        </w:tc>
        <w:tc>
          <w:tcPr>
            <w:tcW w:w="709" w:type="dxa"/>
          </w:tcPr>
          <w:p w:rsidR="00275D2A" w:rsidRPr="006557D8" w:rsidRDefault="00275D2A">
            <w:pPr>
              <w:pStyle w:val="FootnoteText"/>
              <w:tabs>
                <w:tab w:val="left" w:pos="0"/>
              </w:tabs>
              <w:spacing w:line="276" w:lineRule="auto"/>
              <w:jc w:val="right"/>
              <w:outlineLvl w:val="2"/>
              <w:rPr>
                <w:sz w:val="22"/>
                <w:szCs w:val="22"/>
              </w:rPr>
            </w:pPr>
            <w:r w:rsidRPr="006557D8">
              <w:rPr>
                <w:sz w:val="22"/>
                <w:szCs w:val="22"/>
              </w:rPr>
              <w:t>-1.993</w:t>
            </w:r>
          </w:p>
        </w:tc>
        <w:tc>
          <w:tcPr>
            <w:tcW w:w="709" w:type="dxa"/>
          </w:tcPr>
          <w:p w:rsidR="00275D2A" w:rsidRPr="006557D8" w:rsidRDefault="00275D2A">
            <w:pPr>
              <w:pStyle w:val="FootnoteText"/>
              <w:tabs>
                <w:tab w:val="left" w:pos="0"/>
              </w:tabs>
              <w:spacing w:line="276" w:lineRule="auto"/>
              <w:jc w:val="right"/>
              <w:outlineLvl w:val="2"/>
              <w:rPr>
                <w:sz w:val="22"/>
                <w:szCs w:val="22"/>
              </w:rPr>
            </w:pPr>
            <w:r w:rsidRPr="006557D8">
              <w:rPr>
                <w:sz w:val="22"/>
                <w:szCs w:val="22"/>
              </w:rPr>
              <w:t>-3.510</w:t>
            </w:r>
          </w:p>
        </w:tc>
        <w:tc>
          <w:tcPr>
            <w:tcW w:w="709" w:type="dxa"/>
          </w:tcPr>
          <w:p w:rsidR="00275D2A" w:rsidRPr="006557D8" w:rsidRDefault="00275D2A">
            <w:pPr>
              <w:pStyle w:val="FootnoteText"/>
              <w:tabs>
                <w:tab w:val="left" w:pos="0"/>
              </w:tabs>
              <w:spacing w:line="276" w:lineRule="auto"/>
              <w:jc w:val="right"/>
              <w:outlineLvl w:val="2"/>
              <w:rPr>
                <w:sz w:val="22"/>
                <w:szCs w:val="22"/>
              </w:rPr>
            </w:pPr>
            <w:r w:rsidRPr="006557D8">
              <w:rPr>
                <w:sz w:val="22"/>
                <w:szCs w:val="22"/>
              </w:rPr>
              <w:t>-1.587</w:t>
            </w:r>
          </w:p>
        </w:tc>
        <w:tc>
          <w:tcPr>
            <w:tcW w:w="708" w:type="dxa"/>
          </w:tcPr>
          <w:p w:rsidR="00275D2A" w:rsidRPr="006557D8" w:rsidRDefault="00275D2A">
            <w:pPr>
              <w:pStyle w:val="FootnoteText"/>
              <w:tabs>
                <w:tab w:val="left" w:pos="0"/>
              </w:tabs>
              <w:spacing w:line="276" w:lineRule="auto"/>
              <w:jc w:val="right"/>
              <w:outlineLvl w:val="2"/>
              <w:rPr>
                <w:sz w:val="22"/>
                <w:szCs w:val="22"/>
              </w:rPr>
            </w:pPr>
            <w:r w:rsidRPr="006557D8">
              <w:rPr>
                <w:sz w:val="22"/>
                <w:szCs w:val="22"/>
              </w:rPr>
              <w:t>-1.528</w:t>
            </w:r>
          </w:p>
        </w:tc>
        <w:tc>
          <w:tcPr>
            <w:tcW w:w="709" w:type="dxa"/>
          </w:tcPr>
          <w:p w:rsidR="00275D2A" w:rsidRPr="006557D8" w:rsidRDefault="00275D2A">
            <w:pPr>
              <w:pStyle w:val="FootnoteText"/>
              <w:tabs>
                <w:tab w:val="left" w:pos="0"/>
              </w:tabs>
              <w:spacing w:line="276" w:lineRule="auto"/>
              <w:jc w:val="right"/>
              <w:outlineLvl w:val="2"/>
              <w:rPr>
                <w:sz w:val="22"/>
                <w:szCs w:val="22"/>
              </w:rPr>
            </w:pPr>
            <w:r w:rsidRPr="006557D8">
              <w:rPr>
                <w:sz w:val="22"/>
                <w:szCs w:val="22"/>
              </w:rPr>
              <w:t>-2.511</w:t>
            </w:r>
          </w:p>
        </w:tc>
        <w:tc>
          <w:tcPr>
            <w:tcW w:w="709" w:type="dxa"/>
          </w:tcPr>
          <w:p w:rsidR="00275D2A" w:rsidRPr="006557D8" w:rsidRDefault="00275D2A">
            <w:pPr>
              <w:pStyle w:val="FootnoteText"/>
              <w:tabs>
                <w:tab w:val="left" w:pos="0"/>
              </w:tabs>
              <w:spacing w:line="276" w:lineRule="auto"/>
              <w:jc w:val="right"/>
              <w:outlineLvl w:val="2"/>
              <w:rPr>
                <w:sz w:val="22"/>
                <w:szCs w:val="22"/>
              </w:rPr>
            </w:pPr>
            <w:r w:rsidRPr="006557D8">
              <w:rPr>
                <w:sz w:val="22"/>
                <w:szCs w:val="22"/>
              </w:rPr>
              <w:t>-2.383</w:t>
            </w:r>
          </w:p>
        </w:tc>
        <w:tc>
          <w:tcPr>
            <w:tcW w:w="709" w:type="dxa"/>
          </w:tcPr>
          <w:p w:rsidR="00275D2A" w:rsidRPr="006557D8" w:rsidRDefault="00275D2A">
            <w:pPr>
              <w:pStyle w:val="FootnoteText"/>
              <w:tabs>
                <w:tab w:val="left" w:pos="0"/>
              </w:tabs>
              <w:spacing w:line="276" w:lineRule="auto"/>
              <w:jc w:val="right"/>
              <w:outlineLvl w:val="2"/>
              <w:rPr>
                <w:sz w:val="22"/>
                <w:szCs w:val="22"/>
              </w:rPr>
            </w:pPr>
            <w:r w:rsidRPr="006557D8">
              <w:rPr>
                <w:sz w:val="22"/>
                <w:szCs w:val="22"/>
              </w:rPr>
              <w:t>-1.435</w:t>
            </w:r>
          </w:p>
        </w:tc>
        <w:tc>
          <w:tcPr>
            <w:tcW w:w="708" w:type="dxa"/>
          </w:tcPr>
          <w:p w:rsidR="00275D2A" w:rsidRPr="006557D8" w:rsidRDefault="00275D2A">
            <w:pPr>
              <w:pStyle w:val="FootnoteText"/>
              <w:tabs>
                <w:tab w:val="left" w:pos="0"/>
              </w:tabs>
              <w:spacing w:line="276" w:lineRule="auto"/>
              <w:jc w:val="right"/>
              <w:outlineLvl w:val="2"/>
              <w:rPr>
                <w:sz w:val="22"/>
                <w:szCs w:val="22"/>
              </w:rPr>
            </w:pPr>
            <w:r w:rsidRPr="006557D8">
              <w:rPr>
                <w:sz w:val="22"/>
                <w:szCs w:val="22"/>
              </w:rPr>
              <w:t>-2.006</w:t>
            </w:r>
          </w:p>
        </w:tc>
        <w:tc>
          <w:tcPr>
            <w:tcW w:w="709" w:type="dxa"/>
          </w:tcPr>
          <w:p w:rsidR="00275D2A" w:rsidRPr="006557D8" w:rsidRDefault="00275D2A">
            <w:pPr>
              <w:pStyle w:val="FootnoteText"/>
              <w:tabs>
                <w:tab w:val="left" w:pos="0"/>
              </w:tabs>
              <w:spacing w:line="276" w:lineRule="auto"/>
              <w:jc w:val="right"/>
              <w:outlineLvl w:val="2"/>
              <w:rPr>
                <w:sz w:val="22"/>
                <w:szCs w:val="22"/>
              </w:rPr>
            </w:pPr>
            <w:r w:rsidRPr="006557D8">
              <w:rPr>
                <w:sz w:val="22"/>
                <w:szCs w:val="22"/>
              </w:rPr>
              <w:t>-1.576</w:t>
            </w:r>
          </w:p>
        </w:tc>
        <w:tc>
          <w:tcPr>
            <w:tcW w:w="709" w:type="dxa"/>
          </w:tcPr>
          <w:p w:rsidR="00275D2A" w:rsidRPr="006557D8" w:rsidRDefault="00275D2A">
            <w:pPr>
              <w:pStyle w:val="FootnoteText"/>
              <w:tabs>
                <w:tab w:val="left" w:pos="0"/>
              </w:tabs>
              <w:spacing w:line="276" w:lineRule="auto"/>
              <w:jc w:val="right"/>
              <w:outlineLvl w:val="2"/>
              <w:rPr>
                <w:sz w:val="22"/>
                <w:szCs w:val="22"/>
              </w:rPr>
            </w:pPr>
            <w:r w:rsidRPr="006557D8">
              <w:rPr>
                <w:sz w:val="22"/>
                <w:szCs w:val="22"/>
              </w:rPr>
              <w:t>-1.310</w:t>
            </w:r>
          </w:p>
        </w:tc>
      </w:tr>
      <w:tr w:rsidR="00275D2A" w:rsidRPr="003A69CB" w:rsidTr="00045D09">
        <w:trPr>
          <w:trHeight w:val="153"/>
        </w:trPr>
        <w:tc>
          <w:tcPr>
            <w:tcW w:w="2268" w:type="dxa"/>
          </w:tcPr>
          <w:p w:rsidR="00275D2A" w:rsidRPr="006557D8" w:rsidRDefault="00275D2A">
            <w:pPr>
              <w:pStyle w:val="FootnoteText"/>
              <w:tabs>
                <w:tab w:val="left" w:pos="0"/>
              </w:tabs>
              <w:spacing w:line="276" w:lineRule="auto"/>
              <w:outlineLvl w:val="2"/>
              <w:rPr>
                <w:sz w:val="22"/>
                <w:szCs w:val="22"/>
              </w:rPr>
            </w:pPr>
            <w:r w:rsidRPr="006557D8">
              <w:rPr>
                <w:sz w:val="22"/>
                <w:szCs w:val="22"/>
              </w:rPr>
              <w:t>Saldo tekućeg računa u % BDP</w:t>
            </w:r>
          </w:p>
        </w:tc>
        <w:tc>
          <w:tcPr>
            <w:tcW w:w="709" w:type="dxa"/>
          </w:tcPr>
          <w:p w:rsidR="00275D2A" w:rsidRPr="006557D8" w:rsidRDefault="00275D2A">
            <w:pPr>
              <w:pStyle w:val="FootnoteText"/>
              <w:tabs>
                <w:tab w:val="left" w:pos="0"/>
              </w:tabs>
              <w:spacing w:line="276" w:lineRule="auto"/>
              <w:jc w:val="right"/>
              <w:outlineLvl w:val="2"/>
              <w:rPr>
                <w:sz w:val="22"/>
                <w:szCs w:val="22"/>
              </w:rPr>
            </w:pPr>
            <w:r w:rsidRPr="006557D8">
              <w:rPr>
                <w:sz w:val="22"/>
                <w:szCs w:val="22"/>
              </w:rPr>
              <w:t>9,1</w:t>
            </w:r>
          </w:p>
        </w:tc>
        <w:tc>
          <w:tcPr>
            <w:tcW w:w="709" w:type="dxa"/>
          </w:tcPr>
          <w:p w:rsidR="00275D2A" w:rsidRPr="006557D8" w:rsidRDefault="00275D2A">
            <w:pPr>
              <w:pStyle w:val="FootnoteText"/>
              <w:tabs>
                <w:tab w:val="left" w:pos="0"/>
              </w:tabs>
              <w:spacing w:line="276" w:lineRule="auto"/>
              <w:jc w:val="right"/>
              <w:outlineLvl w:val="2"/>
              <w:rPr>
                <w:sz w:val="22"/>
                <w:szCs w:val="22"/>
              </w:rPr>
            </w:pPr>
            <w:r w:rsidRPr="006557D8">
              <w:rPr>
                <w:sz w:val="22"/>
                <w:szCs w:val="22"/>
              </w:rPr>
              <w:t>14,1</w:t>
            </w:r>
          </w:p>
        </w:tc>
        <w:tc>
          <w:tcPr>
            <w:tcW w:w="709" w:type="dxa"/>
          </w:tcPr>
          <w:p w:rsidR="00275D2A" w:rsidRPr="006557D8" w:rsidRDefault="00275D2A">
            <w:pPr>
              <w:pStyle w:val="FootnoteText"/>
              <w:tabs>
                <w:tab w:val="left" w:pos="0"/>
              </w:tabs>
              <w:spacing w:line="276" w:lineRule="auto"/>
              <w:jc w:val="right"/>
              <w:outlineLvl w:val="2"/>
              <w:rPr>
                <w:sz w:val="22"/>
                <w:szCs w:val="22"/>
              </w:rPr>
            </w:pPr>
            <w:r w:rsidRPr="006557D8">
              <w:rPr>
                <w:sz w:val="22"/>
                <w:szCs w:val="22"/>
              </w:rPr>
              <w:t>6,4</w:t>
            </w:r>
          </w:p>
        </w:tc>
        <w:tc>
          <w:tcPr>
            <w:tcW w:w="708" w:type="dxa"/>
          </w:tcPr>
          <w:p w:rsidR="00275D2A" w:rsidRPr="006557D8" w:rsidRDefault="00275D2A">
            <w:pPr>
              <w:pStyle w:val="FootnoteText"/>
              <w:tabs>
                <w:tab w:val="left" w:pos="0"/>
              </w:tabs>
              <w:spacing w:line="276" w:lineRule="auto"/>
              <w:jc w:val="right"/>
              <w:outlineLvl w:val="2"/>
              <w:rPr>
                <w:sz w:val="22"/>
                <w:szCs w:val="22"/>
              </w:rPr>
            </w:pPr>
            <w:r w:rsidRPr="006557D8">
              <w:rPr>
                <w:sz w:val="22"/>
                <w:szCs w:val="22"/>
              </w:rPr>
              <w:t>6,1</w:t>
            </w:r>
          </w:p>
        </w:tc>
        <w:tc>
          <w:tcPr>
            <w:tcW w:w="709" w:type="dxa"/>
          </w:tcPr>
          <w:p w:rsidR="00275D2A" w:rsidRPr="006557D8" w:rsidRDefault="00275D2A">
            <w:pPr>
              <w:pStyle w:val="FootnoteText"/>
              <w:tabs>
                <w:tab w:val="left" w:pos="0"/>
              </w:tabs>
              <w:spacing w:line="276" w:lineRule="auto"/>
              <w:jc w:val="right"/>
              <w:outlineLvl w:val="2"/>
              <w:rPr>
                <w:sz w:val="22"/>
                <w:szCs w:val="22"/>
              </w:rPr>
            </w:pPr>
            <w:r w:rsidRPr="006557D8">
              <w:rPr>
                <w:sz w:val="22"/>
                <w:szCs w:val="22"/>
              </w:rPr>
              <w:t>9,6</w:t>
            </w:r>
          </w:p>
        </w:tc>
        <w:tc>
          <w:tcPr>
            <w:tcW w:w="709" w:type="dxa"/>
          </w:tcPr>
          <w:p w:rsidR="00275D2A" w:rsidRPr="006557D8" w:rsidRDefault="00275D2A">
            <w:pPr>
              <w:pStyle w:val="FootnoteText"/>
              <w:tabs>
                <w:tab w:val="left" w:pos="0"/>
              </w:tabs>
              <w:spacing w:line="276" w:lineRule="auto"/>
              <w:jc w:val="right"/>
              <w:outlineLvl w:val="2"/>
              <w:rPr>
                <w:sz w:val="22"/>
                <w:szCs w:val="22"/>
              </w:rPr>
            </w:pPr>
            <w:r w:rsidRPr="006557D8">
              <w:rPr>
                <w:sz w:val="22"/>
                <w:szCs w:val="22"/>
              </w:rPr>
              <w:t>9,1</w:t>
            </w:r>
          </w:p>
        </w:tc>
        <w:tc>
          <w:tcPr>
            <w:tcW w:w="709" w:type="dxa"/>
          </w:tcPr>
          <w:p w:rsidR="00275D2A" w:rsidRPr="006557D8" w:rsidRDefault="00275D2A">
            <w:pPr>
              <w:pStyle w:val="FootnoteText"/>
              <w:tabs>
                <w:tab w:val="left" w:pos="0"/>
              </w:tabs>
              <w:spacing w:line="276" w:lineRule="auto"/>
              <w:jc w:val="right"/>
              <w:outlineLvl w:val="2"/>
              <w:rPr>
                <w:sz w:val="22"/>
                <w:szCs w:val="22"/>
              </w:rPr>
            </w:pPr>
            <w:r w:rsidRPr="006557D8">
              <w:rPr>
                <w:sz w:val="22"/>
                <w:szCs w:val="22"/>
              </w:rPr>
              <w:t>5,4</w:t>
            </w:r>
          </w:p>
        </w:tc>
        <w:tc>
          <w:tcPr>
            <w:tcW w:w="708" w:type="dxa"/>
          </w:tcPr>
          <w:p w:rsidR="00275D2A" w:rsidRPr="006557D8" w:rsidRDefault="00275D2A">
            <w:pPr>
              <w:pStyle w:val="FootnoteText"/>
              <w:tabs>
                <w:tab w:val="left" w:pos="0"/>
              </w:tabs>
              <w:spacing w:line="276" w:lineRule="auto"/>
              <w:jc w:val="right"/>
              <w:outlineLvl w:val="2"/>
              <w:rPr>
                <w:sz w:val="22"/>
                <w:szCs w:val="22"/>
              </w:rPr>
            </w:pPr>
            <w:r w:rsidRPr="006557D8">
              <w:rPr>
                <w:sz w:val="22"/>
                <w:szCs w:val="22"/>
              </w:rPr>
              <w:t>7,4</w:t>
            </w:r>
          </w:p>
        </w:tc>
        <w:tc>
          <w:tcPr>
            <w:tcW w:w="709" w:type="dxa"/>
          </w:tcPr>
          <w:p w:rsidR="00275D2A" w:rsidRPr="006557D8" w:rsidRDefault="00275D2A">
            <w:pPr>
              <w:pStyle w:val="FootnoteText"/>
              <w:tabs>
                <w:tab w:val="left" w:pos="0"/>
              </w:tabs>
              <w:spacing w:line="276" w:lineRule="auto"/>
              <w:jc w:val="right"/>
              <w:outlineLvl w:val="2"/>
              <w:rPr>
                <w:sz w:val="22"/>
                <w:szCs w:val="22"/>
              </w:rPr>
            </w:pPr>
            <w:r w:rsidRPr="006557D8">
              <w:rPr>
                <w:sz w:val="22"/>
                <w:szCs w:val="22"/>
              </w:rPr>
              <w:t>5,5</w:t>
            </w:r>
          </w:p>
        </w:tc>
        <w:tc>
          <w:tcPr>
            <w:tcW w:w="709" w:type="dxa"/>
          </w:tcPr>
          <w:p w:rsidR="00275D2A" w:rsidRPr="006557D8" w:rsidRDefault="00275D2A">
            <w:pPr>
              <w:pStyle w:val="FootnoteText"/>
              <w:tabs>
                <w:tab w:val="left" w:pos="0"/>
              </w:tabs>
              <w:spacing w:line="276" w:lineRule="auto"/>
              <w:jc w:val="right"/>
              <w:outlineLvl w:val="2"/>
              <w:rPr>
                <w:sz w:val="22"/>
                <w:szCs w:val="22"/>
              </w:rPr>
            </w:pPr>
            <w:r w:rsidRPr="006557D8">
              <w:rPr>
                <w:sz w:val="22"/>
                <w:szCs w:val="22"/>
              </w:rPr>
              <w:t>4,3</w:t>
            </w:r>
          </w:p>
        </w:tc>
      </w:tr>
      <w:tr w:rsidR="00275D2A" w:rsidRPr="003A69CB" w:rsidTr="00045D09">
        <w:trPr>
          <w:trHeight w:val="60"/>
        </w:trPr>
        <w:tc>
          <w:tcPr>
            <w:tcW w:w="2268" w:type="dxa"/>
          </w:tcPr>
          <w:p w:rsidR="00275D2A" w:rsidRPr="006557D8" w:rsidRDefault="00275D2A">
            <w:pPr>
              <w:pStyle w:val="FootnoteText"/>
              <w:tabs>
                <w:tab w:val="left" w:pos="0"/>
              </w:tabs>
              <w:spacing w:line="276" w:lineRule="auto"/>
              <w:outlineLvl w:val="2"/>
              <w:rPr>
                <w:sz w:val="22"/>
                <w:szCs w:val="22"/>
              </w:rPr>
            </w:pPr>
            <w:r w:rsidRPr="006557D8">
              <w:rPr>
                <w:sz w:val="22"/>
                <w:szCs w:val="22"/>
              </w:rPr>
              <w:t>Vanjski dug % BDP-a</w:t>
            </w:r>
          </w:p>
        </w:tc>
        <w:tc>
          <w:tcPr>
            <w:tcW w:w="709" w:type="dxa"/>
          </w:tcPr>
          <w:p w:rsidR="00275D2A" w:rsidRPr="006557D8" w:rsidRDefault="00275D2A">
            <w:pPr>
              <w:pStyle w:val="FootnoteText"/>
              <w:tabs>
                <w:tab w:val="left" w:pos="0"/>
              </w:tabs>
              <w:spacing w:line="276" w:lineRule="auto"/>
              <w:jc w:val="right"/>
              <w:outlineLvl w:val="2"/>
              <w:rPr>
                <w:sz w:val="22"/>
                <w:szCs w:val="22"/>
              </w:rPr>
            </w:pPr>
            <w:r w:rsidRPr="006557D8">
              <w:rPr>
                <w:sz w:val="22"/>
                <w:szCs w:val="22"/>
              </w:rPr>
              <w:t>18,0</w:t>
            </w:r>
          </w:p>
        </w:tc>
        <w:tc>
          <w:tcPr>
            <w:tcW w:w="709" w:type="dxa"/>
          </w:tcPr>
          <w:p w:rsidR="00275D2A" w:rsidRPr="006557D8" w:rsidRDefault="00275D2A">
            <w:pPr>
              <w:pStyle w:val="FootnoteText"/>
              <w:tabs>
                <w:tab w:val="left" w:pos="0"/>
              </w:tabs>
              <w:spacing w:line="276" w:lineRule="auto"/>
              <w:jc w:val="right"/>
              <w:outlineLvl w:val="2"/>
              <w:rPr>
                <w:sz w:val="22"/>
                <w:szCs w:val="22"/>
              </w:rPr>
            </w:pPr>
            <w:r w:rsidRPr="006557D8">
              <w:rPr>
                <w:sz w:val="22"/>
                <w:szCs w:val="22"/>
              </w:rPr>
              <w:t>17,0</w:t>
            </w:r>
          </w:p>
        </w:tc>
        <w:tc>
          <w:tcPr>
            <w:tcW w:w="709" w:type="dxa"/>
          </w:tcPr>
          <w:p w:rsidR="00275D2A" w:rsidRPr="006557D8" w:rsidRDefault="00275D2A">
            <w:pPr>
              <w:pStyle w:val="FootnoteText"/>
              <w:tabs>
                <w:tab w:val="left" w:pos="0"/>
              </w:tabs>
              <w:spacing w:line="276" w:lineRule="auto"/>
              <w:jc w:val="right"/>
              <w:outlineLvl w:val="2"/>
              <w:rPr>
                <w:sz w:val="22"/>
                <w:szCs w:val="22"/>
              </w:rPr>
            </w:pPr>
            <w:r w:rsidRPr="006557D8">
              <w:rPr>
                <w:sz w:val="22"/>
                <w:szCs w:val="22"/>
              </w:rPr>
              <w:t>21,1</w:t>
            </w:r>
          </w:p>
        </w:tc>
        <w:tc>
          <w:tcPr>
            <w:tcW w:w="708" w:type="dxa"/>
          </w:tcPr>
          <w:p w:rsidR="00275D2A" w:rsidRPr="006557D8" w:rsidRDefault="00275D2A">
            <w:pPr>
              <w:pStyle w:val="FootnoteText"/>
              <w:tabs>
                <w:tab w:val="left" w:pos="0"/>
              </w:tabs>
              <w:spacing w:line="276" w:lineRule="auto"/>
              <w:jc w:val="right"/>
              <w:outlineLvl w:val="2"/>
              <w:rPr>
                <w:sz w:val="22"/>
                <w:szCs w:val="22"/>
              </w:rPr>
            </w:pPr>
            <w:r w:rsidRPr="006557D8">
              <w:rPr>
                <w:sz w:val="22"/>
                <w:szCs w:val="22"/>
              </w:rPr>
              <w:t>24,8</w:t>
            </w:r>
          </w:p>
        </w:tc>
        <w:tc>
          <w:tcPr>
            <w:tcW w:w="709" w:type="dxa"/>
          </w:tcPr>
          <w:p w:rsidR="00275D2A" w:rsidRPr="006557D8" w:rsidRDefault="00275D2A">
            <w:pPr>
              <w:pStyle w:val="FootnoteText"/>
              <w:tabs>
                <w:tab w:val="left" w:pos="0"/>
              </w:tabs>
              <w:spacing w:line="276" w:lineRule="auto"/>
              <w:jc w:val="right"/>
              <w:outlineLvl w:val="2"/>
              <w:rPr>
                <w:sz w:val="22"/>
                <w:szCs w:val="22"/>
              </w:rPr>
            </w:pPr>
            <w:r w:rsidRPr="006557D8">
              <w:rPr>
                <w:sz w:val="22"/>
                <w:szCs w:val="22"/>
              </w:rPr>
              <w:t>25,4</w:t>
            </w:r>
          </w:p>
        </w:tc>
        <w:tc>
          <w:tcPr>
            <w:tcW w:w="709" w:type="dxa"/>
          </w:tcPr>
          <w:p w:rsidR="00275D2A" w:rsidRPr="006557D8" w:rsidRDefault="00275D2A">
            <w:pPr>
              <w:pStyle w:val="FootnoteText"/>
              <w:tabs>
                <w:tab w:val="left" w:pos="0"/>
              </w:tabs>
              <w:spacing w:line="276" w:lineRule="auto"/>
              <w:jc w:val="right"/>
              <w:outlineLvl w:val="2"/>
              <w:rPr>
                <w:sz w:val="22"/>
                <w:szCs w:val="22"/>
              </w:rPr>
            </w:pPr>
            <w:r w:rsidRPr="006557D8">
              <w:rPr>
                <w:sz w:val="22"/>
                <w:szCs w:val="22"/>
              </w:rPr>
              <w:t>27,5</w:t>
            </w:r>
          </w:p>
        </w:tc>
        <w:tc>
          <w:tcPr>
            <w:tcW w:w="709" w:type="dxa"/>
          </w:tcPr>
          <w:p w:rsidR="00275D2A" w:rsidRPr="006557D8" w:rsidRDefault="00275D2A">
            <w:pPr>
              <w:pStyle w:val="FootnoteText"/>
              <w:tabs>
                <w:tab w:val="left" w:pos="0"/>
              </w:tabs>
              <w:spacing w:line="276" w:lineRule="auto"/>
              <w:jc w:val="right"/>
              <w:outlineLvl w:val="2"/>
              <w:rPr>
                <w:sz w:val="22"/>
                <w:szCs w:val="22"/>
              </w:rPr>
            </w:pPr>
            <w:r w:rsidRPr="006557D8">
              <w:rPr>
                <w:sz w:val="22"/>
                <w:szCs w:val="22"/>
              </w:rPr>
              <w:t>28,3</w:t>
            </w:r>
          </w:p>
        </w:tc>
        <w:tc>
          <w:tcPr>
            <w:tcW w:w="708" w:type="dxa"/>
          </w:tcPr>
          <w:p w:rsidR="00275D2A" w:rsidRPr="006557D8" w:rsidRDefault="00275D2A">
            <w:pPr>
              <w:pStyle w:val="FootnoteText"/>
              <w:tabs>
                <w:tab w:val="left" w:pos="0"/>
              </w:tabs>
              <w:spacing w:line="276" w:lineRule="auto"/>
              <w:jc w:val="right"/>
              <w:outlineLvl w:val="2"/>
              <w:rPr>
                <w:sz w:val="22"/>
                <w:szCs w:val="22"/>
              </w:rPr>
            </w:pPr>
            <w:r w:rsidRPr="006557D8">
              <w:rPr>
                <w:sz w:val="22"/>
                <w:szCs w:val="22"/>
              </w:rPr>
              <w:t>30,9</w:t>
            </w:r>
          </w:p>
        </w:tc>
        <w:tc>
          <w:tcPr>
            <w:tcW w:w="709" w:type="dxa"/>
          </w:tcPr>
          <w:p w:rsidR="00275D2A" w:rsidRPr="006557D8" w:rsidRDefault="00275D2A">
            <w:pPr>
              <w:pStyle w:val="FootnoteText"/>
              <w:tabs>
                <w:tab w:val="left" w:pos="0"/>
              </w:tabs>
              <w:spacing w:line="276" w:lineRule="auto"/>
              <w:jc w:val="right"/>
              <w:outlineLvl w:val="2"/>
              <w:rPr>
                <w:sz w:val="22"/>
                <w:szCs w:val="22"/>
              </w:rPr>
            </w:pPr>
            <w:r w:rsidRPr="006557D8">
              <w:rPr>
                <w:sz w:val="22"/>
                <w:szCs w:val="22"/>
              </w:rPr>
              <w:t>30,3</w:t>
            </w:r>
          </w:p>
        </w:tc>
        <w:tc>
          <w:tcPr>
            <w:tcW w:w="709" w:type="dxa"/>
          </w:tcPr>
          <w:p w:rsidR="00275D2A" w:rsidRPr="006557D8" w:rsidRDefault="00275D2A">
            <w:pPr>
              <w:pStyle w:val="FootnoteText"/>
              <w:tabs>
                <w:tab w:val="left" w:pos="0"/>
              </w:tabs>
              <w:spacing w:line="276" w:lineRule="auto"/>
              <w:jc w:val="right"/>
              <w:outlineLvl w:val="2"/>
              <w:rPr>
                <w:sz w:val="22"/>
                <w:szCs w:val="22"/>
              </w:rPr>
            </w:pPr>
            <w:r w:rsidRPr="006557D8">
              <w:rPr>
                <w:sz w:val="22"/>
                <w:szCs w:val="22"/>
              </w:rPr>
              <w:t>29,2</w:t>
            </w:r>
          </w:p>
        </w:tc>
      </w:tr>
      <w:tr w:rsidR="00275D2A" w:rsidRPr="003A69CB" w:rsidTr="00045D09">
        <w:trPr>
          <w:trHeight w:val="60"/>
        </w:trPr>
        <w:tc>
          <w:tcPr>
            <w:tcW w:w="2268" w:type="dxa"/>
          </w:tcPr>
          <w:p w:rsidR="00275D2A" w:rsidRPr="006557D8" w:rsidRDefault="00275D2A">
            <w:pPr>
              <w:pStyle w:val="FootnoteText"/>
              <w:tabs>
                <w:tab w:val="left" w:pos="0"/>
              </w:tabs>
              <w:spacing w:line="276" w:lineRule="auto"/>
              <w:outlineLvl w:val="2"/>
              <w:rPr>
                <w:sz w:val="22"/>
                <w:szCs w:val="22"/>
              </w:rPr>
            </w:pPr>
            <w:r w:rsidRPr="006557D8">
              <w:rPr>
                <w:sz w:val="22"/>
                <w:szCs w:val="22"/>
              </w:rPr>
              <w:t>Saldo vanj.trgovne razmjen/BDP u %</w:t>
            </w:r>
          </w:p>
        </w:tc>
        <w:tc>
          <w:tcPr>
            <w:tcW w:w="709" w:type="dxa"/>
          </w:tcPr>
          <w:p w:rsidR="00275D2A" w:rsidRPr="006557D8" w:rsidRDefault="00275D2A">
            <w:pPr>
              <w:pStyle w:val="FootnoteText"/>
              <w:tabs>
                <w:tab w:val="left" w:pos="0"/>
              </w:tabs>
              <w:spacing w:line="276" w:lineRule="auto"/>
              <w:jc w:val="right"/>
              <w:outlineLvl w:val="2"/>
              <w:rPr>
                <w:sz w:val="22"/>
                <w:szCs w:val="22"/>
              </w:rPr>
            </w:pPr>
            <w:r w:rsidRPr="006557D8">
              <w:rPr>
                <w:sz w:val="22"/>
                <w:szCs w:val="22"/>
              </w:rPr>
              <w:t>36,1</w:t>
            </w:r>
          </w:p>
        </w:tc>
        <w:tc>
          <w:tcPr>
            <w:tcW w:w="709" w:type="dxa"/>
          </w:tcPr>
          <w:p w:rsidR="00275D2A" w:rsidRPr="006557D8" w:rsidRDefault="00275D2A">
            <w:pPr>
              <w:pStyle w:val="FootnoteText"/>
              <w:tabs>
                <w:tab w:val="left" w:pos="0"/>
              </w:tabs>
              <w:spacing w:line="276" w:lineRule="auto"/>
              <w:jc w:val="right"/>
              <w:outlineLvl w:val="2"/>
              <w:rPr>
                <w:sz w:val="22"/>
                <w:szCs w:val="22"/>
              </w:rPr>
            </w:pPr>
            <w:r w:rsidRPr="006557D8">
              <w:rPr>
                <w:sz w:val="22"/>
                <w:szCs w:val="22"/>
              </w:rPr>
              <w:t>38,3</w:t>
            </w:r>
          </w:p>
        </w:tc>
        <w:tc>
          <w:tcPr>
            <w:tcW w:w="709" w:type="dxa"/>
          </w:tcPr>
          <w:p w:rsidR="00275D2A" w:rsidRPr="006557D8" w:rsidRDefault="00275D2A">
            <w:pPr>
              <w:pStyle w:val="FootnoteText"/>
              <w:tabs>
                <w:tab w:val="left" w:pos="0"/>
              </w:tabs>
              <w:spacing w:line="276" w:lineRule="auto"/>
              <w:jc w:val="right"/>
              <w:outlineLvl w:val="2"/>
              <w:rPr>
                <w:sz w:val="22"/>
                <w:szCs w:val="22"/>
              </w:rPr>
            </w:pPr>
            <w:r w:rsidRPr="006557D8">
              <w:rPr>
                <w:sz w:val="22"/>
                <w:szCs w:val="22"/>
              </w:rPr>
              <w:t>27,5</w:t>
            </w:r>
          </w:p>
        </w:tc>
        <w:tc>
          <w:tcPr>
            <w:tcW w:w="708" w:type="dxa"/>
          </w:tcPr>
          <w:p w:rsidR="00275D2A" w:rsidRPr="006557D8" w:rsidRDefault="00275D2A">
            <w:pPr>
              <w:pStyle w:val="FootnoteText"/>
              <w:tabs>
                <w:tab w:val="left" w:pos="0"/>
              </w:tabs>
              <w:spacing w:line="276" w:lineRule="auto"/>
              <w:jc w:val="right"/>
              <w:outlineLvl w:val="2"/>
              <w:rPr>
                <w:sz w:val="22"/>
                <w:szCs w:val="22"/>
              </w:rPr>
            </w:pPr>
            <w:r w:rsidRPr="006557D8">
              <w:rPr>
                <w:sz w:val="22"/>
                <w:szCs w:val="22"/>
              </w:rPr>
              <w:t>25,7</w:t>
            </w:r>
          </w:p>
        </w:tc>
        <w:tc>
          <w:tcPr>
            <w:tcW w:w="709" w:type="dxa"/>
          </w:tcPr>
          <w:p w:rsidR="00275D2A" w:rsidRPr="006557D8" w:rsidRDefault="00275D2A">
            <w:pPr>
              <w:pStyle w:val="FootnoteText"/>
              <w:tabs>
                <w:tab w:val="left" w:pos="0"/>
              </w:tabs>
              <w:spacing w:line="276" w:lineRule="auto"/>
              <w:jc w:val="right"/>
              <w:outlineLvl w:val="2"/>
              <w:rPr>
                <w:sz w:val="22"/>
                <w:szCs w:val="22"/>
              </w:rPr>
            </w:pPr>
            <w:r w:rsidRPr="006557D8">
              <w:rPr>
                <w:sz w:val="22"/>
                <w:szCs w:val="22"/>
              </w:rPr>
              <w:t>27,8</w:t>
            </w:r>
          </w:p>
        </w:tc>
        <w:tc>
          <w:tcPr>
            <w:tcW w:w="709" w:type="dxa"/>
          </w:tcPr>
          <w:p w:rsidR="00275D2A" w:rsidRPr="006557D8" w:rsidRDefault="00275D2A">
            <w:pPr>
              <w:pStyle w:val="FootnoteText"/>
              <w:tabs>
                <w:tab w:val="left" w:pos="0"/>
              </w:tabs>
              <w:spacing w:line="276" w:lineRule="auto"/>
              <w:jc w:val="right"/>
              <w:outlineLvl w:val="2"/>
              <w:rPr>
                <w:sz w:val="22"/>
                <w:szCs w:val="22"/>
              </w:rPr>
            </w:pPr>
            <w:r w:rsidRPr="006557D8">
              <w:rPr>
                <w:sz w:val="22"/>
                <w:szCs w:val="22"/>
              </w:rPr>
              <w:t>28,2</w:t>
            </w:r>
          </w:p>
        </w:tc>
        <w:tc>
          <w:tcPr>
            <w:tcW w:w="709" w:type="dxa"/>
          </w:tcPr>
          <w:p w:rsidR="00275D2A" w:rsidRPr="006557D8" w:rsidRDefault="00275D2A">
            <w:pPr>
              <w:pStyle w:val="FootnoteText"/>
              <w:tabs>
                <w:tab w:val="left" w:pos="0"/>
              </w:tabs>
              <w:spacing w:line="276" w:lineRule="auto"/>
              <w:jc w:val="right"/>
              <w:outlineLvl w:val="2"/>
              <w:rPr>
                <w:sz w:val="22"/>
                <w:szCs w:val="22"/>
              </w:rPr>
            </w:pPr>
            <w:r w:rsidRPr="006557D8">
              <w:rPr>
                <w:sz w:val="22"/>
                <w:szCs w:val="22"/>
              </w:rPr>
              <w:t>25,4</w:t>
            </w:r>
          </w:p>
        </w:tc>
        <w:tc>
          <w:tcPr>
            <w:tcW w:w="708" w:type="dxa"/>
          </w:tcPr>
          <w:p w:rsidR="00275D2A" w:rsidRPr="006557D8" w:rsidRDefault="00275D2A">
            <w:pPr>
              <w:pStyle w:val="FootnoteText"/>
              <w:tabs>
                <w:tab w:val="left" w:pos="0"/>
              </w:tabs>
              <w:spacing w:line="276" w:lineRule="auto"/>
              <w:jc w:val="right"/>
              <w:outlineLvl w:val="2"/>
              <w:rPr>
                <w:sz w:val="22"/>
                <w:szCs w:val="22"/>
              </w:rPr>
            </w:pPr>
            <w:r w:rsidRPr="006557D8">
              <w:rPr>
                <w:sz w:val="22"/>
                <w:szCs w:val="22"/>
              </w:rPr>
              <w:t>27,5</w:t>
            </w:r>
          </w:p>
        </w:tc>
        <w:tc>
          <w:tcPr>
            <w:tcW w:w="709" w:type="dxa"/>
          </w:tcPr>
          <w:p w:rsidR="00275D2A" w:rsidRPr="006557D8" w:rsidRDefault="00275D2A">
            <w:pPr>
              <w:pStyle w:val="FootnoteText"/>
              <w:tabs>
                <w:tab w:val="left" w:pos="0"/>
              </w:tabs>
              <w:spacing w:line="276" w:lineRule="auto"/>
              <w:jc w:val="right"/>
              <w:outlineLvl w:val="2"/>
              <w:rPr>
                <w:sz w:val="22"/>
                <w:szCs w:val="22"/>
              </w:rPr>
            </w:pPr>
            <w:r w:rsidRPr="006557D8">
              <w:rPr>
                <w:sz w:val="22"/>
                <w:szCs w:val="22"/>
              </w:rPr>
              <w:t>23,9</w:t>
            </w:r>
          </w:p>
        </w:tc>
        <w:tc>
          <w:tcPr>
            <w:tcW w:w="709" w:type="dxa"/>
          </w:tcPr>
          <w:p w:rsidR="00275D2A" w:rsidRPr="006557D8" w:rsidRDefault="00275D2A">
            <w:pPr>
              <w:pStyle w:val="FootnoteText"/>
              <w:tabs>
                <w:tab w:val="left" w:pos="0"/>
              </w:tabs>
              <w:spacing w:line="276" w:lineRule="auto"/>
              <w:jc w:val="right"/>
              <w:outlineLvl w:val="2"/>
              <w:rPr>
                <w:sz w:val="22"/>
                <w:szCs w:val="22"/>
              </w:rPr>
            </w:pPr>
            <w:r w:rsidRPr="006557D8">
              <w:rPr>
                <w:sz w:val="22"/>
                <w:szCs w:val="22"/>
              </w:rPr>
              <w:t>22,1</w:t>
            </w:r>
          </w:p>
        </w:tc>
      </w:tr>
      <w:tr w:rsidR="00275D2A" w:rsidRPr="003A69CB" w:rsidTr="00045D09">
        <w:trPr>
          <w:trHeight w:val="60"/>
        </w:trPr>
        <w:tc>
          <w:tcPr>
            <w:tcW w:w="2268" w:type="dxa"/>
          </w:tcPr>
          <w:p w:rsidR="00275D2A" w:rsidRPr="006557D8" w:rsidRDefault="00275D2A">
            <w:pPr>
              <w:pStyle w:val="FootnoteText"/>
              <w:tabs>
                <w:tab w:val="left" w:pos="0"/>
              </w:tabs>
              <w:spacing w:line="276" w:lineRule="auto"/>
              <w:outlineLvl w:val="2"/>
              <w:rPr>
                <w:sz w:val="22"/>
                <w:szCs w:val="22"/>
              </w:rPr>
            </w:pPr>
            <w:r w:rsidRPr="006557D8">
              <w:rPr>
                <w:sz w:val="22"/>
                <w:szCs w:val="22"/>
              </w:rPr>
              <w:t>Javni dug % BDP-a</w:t>
            </w:r>
          </w:p>
        </w:tc>
        <w:tc>
          <w:tcPr>
            <w:tcW w:w="709" w:type="dxa"/>
          </w:tcPr>
          <w:p w:rsidR="00275D2A" w:rsidRPr="006557D8" w:rsidRDefault="00275D2A">
            <w:pPr>
              <w:pStyle w:val="FootnoteText"/>
              <w:tabs>
                <w:tab w:val="left" w:pos="0"/>
              </w:tabs>
              <w:spacing w:line="276" w:lineRule="auto"/>
              <w:jc w:val="right"/>
              <w:outlineLvl w:val="2"/>
              <w:rPr>
                <w:sz w:val="22"/>
                <w:szCs w:val="22"/>
              </w:rPr>
            </w:pPr>
            <w:r w:rsidRPr="006557D8">
              <w:rPr>
                <w:sz w:val="22"/>
                <w:szCs w:val="22"/>
              </w:rPr>
              <w:t>38,6</w:t>
            </w:r>
          </w:p>
        </w:tc>
        <w:tc>
          <w:tcPr>
            <w:tcW w:w="709" w:type="dxa"/>
          </w:tcPr>
          <w:p w:rsidR="00275D2A" w:rsidRPr="006557D8" w:rsidRDefault="00275D2A">
            <w:pPr>
              <w:pStyle w:val="FootnoteText"/>
              <w:tabs>
                <w:tab w:val="left" w:pos="0"/>
              </w:tabs>
              <w:spacing w:line="276" w:lineRule="auto"/>
              <w:jc w:val="right"/>
              <w:outlineLvl w:val="2"/>
              <w:rPr>
                <w:sz w:val="22"/>
                <w:szCs w:val="22"/>
              </w:rPr>
            </w:pPr>
            <w:r w:rsidRPr="006557D8">
              <w:rPr>
                <w:sz w:val="22"/>
                <w:szCs w:val="22"/>
              </w:rPr>
              <w:t>29,6</w:t>
            </w:r>
          </w:p>
        </w:tc>
        <w:tc>
          <w:tcPr>
            <w:tcW w:w="709" w:type="dxa"/>
          </w:tcPr>
          <w:p w:rsidR="00275D2A" w:rsidRPr="006557D8" w:rsidRDefault="00275D2A">
            <w:pPr>
              <w:pStyle w:val="FootnoteText"/>
              <w:tabs>
                <w:tab w:val="left" w:pos="0"/>
              </w:tabs>
              <w:spacing w:line="276" w:lineRule="auto"/>
              <w:jc w:val="right"/>
              <w:outlineLvl w:val="2"/>
              <w:rPr>
                <w:sz w:val="22"/>
                <w:szCs w:val="22"/>
              </w:rPr>
            </w:pPr>
            <w:r w:rsidRPr="006557D8">
              <w:rPr>
                <w:sz w:val="22"/>
                <w:szCs w:val="22"/>
              </w:rPr>
              <w:t>33,4</w:t>
            </w:r>
          </w:p>
        </w:tc>
        <w:tc>
          <w:tcPr>
            <w:tcW w:w="708" w:type="dxa"/>
          </w:tcPr>
          <w:p w:rsidR="00275D2A" w:rsidRPr="006557D8" w:rsidRDefault="00275D2A">
            <w:pPr>
              <w:pStyle w:val="FootnoteText"/>
              <w:tabs>
                <w:tab w:val="left" w:pos="0"/>
              </w:tabs>
              <w:spacing w:line="276" w:lineRule="auto"/>
              <w:jc w:val="right"/>
              <w:outlineLvl w:val="2"/>
              <w:rPr>
                <w:sz w:val="22"/>
                <w:szCs w:val="22"/>
              </w:rPr>
            </w:pPr>
            <w:r w:rsidRPr="006557D8">
              <w:rPr>
                <w:sz w:val="22"/>
                <w:szCs w:val="22"/>
              </w:rPr>
              <w:t>37,4</w:t>
            </w:r>
          </w:p>
        </w:tc>
        <w:tc>
          <w:tcPr>
            <w:tcW w:w="709" w:type="dxa"/>
          </w:tcPr>
          <w:p w:rsidR="00275D2A" w:rsidRPr="006557D8" w:rsidRDefault="00275D2A">
            <w:pPr>
              <w:pStyle w:val="FootnoteText"/>
              <w:tabs>
                <w:tab w:val="left" w:pos="0"/>
              </w:tabs>
              <w:spacing w:line="276" w:lineRule="auto"/>
              <w:jc w:val="right"/>
              <w:outlineLvl w:val="2"/>
              <w:rPr>
                <w:sz w:val="22"/>
                <w:szCs w:val="22"/>
              </w:rPr>
            </w:pPr>
            <w:r w:rsidRPr="006557D8">
              <w:rPr>
                <w:sz w:val="22"/>
                <w:szCs w:val="22"/>
              </w:rPr>
              <w:t>38,1</w:t>
            </w:r>
          </w:p>
        </w:tc>
        <w:tc>
          <w:tcPr>
            <w:tcW w:w="709" w:type="dxa"/>
          </w:tcPr>
          <w:p w:rsidR="00275D2A" w:rsidRPr="006557D8" w:rsidRDefault="00275D2A">
            <w:pPr>
              <w:pStyle w:val="FootnoteText"/>
              <w:tabs>
                <w:tab w:val="left" w:pos="0"/>
              </w:tabs>
              <w:spacing w:line="276" w:lineRule="auto"/>
              <w:jc w:val="right"/>
              <w:outlineLvl w:val="2"/>
              <w:rPr>
                <w:sz w:val="22"/>
                <w:szCs w:val="22"/>
              </w:rPr>
            </w:pPr>
            <w:r w:rsidRPr="006557D8">
              <w:rPr>
                <w:sz w:val="22"/>
                <w:szCs w:val="22"/>
              </w:rPr>
              <w:t>39,2</w:t>
            </w:r>
          </w:p>
        </w:tc>
        <w:tc>
          <w:tcPr>
            <w:tcW w:w="709" w:type="dxa"/>
          </w:tcPr>
          <w:p w:rsidR="00275D2A" w:rsidRPr="006557D8" w:rsidRDefault="00275D2A">
            <w:pPr>
              <w:pStyle w:val="FootnoteText"/>
              <w:tabs>
                <w:tab w:val="left" w:pos="0"/>
              </w:tabs>
              <w:spacing w:line="276" w:lineRule="auto"/>
              <w:jc w:val="right"/>
              <w:outlineLvl w:val="2"/>
              <w:rPr>
                <w:sz w:val="22"/>
                <w:szCs w:val="22"/>
              </w:rPr>
            </w:pPr>
            <w:r w:rsidRPr="006557D8">
              <w:rPr>
                <w:sz w:val="22"/>
                <w:szCs w:val="22"/>
              </w:rPr>
              <w:t>38,9</w:t>
            </w:r>
          </w:p>
        </w:tc>
        <w:tc>
          <w:tcPr>
            <w:tcW w:w="708" w:type="dxa"/>
          </w:tcPr>
          <w:p w:rsidR="00275D2A" w:rsidRPr="006557D8" w:rsidRDefault="00275D2A">
            <w:pPr>
              <w:pStyle w:val="FootnoteText"/>
              <w:tabs>
                <w:tab w:val="left" w:pos="0"/>
              </w:tabs>
              <w:spacing w:line="276" w:lineRule="auto"/>
              <w:jc w:val="right"/>
              <w:outlineLvl w:val="2"/>
              <w:rPr>
                <w:sz w:val="22"/>
                <w:szCs w:val="22"/>
              </w:rPr>
            </w:pPr>
            <w:r w:rsidRPr="006557D8">
              <w:rPr>
                <w:sz w:val="22"/>
                <w:szCs w:val="22"/>
              </w:rPr>
              <w:t>42,2</w:t>
            </w:r>
          </w:p>
        </w:tc>
        <w:tc>
          <w:tcPr>
            <w:tcW w:w="709" w:type="dxa"/>
          </w:tcPr>
          <w:p w:rsidR="00275D2A" w:rsidRPr="006557D8" w:rsidRDefault="00275D2A">
            <w:pPr>
              <w:pStyle w:val="FootnoteText"/>
              <w:tabs>
                <w:tab w:val="left" w:pos="0"/>
              </w:tabs>
              <w:spacing w:line="276" w:lineRule="auto"/>
              <w:jc w:val="right"/>
              <w:outlineLvl w:val="2"/>
              <w:rPr>
                <w:sz w:val="22"/>
                <w:szCs w:val="22"/>
              </w:rPr>
            </w:pPr>
            <w:r w:rsidRPr="006557D8">
              <w:rPr>
                <w:sz w:val="22"/>
                <w:szCs w:val="22"/>
              </w:rPr>
              <w:t>41,6</w:t>
            </w:r>
          </w:p>
        </w:tc>
        <w:tc>
          <w:tcPr>
            <w:tcW w:w="709" w:type="dxa"/>
          </w:tcPr>
          <w:p w:rsidR="00275D2A" w:rsidRPr="006557D8" w:rsidRDefault="00275D2A">
            <w:pPr>
              <w:pStyle w:val="FootnoteText"/>
              <w:tabs>
                <w:tab w:val="left" w:pos="0"/>
              </w:tabs>
              <w:spacing w:line="276" w:lineRule="auto"/>
              <w:jc w:val="right"/>
              <w:outlineLvl w:val="2"/>
              <w:rPr>
                <w:sz w:val="22"/>
                <w:szCs w:val="22"/>
              </w:rPr>
            </w:pPr>
            <w:r w:rsidRPr="006557D8">
              <w:rPr>
                <w:sz w:val="22"/>
                <w:szCs w:val="22"/>
              </w:rPr>
              <w:t>39,8</w:t>
            </w:r>
          </w:p>
        </w:tc>
      </w:tr>
      <w:tr w:rsidR="00275D2A" w:rsidRPr="003A69CB" w:rsidTr="00045D09">
        <w:trPr>
          <w:trHeight w:val="60"/>
        </w:trPr>
        <w:tc>
          <w:tcPr>
            <w:tcW w:w="2268" w:type="dxa"/>
          </w:tcPr>
          <w:p w:rsidR="00275D2A" w:rsidRPr="006557D8" w:rsidRDefault="00275D2A">
            <w:pPr>
              <w:pStyle w:val="FootnoteText"/>
              <w:tabs>
                <w:tab w:val="left" w:pos="0"/>
              </w:tabs>
              <w:spacing w:line="276" w:lineRule="auto"/>
              <w:outlineLvl w:val="2"/>
              <w:rPr>
                <w:sz w:val="22"/>
                <w:szCs w:val="22"/>
              </w:rPr>
            </w:pPr>
            <w:r w:rsidRPr="006557D8">
              <w:rPr>
                <w:sz w:val="22"/>
                <w:szCs w:val="22"/>
              </w:rPr>
              <w:t>Vanjski dug/izvoz roba i usluga u %</w:t>
            </w:r>
          </w:p>
        </w:tc>
        <w:tc>
          <w:tcPr>
            <w:tcW w:w="709" w:type="dxa"/>
          </w:tcPr>
          <w:p w:rsidR="00275D2A" w:rsidRPr="006557D8" w:rsidRDefault="00275D2A">
            <w:pPr>
              <w:pStyle w:val="FootnoteText"/>
              <w:tabs>
                <w:tab w:val="left" w:pos="0"/>
              </w:tabs>
              <w:spacing w:line="276" w:lineRule="auto"/>
              <w:jc w:val="right"/>
              <w:outlineLvl w:val="2"/>
              <w:rPr>
                <w:sz w:val="22"/>
                <w:szCs w:val="22"/>
              </w:rPr>
            </w:pPr>
            <w:r w:rsidRPr="006557D8">
              <w:rPr>
                <w:sz w:val="22"/>
                <w:szCs w:val="22"/>
              </w:rPr>
              <w:t>13,2</w:t>
            </w:r>
          </w:p>
        </w:tc>
        <w:tc>
          <w:tcPr>
            <w:tcW w:w="709" w:type="dxa"/>
          </w:tcPr>
          <w:p w:rsidR="00275D2A" w:rsidRPr="006557D8" w:rsidRDefault="00275D2A">
            <w:pPr>
              <w:pStyle w:val="FootnoteText"/>
              <w:tabs>
                <w:tab w:val="left" w:pos="0"/>
              </w:tabs>
              <w:spacing w:line="276" w:lineRule="auto"/>
              <w:jc w:val="right"/>
              <w:outlineLvl w:val="2"/>
              <w:rPr>
                <w:sz w:val="22"/>
                <w:szCs w:val="22"/>
              </w:rPr>
            </w:pPr>
            <w:r w:rsidRPr="006557D8">
              <w:rPr>
                <w:sz w:val="22"/>
                <w:szCs w:val="22"/>
              </w:rPr>
              <w:t>26,9</w:t>
            </w:r>
          </w:p>
        </w:tc>
        <w:tc>
          <w:tcPr>
            <w:tcW w:w="709" w:type="dxa"/>
          </w:tcPr>
          <w:p w:rsidR="00275D2A" w:rsidRPr="006557D8" w:rsidRDefault="00275D2A">
            <w:pPr>
              <w:pStyle w:val="FootnoteText"/>
              <w:tabs>
                <w:tab w:val="left" w:pos="0"/>
              </w:tabs>
              <w:spacing w:line="276" w:lineRule="auto"/>
              <w:jc w:val="right"/>
              <w:outlineLvl w:val="2"/>
              <w:rPr>
                <w:sz w:val="22"/>
                <w:szCs w:val="22"/>
              </w:rPr>
            </w:pPr>
            <w:r w:rsidRPr="006557D8">
              <w:rPr>
                <w:sz w:val="22"/>
                <w:szCs w:val="22"/>
              </w:rPr>
              <w:t>17,4</w:t>
            </w:r>
          </w:p>
        </w:tc>
        <w:tc>
          <w:tcPr>
            <w:tcW w:w="708" w:type="dxa"/>
          </w:tcPr>
          <w:p w:rsidR="00275D2A" w:rsidRPr="006557D8" w:rsidRDefault="00275D2A">
            <w:pPr>
              <w:pStyle w:val="FootnoteText"/>
              <w:tabs>
                <w:tab w:val="left" w:pos="0"/>
              </w:tabs>
              <w:spacing w:line="276" w:lineRule="auto"/>
              <w:jc w:val="right"/>
              <w:outlineLvl w:val="2"/>
              <w:rPr>
                <w:sz w:val="22"/>
                <w:szCs w:val="22"/>
              </w:rPr>
            </w:pPr>
            <w:r w:rsidRPr="006557D8">
              <w:rPr>
                <w:sz w:val="22"/>
                <w:szCs w:val="22"/>
              </w:rPr>
              <w:t>16,6</w:t>
            </w:r>
          </w:p>
        </w:tc>
        <w:tc>
          <w:tcPr>
            <w:tcW w:w="709" w:type="dxa"/>
          </w:tcPr>
          <w:p w:rsidR="00275D2A" w:rsidRPr="006557D8" w:rsidRDefault="00275D2A">
            <w:pPr>
              <w:pStyle w:val="FootnoteText"/>
              <w:tabs>
                <w:tab w:val="left" w:pos="0"/>
              </w:tabs>
              <w:spacing w:line="276" w:lineRule="auto"/>
              <w:jc w:val="right"/>
              <w:outlineLvl w:val="2"/>
              <w:rPr>
                <w:sz w:val="22"/>
                <w:szCs w:val="22"/>
              </w:rPr>
            </w:pPr>
            <w:r w:rsidRPr="006557D8">
              <w:rPr>
                <w:sz w:val="22"/>
                <w:szCs w:val="22"/>
              </w:rPr>
              <w:t>17,4</w:t>
            </w:r>
          </w:p>
        </w:tc>
        <w:tc>
          <w:tcPr>
            <w:tcW w:w="709" w:type="dxa"/>
          </w:tcPr>
          <w:p w:rsidR="00275D2A" w:rsidRPr="006557D8" w:rsidRDefault="00275D2A">
            <w:pPr>
              <w:pStyle w:val="FootnoteText"/>
              <w:tabs>
                <w:tab w:val="left" w:pos="0"/>
              </w:tabs>
              <w:spacing w:line="276" w:lineRule="auto"/>
              <w:jc w:val="right"/>
              <w:outlineLvl w:val="2"/>
              <w:rPr>
                <w:sz w:val="22"/>
                <w:szCs w:val="22"/>
              </w:rPr>
            </w:pPr>
            <w:r w:rsidRPr="006557D8">
              <w:rPr>
                <w:sz w:val="22"/>
                <w:szCs w:val="22"/>
              </w:rPr>
              <w:t>14,6</w:t>
            </w:r>
          </w:p>
        </w:tc>
        <w:tc>
          <w:tcPr>
            <w:tcW w:w="709" w:type="dxa"/>
          </w:tcPr>
          <w:p w:rsidR="00275D2A" w:rsidRPr="006557D8" w:rsidRDefault="00275D2A">
            <w:pPr>
              <w:pStyle w:val="FootnoteText"/>
              <w:tabs>
                <w:tab w:val="left" w:pos="0"/>
              </w:tabs>
              <w:spacing w:line="276" w:lineRule="auto"/>
              <w:jc w:val="right"/>
              <w:outlineLvl w:val="2"/>
              <w:rPr>
                <w:sz w:val="22"/>
                <w:szCs w:val="22"/>
              </w:rPr>
            </w:pPr>
            <w:r w:rsidRPr="006557D8">
              <w:rPr>
                <w:sz w:val="22"/>
                <w:szCs w:val="22"/>
              </w:rPr>
              <w:t>14,6</w:t>
            </w:r>
          </w:p>
        </w:tc>
        <w:tc>
          <w:tcPr>
            <w:tcW w:w="708" w:type="dxa"/>
          </w:tcPr>
          <w:p w:rsidR="00275D2A" w:rsidRPr="006557D8" w:rsidRDefault="00275D2A">
            <w:pPr>
              <w:pStyle w:val="FootnoteText"/>
              <w:tabs>
                <w:tab w:val="left" w:pos="0"/>
              </w:tabs>
              <w:spacing w:line="276" w:lineRule="auto"/>
              <w:jc w:val="right"/>
              <w:outlineLvl w:val="2"/>
              <w:rPr>
                <w:sz w:val="22"/>
                <w:szCs w:val="22"/>
              </w:rPr>
            </w:pPr>
            <w:r w:rsidRPr="006557D8">
              <w:rPr>
                <w:sz w:val="22"/>
                <w:szCs w:val="22"/>
              </w:rPr>
              <w:t>13,1</w:t>
            </w:r>
          </w:p>
        </w:tc>
        <w:tc>
          <w:tcPr>
            <w:tcW w:w="709" w:type="dxa"/>
          </w:tcPr>
          <w:p w:rsidR="00275D2A" w:rsidRPr="006557D8" w:rsidRDefault="00275D2A">
            <w:pPr>
              <w:pStyle w:val="FootnoteText"/>
              <w:tabs>
                <w:tab w:val="left" w:pos="0"/>
              </w:tabs>
              <w:spacing w:line="276" w:lineRule="auto"/>
              <w:jc w:val="right"/>
              <w:outlineLvl w:val="2"/>
              <w:rPr>
                <w:sz w:val="22"/>
                <w:szCs w:val="22"/>
              </w:rPr>
            </w:pPr>
            <w:r w:rsidRPr="006557D8">
              <w:rPr>
                <w:sz w:val="22"/>
                <w:szCs w:val="22"/>
              </w:rPr>
              <w:t>13,1</w:t>
            </w:r>
          </w:p>
        </w:tc>
        <w:tc>
          <w:tcPr>
            <w:tcW w:w="709" w:type="dxa"/>
          </w:tcPr>
          <w:p w:rsidR="00275D2A" w:rsidRPr="006557D8" w:rsidRDefault="00275D2A">
            <w:pPr>
              <w:pStyle w:val="FootnoteText"/>
              <w:tabs>
                <w:tab w:val="left" w:pos="0"/>
              </w:tabs>
              <w:spacing w:line="276" w:lineRule="auto"/>
              <w:jc w:val="right"/>
              <w:outlineLvl w:val="2"/>
              <w:rPr>
                <w:sz w:val="22"/>
                <w:szCs w:val="22"/>
              </w:rPr>
            </w:pPr>
            <w:r w:rsidRPr="006557D8">
              <w:rPr>
                <w:sz w:val="22"/>
                <w:szCs w:val="22"/>
              </w:rPr>
              <w:t>13,2</w:t>
            </w:r>
          </w:p>
        </w:tc>
      </w:tr>
      <w:tr w:rsidR="00275D2A" w:rsidRPr="003A69CB" w:rsidTr="00045D09">
        <w:trPr>
          <w:trHeight w:val="60"/>
        </w:trPr>
        <w:tc>
          <w:tcPr>
            <w:tcW w:w="2268" w:type="dxa"/>
          </w:tcPr>
          <w:p w:rsidR="00275D2A" w:rsidRPr="006557D8" w:rsidRDefault="00275D2A">
            <w:pPr>
              <w:pStyle w:val="FootnoteText"/>
              <w:tabs>
                <w:tab w:val="left" w:pos="0"/>
              </w:tabs>
              <w:spacing w:line="276" w:lineRule="auto"/>
              <w:outlineLvl w:val="2"/>
              <w:rPr>
                <w:sz w:val="22"/>
                <w:szCs w:val="22"/>
              </w:rPr>
            </w:pPr>
            <w:r w:rsidRPr="006557D8">
              <w:rPr>
                <w:sz w:val="22"/>
                <w:szCs w:val="22"/>
              </w:rPr>
              <w:t>Javni dug  u milijunima KM</w:t>
            </w:r>
          </w:p>
        </w:tc>
        <w:tc>
          <w:tcPr>
            <w:tcW w:w="709" w:type="dxa"/>
          </w:tcPr>
          <w:p w:rsidR="00275D2A" w:rsidRPr="006557D8" w:rsidRDefault="00275D2A">
            <w:pPr>
              <w:pStyle w:val="FootnoteText"/>
              <w:tabs>
                <w:tab w:val="left" w:pos="0"/>
              </w:tabs>
              <w:spacing w:line="276" w:lineRule="auto"/>
              <w:jc w:val="right"/>
              <w:outlineLvl w:val="2"/>
              <w:rPr>
                <w:sz w:val="22"/>
                <w:szCs w:val="22"/>
              </w:rPr>
            </w:pPr>
            <w:r w:rsidRPr="006557D8">
              <w:rPr>
                <w:sz w:val="22"/>
                <w:szCs w:val="22"/>
              </w:rPr>
              <w:t>8.526,0</w:t>
            </w:r>
          </w:p>
        </w:tc>
        <w:tc>
          <w:tcPr>
            <w:tcW w:w="709" w:type="dxa"/>
          </w:tcPr>
          <w:p w:rsidR="00275D2A" w:rsidRPr="006557D8" w:rsidRDefault="00275D2A">
            <w:pPr>
              <w:pStyle w:val="FootnoteText"/>
              <w:tabs>
                <w:tab w:val="left" w:pos="0"/>
              </w:tabs>
              <w:spacing w:line="276" w:lineRule="auto"/>
              <w:jc w:val="right"/>
              <w:outlineLvl w:val="2"/>
              <w:rPr>
                <w:sz w:val="22"/>
                <w:szCs w:val="22"/>
              </w:rPr>
            </w:pPr>
            <w:r w:rsidRPr="006557D8">
              <w:rPr>
                <w:sz w:val="22"/>
                <w:szCs w:val="22"/>
              </w:rPr>
              <w:t>7.401,0</w:t>
            </w:r>
          </w:p>
        </w:tc>
        <w:tc>
          <w:tcPr>
            <w:tcW w:w="709" w:type="dxa"/>
          </w:tcPr>
          <w:p w:rsidR="00275D2A" w:rsidRPr="006557D8" w:rsidRDefault="00275D2A">
            <w:pPr>
              <w:pStyle w:val="FootnoteText"/>
              <w:tabs>
                <w:tab w:val="left" w:pos="0"/>
              </w:tabs>
              <w:spacing w:line="276" w:lineRule="auto"/>
              <w:jc w:val="right"/>
              <w:outlineLvl w:val="2"/>
              <w:rPr>
                <w:sz w:val="22"/>
                <w:szCs w:val="22"/>
              </w:rPr>
            </w:pPr>
            <w:r w:rsidRPr="006557D8">
              <w:rPr>
                <w:sz w:val="22"/>
                <w:szCs w:val="22"/>
              </w:rPr>
              <w:t>8.272,0</w:t>
            </w:r>
          </w:p>
        </w:tc>
        <w:tc>
          <w:tcPr>
            <w:tcW w:w="708" w:type="dxa"/>
          </w:tcPr>
          <w:p w:rsidR="00275D2A" w:rsidRPr="006557D8" w:rsidRDefault="00275D2A">
            <w:pPr>
              <w:pStyle w:val="FootnoteText"/>
              <w:tabs>
                <w:tab w:val="left" w:pos="0"/>
              </w:tabs>
              <w:spacing w:line="276" w:lineRule="auto"/>
              <w:jc w:val="right"/>
              <w:outlineLvl w:val="2"/>
              <w:rPr>
                <w:sz w:val="22"/>
                <w:szCs w:val="22"/>
              </w:rPr>
            </w:pPr>
            <w:r w:rsidRPr="006557D8">
              <w:rPr>
                <w:sz w:val="22"/>
                <w:szCs w:val="22"/>
              </w:rPr>
              <w:t>9.491,0</w:t>
            </w:r>
          </w:p>
        </w:tc>
        <w:tc>
          <w:tcPr>
            <w:tcW w:w="709" w:type="dxa"/>
          </w:tcPr>
          <w:p w:rsidR="00275D2A" w:rsidRPr="006557D8" w:rsidRDefault="00275D2A">
            <w:pPr>
              <w:pStyle w:val="FootnoteText"/>
              <w:tabs>
                <w:tab w:val="left" w:pos="0"/>
              </w:tabs>
              <w:spacing w:line="276" w:lineRule="auto"/>
              <w:jc w:val="right"/>
              <w:outlineLvl w:val="2"/>
              <w:rPr>
                <w:sz w:val="22"/>
                <w:szCs w:val="22"/>
              </w:rPr>
            </w:pPr>
            <w:r w:rsidRPr="006557D8">
              <w:rPr>
                <w:sz w:val="22"/>
                <w:szCs w:val="22"/>
              </w:rPr>
              <w:t>9.975,0</w:t>
            </w:r>
          </w:p>
        </w:tc>
        <w:tc>
          <w:tcPr>
            <w:tcW w:w="709" w:type="dxa"/>
          </w:tcPr>
          <w:p w:rsidR="00275D2A" w:rsidRPr="006557D8" w:rsidRDefault="00275D2A">
            <w:pPr>
              <w:pStyle w:val="FootnoteText"/>
              <w:tabs>
                <w:tab w:val="left" w:pos="0"/>
              </w:tabs>
              <w:spacing w:line="276" w:lineRule="auto"/>
              <w:jc w:val="right"/>
              <w:outlineLvl w:val="2"/>
              <w:rPr>
                <w:sz w:val="22"/>
                <w:szCs w:val="22"/>
              </w:rPr>
            </w:pPr>
            <w:r w:rsidRPr="006557D8">
              <w:rPr>
                <w:sz w:val="22"/>
                <w:szCs w:val="22"/>
              </w:rPr>
              <w:t>10.275,5</w:t>
            </w:r>
          </w:p>
        </w:tc>
        <w:tc>
          <w:tcPr>
            <w:tcW w:w="709" w:type="dxa"/>
          </w:tcPr>
          <w:p w:rsidR="00275D2A" w:rsidRPr="006557D8" w:rsidRDefault="00275D2A">
            <w:pPr>
              <w:pStyle w:val="FootnoteText"/>
              <w:tabs>
                <w:tab w:val="left" w:pos="0"/>
              </w:tabs>
              <w:spacing w:line="276" w:lineRule="auto"/>
              <w:jc w:val="right"/>
              <w:outlineLvl w:val="2"/>
              <w:rPr>
                <w:sz w:val="22"/>
                <w:szCs w:val="22"/>
              </w:rPr>
            </w:pPr>
            <w:r w:rsidRPr="006557D8">
              <w:rPr>
                <w:sz w:val="22"/>
                <w:szCs w:val="22"/>
              </w:rPr>
              <w:t>10.427,3</w:t>
            </w:r>
          </w:p>
        </w:tc>
        <w:tc>
          <w:tcPr>
            <w:tcW w:w="708" w:type="dxa"/>
          </w:tcPr>
          <w:p w:rsidR="00275D2A" w:rsidRPr="006557D8" w:rsidRDefault="00275D2A">
            <w:pPr>
              <w:pStyle w:val="FootnoteText"/>
              <w:tabs>
                <w:tab w:val="left" w:pos="0"/>
              </w:tabs>
              <w:spacing w:line="276" w:lineRule="auto"/>
              <w:jc w:val="right"/>
              <w:outlineLvl w:val="2"/>
              <w:rPr>
                <w:sz w:val="22"/>
                <w:szCs w:val="22"/>
              </w:rPr>
            </w:pPr>
            <w:r w:rsidRPr="006557D8">
              <w:rPr>
                <w:sz w:val="22"/>
                <w:szCs w:val="22"/>
              </w:rPr>
              <w:t>11.516,3</w:t>
            </w:r>
          </w:p>
        </w:tc>
        <w:tc>
          <w:tcPr>
            <w:tcW w:w="709" w:type="dxa"/>
          </w:tcPr>
          <w:p w:rsidR="00275D2A" w:rsidRPr="006557D8" w:rsidRDefault="00275D2A">
            <w:pPr>
              <w:pStyle w:val="FootnoteText"/>
              <w:tabs>
                <w:tab w:val="left" w:pos="0"/>
              </w:tabs>
              <w:spacing w:line="276" w:lineRule="auto"/>
              <w:jc w:val="right"/>
              <w:outlineLvl w:val="2"/>
              <w:rPr>
                <w:sz w:val="22"/>
                <w:szCs w:val="22"/>
              </w:rPr>
            </w:pPr>
            <w:r w:rsidRPr="006557D8">
              <w:rPr>
                <w:sz w:val="22"/>
                <w:szCs w:val="22"/>
              </w:rPr>
              <w:t>11.936,9</w:t>
            </w:r>
          </w:p>
        </w:tc>
        <w:tc>
          <w:tcPr>
            <w:tcW w:w="709" w:type="dxa"/>
          </w:tcPr>
          <w:p w:rsidR="00275D2A" w:rsidRPr="006557D8" w:rsidRDefault="00275D2A">
            <w:pPr>
              <w:pStyle w:val="FootnoteText"/>
              <w:tabs>
                <w:tab w:val="left" w:pos="0"/>
              </w:tabs>
              <w:spacing w:line="276" w:lineRule="auto"/>
              <w:jc w:val="right"/>
              <w:outlineLvl w:val="2"/>
              <w:rPr>
                <w:sz w:val="22"/>
                <w:szCs w:val="22"/>
              </w:rPr>
            </w:pPr>
            <w:r w:rsidRPr="006557D8">
              <w:rPr>
                <w:sz w:val="22"/>
                <w:szCs w:val="22"/>
              </w:rPr>
              <w:t>12.089,7</w:t>
            </w:r>
          </w:p>
        </w:tc>
      </w:tr>
      <w:tr w:rsidR="00275D2A" w:rsidRPr="003A69CB" w:rsidTr="00045D09">
        <w:trPr>
          <w:trHeight w:val="60"/>
        </w:trPr>
        <w:tc>
          <w:tcPr>
            <w:tcW w:w="2268" w:type="dxa"/>
          </w:tcPr>
          <w:p w:rsidR="00275D2A" w:rsidRPr="006557D8" w:rsidRDefault="00275D2A">
            <w:pPr>
              <w:pStyle w:val="FootnoteText"/>
              <w:tabs>
                <w:tab w:val="left" w:pos="0"/>
              </w:tabs>
              <w:spacing w:line="276" w:lineRule="auto"/>
              <w:outlineLvl w:val="2"/>
              <w:rPr>
                <w:sz w:val="22"/>
                <w:szCs w:val="22"/>
              </w:rPr>
            </w:pPr>
            <w:r w:rsidRPr="006557D8">
              <w:rPr>
                <w:sz w:val="22"/>
                <w:szCs w:val="22"/>
              </w:rPr>
              <w:t xml:space="preserve">Saldo proračuna  u % BDP-a </w:t>
            </w:r>
          </w:p>
        </w:tc>
        <w:tc>
          <w:tcPr>
            <w:tcW w:w="709" w:type="dxa"/>
          </w:tcPr>
          <w:p w:rsidR="00275D2A" w:rsidRPr="006557D8" w:rsidRDefault="00275D2A">
            <w:pPr>
              <w:pStyle w:val="FootnoteText"/>
              <w:tabs>
                <w:tab w:val="left" w:pos="0"/>
              </w:tabs>
              <w:spacing w:line="276" w:lineRule="auto"/>
              <w:jc w:val="right"/>
              <w:outlineLvl w:val="2"/>
              <w:rPr>
                <w:sz w:val="22"/>
                <w:szCs w:val="22"/>
              </w:rPr>
            </w:pPr>
            <w:r w:rsidRPr="006557D8">
              <w:rPr>
                <w:sz w:val="22"/>
                <w:szCs w:val="22"/>
              </w:rPr>
              <w:t>1,2</w:t>
            </w:r>
          </w:p>
        </w:tc>
        <w:tc>
          <w:tcPr>
            <w:tcW w:w="709" w:type="dxa"/>
          </w:tcPr>
          <w:p w:rsidR="00275D2A" w:rsidRPr="006557D8" w:rsidRDefault="00275D2A">
            <w:pPr>
              <w:pStyle w:val="FootnoteText"/>
              <w:tabs>
                <w:tab w:val="left" w:pos="0"/>
              </w:tabs>
              <w:spacing w:line="276" w:lineRule="auto"/>
              <w:jc w:val="right"/>
              <w:outlineLvl w:val="2"/>
              <w:rPr>
                <w:sz w:val="22"/>
                <w:szCs w:val="22"/>
              </w:rPr>
            </w:pPr>
            <w:r w:rsidRPr="006557D8">
              <w:rPr>
                <w:sz w:val="22"/>
                <w:szCs w:val="22"/>
              </w:rPr>
              <w:t>-2,2</w:t>
            </w:r>
          </w:p>
        </w:tc>
        <w:tc>
          <w:tcPr>
            <w:tcW w:w="709" w:type="dxa"/>
          </w:tcPr>
          <w:p w:rsidR="00275D2A" w:rsidRPr="006557D8" w:rsidRDefault="00275D2A">
            <w:pPr>
              <w:pStyle w:val="FootnoteText"/>
              <w:tabs>
                <w:tab w:val="left" w:pos="0"/>
              </w:tabs>
              <w:spacing w:line="276" w:lineRule="auto"/>
              <w:jc w:val="right"/>
              <w:outlineLvl w:val="2"/>
              <w:rPr>
                <w:sz w:val="22"/>
                <w:szCs w:val="22"/>
              </w:rPr>
            </w:pPr>
            <w:r w:rsidRPr="006557D8">
              <w:rPr>
                <w:sz w:val="22"/>
                <w:szCs w:val="22"/>
              </w:rPr>
              <w:t>-4,3</w:t>
            </w:r>
          </w:p>
        </w:tc>
        <w:tc>
          <w:tcPr>
            <w:tcW w:w="708" w:type="dxa"/>
          </w:tcPr>
          <w:p w:rsidR="00275D2A" w:rsidRPr="006557D8" w:rsidRDefault="00275D2A">
            <w:pPr>
              <w:pStyle w:val="FootnoteText"/>
              <w:tabs>
                <w:tab w:val="left" w:pos="0"/>
              </w:tabs>
              <w:spacing w:line="276" w:lineRule="auto"/>
              <w:jc w:val="right"/>
              <w:outlineLvl w:val="2"/>
              <w:rPr>
                <w:sz w:val="22"/>
                <w:szCs w:val="22"/>
              </w:rPr>
            </w:pPr>
            <w:r w:rsidRPr="006557D8">
              <w:rPr>
                <w:sz w:val="22"/>
                <w:szCs w:val="22"/>
              </w:rPr>
              <w:t>-2,4</w:t>
            </w:r>
          </w:p>
        </w:tc>
        <w:tc>
          <w:tcPr>
            <w:tcW w:w="709" w:type="dxa"/>
          </w:tcPr>
          <w:p w:rsidR="00275D2A" w:rsidRPr="006557D8" w:rsidRDefault="00275D2A">
            <w:pPr>
              <w:pStyle w:val="FootnoteText"/>
              <w:tabs>
                <w:tab w:val="left" w:pos="0"/>
              </w:tabs>
              <w:spacing w:line="276" w:lineRule="auto"/>
              <w:jc w:val="right"/>
              <w:outlineLvl w:val="2"/>
              <w:rPr>
                <w:sz w:val="22"/>
                <w:szCs w:val="22"/>
              </w:rPr>
            </w:pPr>
            <w:r w:rsidRPr="006557D8">
              <w:rPr>
                <w:sz w:val="22"/>
                <w:szCs w:val="22"/>
              </w:rPr>
              <w:t>-1,2</w:t>
            </w:r>
          </w:p>
        </w:tc>
        <w:tc>
          <w:tcPr>
            <w:tcW w:w="709" w:type="dxa"/>
          </w:tcPr>
          <w:p w:rsidR="00275D2A" w:rsidRPr="006557D8" w:rsidRDefault="00275D2A">
            <w:pPr>
              <w:pStyle w:val="FootnoteText"/>
              <w:tabs>
                <w:tab w:val="left" w:pos="0"/>
              </w:tabs>
              <w:spacing w:line="276" w:lineRule="auto"/>
              <w:jc w:val="right"/>
              <w:outlineLvl w:val="2"/>
              <w:rPr>
                <w:sz w:val="22"/>
                <w:szCs w:val="22"/>
              </w:rPr>
            </w:pPr>
            <w:r w:rsidRPr="006557D8">
              <w:rPr>
                <w:sz w:val="22"/>
                <w:szCs w:val="22"/>
              </w:rPr>
              <w:t>-2,0</w:t>
            </w:r>
          </w:p>
        </w:tc>
        <w:tc>
          <w:tcPr>
            <w:tcW w:w="709" w:type="dxa"/>
          </w:tcPr>
          <w:p w:rsidR="00275D2A" w:rsidRPr="006557D8" w:rsidRDefault="00275D2A">
            <w:pPr>
              <w:pStyle w:val="FootnoteText"/>
              <w:tabs>
                <w:tab w:val="left" w:pos="0"/>
              </w:tabs>
              <w:spacing w:line="276" w:lineRule="auto"/>
              <w:jc w:val="right"/>
              <w:outlineLvl w:val="2"/>
              <w:rPr>
                <w:sz w:val="22"/>
                <w:szCs w:val="22"/>
              </w:rPr>
            </w:pPr>
            <w:r w:rsidRPr="006557D8">
              <w:rPr>
                <w:sz w:val="22"/>
                <w:szCs w:val="22"/>
              </w:rPr>
              <w:t>-2,1</w:t>
            </w:r>
          </w:p>
        </w:tc>
        <w:tc>
          <w:tcPr>
            <w:tcW w:w="708" w:type="dxa"/>
          </w:tcPr>
          <w:p w:rsidR="00275D2A" w:rsidRPr="006557D8" w:rsidRDefault="00275D2A">
            <w:pPr>
              <w:pStyle w:val="FootnoteText"/>
              <w:tabs>
                <w:tab w:val="left" w:pos="0"/>
              </w:tabs>
              <w:spacing w:line="276" w:lineRule="auto"/>
              <w:jc w:val="right"/>
              <w:outlineLvl w:val="2"/>
              <w:rPr>
                <w:sz w:val="22"/>
                <w:szCs w:val="22"/>
              </w:rPr>
            </w:pPr>
            <w:r w:rsidRPr="006557D8">
              <w:rPr>
                <w:sz w:val="22"/>
                <w:szCs w:val="22"/>
              </w:rPr>
              <w:t>-2,0</w:t>
            </w:r>
          </w:p>
        </w:tc>
        <w:tc>
          <w:tcPr>
            <w:tcW w:w="709" w:type="dxa"/>
          </w:tcPr>
          <w:p w:rsidR="00275D2A" w:rsidRPr="006557D8" w:rsidRDefault="00275D2A">
            <w:pPr>
              <w:pStyle w:val="FootnoteText"/>
              <w:tabs>
                <w:tab w:val="left" w:pos="0"/>
              </w:tabs>
              <w:spacing w:line="276" w:lineRule="auto"/>
              <w:jc w:val="right"/>
              <w:outlineLvl w:val="2"/>
              <w:rPr>
                <w:sz w:val="22"/>
                <w:szCs w:val="22"/>
              </w:rPr>
            </w:pPr>
            <w:r w:rsidRPr="006557D8">
              <w:rPr>
                <w:sz w:val="22"/>
                <w:szCs w:val="22"/>
              </w:rPr>
              <w:t>0,7</w:t>
            </w:r>
          </w:p>
        </w:tc>
        <w:tc>
          <w:tcPr>
            <w:tcW w:w="709" w:type="dxa"/>
          </w:tcPr>
          <w:p w:rsidR="00275D2A" w:rsidRPr="006557D8" w:rsidRDefault="00275D2A">
            <w:pPr>
              <w:pStyle w:val="FootnoteText"/>
              <w:tabs>
                <w:tab w:val="left" w:pos="0"/>
              </w:tabs>
              <w:spacing w:line="276" w:lineRule="auto"/>
              <w:jc w:val="right"/>
              <w:outlineLvl w:val="2"/>
              <w:rPr>
                <w:sz w:val="22"/>
                <w:szCs w:val="22"/>
              </w:rPr>
            </w:pPr>
            <w:r w:rsidRPr="006557D8">
              <w:rPr>
                <w:sz w:val="22"/>
                <w:szCs w:val="22"/>
              </w:rPr>
              <w:t>-0,3</w:t>
            </w:r>
          </w:p>
        </w:tc>
      </w:tr>
      <w:tr w:rsidR="00275D2A" w:rsidRPr="003A69CB" w:rsidTr="00045D09">
        <w:trPr>
          <w:trHeight w:val="60"/>
        </w:trPr>
        <w:tc>
          <w:tcPr>
            <w:tcW w:w="2268" w:type="dxa"/>
          </w:tcPr>
          <w:p w:rsidR="00275D2A" w:rsidRPr="006557D8" w:rsidRDefault="00275D2A">
            <w:pPr>
              <w:pStyle w:val="FootnoteText"/>
              <w:tabs>
                <w:tab w:val="left" w:pos="0"/>
              </w:tabs>
              <w:spacing w:line="276" w:lineRule="auto"/>
              <w:outlineLvl w:val="2"/>
              <w:rPr>
                <w:sz w:val="22"/>
                <w:szCs w:val="22"/>
              </w:rPr>
            </w:pPr>
            <w:r w:rsidRPr="006557D8">
              <w:rPr>
                <w:sz w:val="22"/>
                <w:szCs w:val="22"/>
              </w:rPr>
              <w:t>Saldo proračuna u milijunima KM</w:t>
            </w:r>
          </w:p>
        </w:tc>
        <w:tc>
          <w:tcPr>
            <w:tcW w:w="709" w:type="dxa"/>
          </w:tcPr>
          <w:p w:rsidR="00275D2A" w:rsidRPr="006557D8" w:rsidRDefault="00275D2A">
            <w:pPr>
              <w:pStyle w:val="FootnoteText"/>
              <w:tabs>
                <w:tab w:val="left" w:pos="0"/>
              </w:tabs>
              <w:spacing w:line="276" w:lineRule="auto"/>
              <w:jc w:val="right"/>
              <w:outlineLvl w:val="2"/>
              <w:rPr>
                <w:sz w:val="22"/>
                <w:szCs w:val="22"/>
              </w:rPr>
            </w:pPr>
            <w:r w:rsidRPr="006557D8">
              <w:rPr>
                <w:sz w:val="22"/>
                <w:szCs w:val="22"/>
              </w:rPr>
              <w:t>258,1</w:t>
            </w:r>
          </w:p>
        </w:tc>
        <w:tc>
          <w:tcPr>
            <w:tcW w:w="709" w:type="dxa"/>
          </w:tcPr>
          <w:p w:rsidR="00275D2A" w:rsidRPr="006557D8" w:rsidRDefault="00275D2A">
            <w:pPr>
              <w:pStyle w:val="FootnoteText"/>
              <w:tabs>
                <w:tab w:val="left" w:pos="0"/>
              </w:tabs>
              <w:spacing w:line="276" w:lineRule="auto"/>
              <w:jc w:val="right"/>
              <w:outlineLvl w:val="2"/>
              <w:rPr>
                <w:sz w:val="22"/>
                <w:szCs w:val="22"/>
              </w:rPr>
            </w:pPr>
            <w:r w:rsidRPr="006557D8">
              <w:rPr>
                <w:sz w:val="22"/>
                <w:szCs w:val="22"/>
              </w:rPr>
              <w:t>-539,3</w:t>
            </w:r>
          </w:p>
        </w:tc>
        <w:tc>
          <w:tcPr>
            <w:tcW w:w="709" w:type="dxa"/>
          </w:tcPr>
          <w:p w:rsidR="00275D2A" w:rsidRPr="006557D8" w:rsidRDefault="00275D2A" w:rsidP="00FA0282">
            <w:pPr>
              <w:pStyle w:val="FootnoteText"/>
              <w:tabs>
                <w:tab w:val="left" w:pos="0"/>
              </w:tabs>
              <w:spacing w:line="276" w:lineRule="auto"/>
              <w:jc w:val="right"/>
              <w:outlineLvl w:val="2"/>
              <w:rPr>
                <w:sz w:val="22"/>
                <w:szCs w:val="22"/>
              </w:rPr>
            </w:pPr>
            <w:r w:rsidRPr="006557D8">
              <w:rPr>
                <w:sz w:val="22"/>
                <w:szCs w:val="22"/>
              </w:rPr>
              <w:t>-1.070</w:t>
            </w:r>
          </w:p>
        </w:tc>
        <w:tc>
          <w:tcPr>
            <w:tcW w:w="708" w:type="dxa"/>
          </w:tcPr>
          <w:p w:rsidR="00275D2A" w:rsidRPr="006557D8" w:rsidRDefault="00275D2A">
            <w:pPr>
              <w:pStyle w:val="FootnoteText"/>
              <w:tabs>
                <w:tab w:val="left" w:pos="0"/>
              </w:tabs>
              <w:spacing w:line="276" w:lineRule="auto"/>
              <w:jc w:val="right"/>
              <w:outlineLvl w:val="2"/>
              <w:rPr>
                <w:sz w:val="22"/>
                <w:szCs w:val="22"/>
              </w:rPr>
            </w:pPr>
            <w:r w:rsidRPr="006557D8">
              <w:rPr>
                <w:sz w:val="22"/>
                <w:szCs w:val="22"/>
              </w:rPr>
              <w:t>-611,9</w:t>
            </w:r>
          </w:p>
        </w:tc>
        <w:tc>
          <w:tcPr>
            <w:tcW w:w="709" w:type="dxa"/>
          </w:tcPr>
          <w:p w:rsidR="00275D2A" w:rsidRPr="006557D8" w:rsidRDefault="00275D2A">
            <w:pPr>
              <w:pStyle w:val="FootnoteText"/>
              <w:tabs>
                <w:tab w:val="left" w:pos="0"/>
              </w:tabs>
              <w:spacing w:line="276" w:lineRule="auto"/>
              <w:jc w:val="right"/>
              <w:outlineLvl w:val="2"/>
              <w:rPr>
                <w:sz w:val="22"/>
                <w:szCs w:val="22"/>
              </w:rPr>
            </w:pPr>
            <w:r w:rsidRPr="006557D8">
              <w:rPr>
                <w:sz w:val="22"/>
                <w:szCs w:val="22"/>
              </w:rPr>
              <w:t>-322,7</w:t>
            </w:r>
          </w:p>
        </w:tc>
        <w:tc>
          <w:tcPr>
            <w:tcW w:w="709" w:type="dxa"/>
          </w:tcPr>
          <w:p w:rsidR="00275D2A" w:rsidRPr="006557D8" w:rsidRDefault="00275D2A">
            <w:pPr>
              <w:pStyle w:val="FootnoteText"/>
              <w:tabs>
                <w:tab w:val="left" w:pos="0"/>
              </w:tabs>
              <w:spacing w:line="276" w:lineRule="auto"/>
              <w:jc w:val="right"/>
              <w:outlineLvl w:val="2"/>
              <w:rPr>
                <w:sz w:val="22"/>
                <w:szCs w:val="22"/>
              </w:rPr>
            </w:pPr>
            <w:r w:rsidRPr="006557D8">
              <w:rPr>
                <w:sz w:val="22"/>
                <w:szCs w:val="22"/>
              </w:rPr>
              <w:t>-526,9</w:t>
            </w:r>
          </w:p>
        </w:tc>
        <w:tc>
          <w:tcPr>
            <w:tcW w:w="709" w:type="dxa"/>
          </w:tcPr>
          <w:p w:rsidR="00275D2A" w:rsidRPr="006557D8" w:rsidRDefault="00275D2A">
            <w:pPr>
              <w:pStyle w:val="FootnoteText"/>
              <w:tabs>
                <w:tab w:val="left" w:pos="0"/>
              </w:tabs>
              <w:spacing w:line="276" w:lineRule="auto"/>
              <w:jc w:val="right"/>
              <w:outlineLvl w:val="2"/>
              <w:rPr>
                <w:sz w:val="22"/>
                <w:szCs w:val="22"/>
              </w:rPr>
            </w:pPr>
            <w:r w:rsidRPr="006557D8">
              <w:rPr>
                <w:sz w:val="22"/>
                <w:szCs w:val="22"/>
              </w:rPr>
              <w:t>-579,2</w:t>
            </w:r>
          </w:p>
        </w:tc>
        <w:tc>
          <w:tcPr>
            <w:tcW w:w="708" w:type="dxa"/>
          </w:tcPr>
          <w:p w:rsidR="00275D2A" w:rsidRPr="006557D8" w:rsidRDefault="00275D2A">
            <w:pPr>
              <w:pStyle w:val="FootnoteText"/>
              <w:tabs>
                <w:tab w:val="left" w:pos="0"/>
              </w:tabs>
              <w:spacing w:line="276" w:lineRule="auto"/>
              <w:jc w:val="right"/>
              <w:outlineLvl w:val="2"/>
              <w:rPr>
                <w:sz w:val="22"/>
                <w:szCs w:val="22"/>
              </w:rPr>
            </w:pPr>
            <w:r w:rsidRPr="006557D8">
              <w:rPr>
                <w:sz w:val="22"/>
                <w:szCs w:val="22"/>
              </w:rPr>
              <w:t>-555,3</w:t>
            </w:r>
          </w:p>
        </w:tc>
        <w:tc>
          <w:tcPr>
            <w:tcW w:w="709" w:type="dxa"/>
          </w:tcPr>
          <w:p w:rsidR="00275D2A" w:rsidRPr="006557D8" w:rsidRDefault="00275D2A">
            <w:pPr>
              <w:pStyle w:val="FootnoteText"/>
              <w:tabs>
                <w:tab w:val="left" w:pos="0"/>
              </w:tabs>
              <w:spacing w:line="276" w:lineRule="auto"/>
              <w:jc w:val="right"/>
              <w:outlineLvl w:val="2"/>
              <w:rPr>
                <w:sz w:val="22"/>
                <w:szCs w:val="22"/>
              </w:rPr>
            </w:pPr>
            <w:r w:rsidRPr="006557D8">
              <w:rPr>
                <w:sz w:val="22"/>
                <w:szCs w:val="22"/>
              </w:rPr>
              <w:t>188,9</w:t>
            </w:r>
          </w:p>
        </w:tc>
        <w:tc>
          <w:tcPr>
            <w:tcW w:w="709" w:type="dxa"/>
          </w:tcPr>
          <w:p w:rsidR="00275D2A" w:rsidRPr="006557D8" w:rsidRDefault="00275D2A">
            <w:pPr>
              <w:pStyle w:val="FootnoteText"/>
              <w:tabs>
                <w:tab w:val="left" w:pos="0"/>
              </w:tabs>
              <w:spacing w:line="276" w:lineRule="auto"/>
              <w:jc w:val="right"/>
              <w:outlineLvl w:val="2"/>
              <w:rPr>
                <w:sz w:val="22"/>
                <w:szCs w:val="22"/>
              </w:rPr>
            </w:pPr>
            <w:r w:rsidRPr="006557D8">
              <w:rPr>
                <w:sz w:val="22"/>
                <w:szCs w:val="22"/>
              </w:rPr>
              <w:t>-94,2</w:t>
            </w:r>
            <w:r w:rsidRPr="006557D8">
              <w:rPr>
                <w:rStyle w:val="FootnoteReference"/>
                <w:sz w:val="22"/>
                <w:szCs w:val="22"/>
              </w:rPr>
              <w:footnoteReference w:id="5"/>
            </w:r>
          </w:p>
        </w:tc>
      </w:tr>
      <w:tr w:rsidR="00275D2A" w:rsidRPr="003A69CB" w:rsidTr="00045D09">
        <w:trPr>
          <w:trHeight w:val="60"/>
        </w:trPr>
        <w:tc>
          <w:tcPr>
            <w:tcW w:w="2268" w:type="dxa"/>
          </w:tcPr>
          <w:p w:rsidR="00275D2A" w:rsidRPr="006557D8" w:rsidRDefault="00275D2A">
            <w:pPr>
              <w:pStyle w:val="FootnoteText"/>
              <w:tabs>
                <w:tab w:val="left" w:pos="0"/>
              </w:tabs>
              <w:spacing w:line="276" w:lineRule="auto"/>
              <w:outlineLvl w:val="2"/>
              <w:rPr>
                <w:sz w:val="22"/>
                <w:szCs w:val="22"/>
              </w:rPr>
            </w:pPr>
            <w:r w:rsidRPr="006557D8">
              <w:rPr>
                <w:sz w:val="22"/>
                <w:szCs w:val="22"/>
              </w:rPr>
              <w:t>Devizni tečaj BAM/USA</w:t>
            </w:r>
          </w:p>
        </w:tc>
        <w:tc>
          <w:tcPr>
            <w:tcW w:w="709" w:type="dxa"/>
          </w:tcPr>
          <w:p w:rsidR="00275D2A" w:rsidRPr="006557D8" w:rsidRDefault="00275D2A">
            <w:pPr>
              <w:pStyle w:val="FootnoteText"/>
              <w:tabs>
                <w:tab w:val="left" w:pos="0"/>
              </w:tabs>
              <w:spacing w:line="276" w:lineRule="auto"/>
              <w:jc w:val="right"/>
              <w:outlineLvl w:val="2"/>
              <w:rPr>
                <w:sz w:val="22"/>
                <w:szCs w:val="22"/>
              </w:rPr>
            </w:pPr>
            <w:r w:rsidRPr="006557D8">
              <w:rPr>
                <w:sz w:val="22"/>
                <w:szCs w:val="22"/>
              </w:rPr>
              <w:t>1,4295</w:t>
            </w:r>
          </w:p>
        </w:tc>
        <w:tc>
          <w:tcPr>
            <w:tcW w:w="709" w:type="dxa"/>
          </w:tcPr>
          <w:p w:rsidR="00275D2A" w:rsidRPr="006557D8" w:rsidRDefault="00275D2A">
            <w:pPr>
              <w:pStyle w:val="FootnoteText"/>
              <w:tabs>
                <w:tab w:val="left" w:pos="0"/>
              </w:tabs>
              <w:spacing w:line="276" w:lineRule="auto"/>
              <w:jc w:val="right"/>
              <w:outlineLvl w:val="2"/>
              <w:rPr>
                <w:sz w:val="22"/>
                <w:szCs w:val="22"/>
              </w:rPr>
            </w:pPr>
            <w:r w:rsidRPr="006557D8">
              <w:rPr>
                <w:sz w:val="22"/>
                <w:szCs w:val="22"/>
              </w:rPr>
              <w:t>1,3366</w:t>
            </w:r>
          </w:p>
        </w:tc>
        <w:tc>
          <w:tcPr>
            <w:tcW w:w="709" w:type="dxa"/>
          </w:tcPr>
          <w:p w:rsidR="00275D2A" w:rsidRPr="006557D8" w:rsidRDefault="00275D2A">
            <w:pPr>
              <w:pStyle w:val="FootnoteText"/>
              <w:tabs>
                <w:tab w:val="left" w:pos="0"/>
              </w:tabs>
              <w:spacing w:line="276" w:lineRule="auto"/>
              <w:jc w:val="right"/>
              <w:outlineLvl w:val="2"/>
              <w:rPr>
                <w:sz w:val="22"/>
                <w:szCs w:val="22"/>
              </w:rPr>
            </w:pPr>
            <w:r w:rsidRPr="006557D8">
              <w:rPr>
                <w:sz w:val="22"/>
                <w:szCs w:val="22"/>
              </w:rPr>
              <w:t>1,4068</w:t>
            </w:r>
          </w:p>
        </w:tc>
        <w:tc>
          <w:tcPr>
            <w:tcW w:w="708" w:type="dxa"/>
          </w:tcPr>
          <w:p w:rsidR="00275D2A" w:rsidRPr="006557D8" w:rsidRDefault="00275D2A">
            <w:pPr>
              <w:pStyle w:val="FootnoteText"/>
              <w:tabs>
                <w:tab w:val="left" w:pos="0"/>
              </w:tabs>
              <w:spacing w:line="276" w:lineRule="auto"/>
              <w:jc w:val="right"/>
              <w:outlineLvl w:val="2"/>
              <w:rPr>
                <w:sz w:val="22"/>
                <w:szCs w:val="22"/>
              </w:rPr>
            </w:pPr>
            <w:r w:rsidRPr="006557D8">
              <w:rPr>
                <w:sz w:val="22"/>
                <w:szCs w:val="22"/>
              </w:rPr>
              <w:t>1,4769</w:t>
            </w:r>
          </w:p>
        </w:tc>
        <w:tc>
          <w:tcPr>
            <w:tcW w:w="709" w:type="dxa"/>
          </w:tcPr>
          <w:p w:rsidR="00275D2A" w:rsidRPr="006557D8" w:rsidRDefault="00275D2A">
            <w:pPr>
              <w:pStyle w:val="FootnoteText"/>
              <w:tabs>
                <w:tab w:val="left" w:pos="0"/>
              </w:tabs>
              <w:spacing w:line="276" w:lineRule="auto"/>
              <w:jc w:val="right"/>
              <w:outlineLvl w:val="2"/>
              <w:rPr>
                <w:sz w:val="22"/>
                <w:szCs w:val="22"/>
              </w:rPr>
            </w:pPr>
            <w:r w:rsidRPr="006557D8">
              <w:rPr>
                <w:sz w:val="22"/>
                <w:szCs w:val="22"/>
              </w:rPr>
              <w:t>1,4061</w:t>
            </w:r>
          </w:p>
        </w:tc>
        <w:tc>
          <w:tcPr>
            <w:tcW w:w="709" w:type="dxa"/>
          </w:tcPr>
          <w:p w:rsidR="00275D2A" w:rsidRPr="006557D8" w:rsidRDefault="00275D2A">
            <w:pPr>
              <w:pStyle w:val="FootnoteText"/>
              <w:tabs>
                <w:tab w:val="left" w:pos="0"/>
              </w:tabs>
              <w:spacing w:line="276" w:lineRule="auto"/>
              <w:jc w:val="right"/>
              <w:outlineLvl w:val="2"/>
              <w:rPr>
                <w:sz w:val="22"/>
                <w:szCs w:val="22"/>
              </w:rPr>
            </w:pPr>
            <w:r w:rsidRPr="006557D8">
              <w:rPr>
                <w:sz w:val="22"/>
                <w:szCs w:val="22"/>
              </w:rPr>
              <w:t>1,5227</w:t>
            </w:r>
          </w:p>
        </w:tc>
        <w:tc>
          <w:tcPr>
            <w:tcW w:w="709" w:type="dxa"/>
          </w:tcPr>
          <w:p w:rsidR="00275D2A" w:rsidRPr="006557D8" w:rsidRDefault="00275D2A">
            <w:pPr>
              <w:pStyle w:val="FootnoteText"/>
              <w:tabs>
                <w:tab w:val="left" w:pos="0"/>
              </w:tabs>
              <w:spacing w:line="276" w:lineRule="auto"/>
              <w:jc w:val="right"/>
              <w:outlineLvl w:val="2"/>
              <w:rPr>
                <w:sz w:val="22"/>
                <w:szCs w:val="22"/>
              </w:rPr>
            </w:pPr>
            <w:r w:rsidRPr="006557D8">
              <w:rPr>
                <w:sz w:val="22"/>
                <w:szCs w:val="22"/>
              </w:rPr>
              <w:t>1,4735</w:t>
            </w:r>
          </w:p>
        </w:tc>
        <w:tc>
          <w:tcPr>
            <w:tcW w:w="708" w:type="dxa"/>
          </w:tcPr>
          <w:p w:rsidR="00275D2A" w:rsidRPr="006557D8" w:rsidRDefault="00275D2A">
            <w:pPr>
              <w:pStyle w:val="FootnoteText"/>
              <w:tabs>
                <w:tab w:val="left" w:pos="0"/>
              </w:tabs>
              <w:spacing w:line="276" w:lineRule="auto"/>
              <w:jc w:val="right"/>
              <w:outlineLvl w:val="2"/>
              <w:rPr>
                <w:sz w:val="22"/>
                <w:szCs w:val="22"/>
              </w:rPr>
            </w:pPr>
            <w:r w:rsidRPr="006557D8">
              <w:rPr>
                <w:sz w:val="22"/>
                <w:szCs w:val="22"/>
              </w:rPr>
              <w:t>1,4741</w:t>
            </w:r>
          </w:p>
        </w:tc>
        <w:tc>
          <w:tcPr>
            <w:tcW w:w="709" w:type="dxa"/>
          </w:tcPr>
          <w:p w:rsidR="00275D2A" w:rsidRPr="006557D8" w:rsidRDefault="00275D2A">
            <w:pPr>
              <w:pStyle w:val="FootnoteText"/>
              <w:tabs>
                <w:tab w:val="left" w:pos="0"/>
              </w:tabs>
              <w:spacing w:line="276" w:lineRule="auto"/>
              <w:jc w:val="right"/>
              <w:outlineLvl w:val="2"/>
              <w:rPr>
                <w:sz w:val="22"/>
                <w:szCs w:val="22"/>
              </w:rPr>
            </w:pPr>
            <w:r w:rsidRPr="006557D8">
              <w:rPr>
                <w:sz w:val="22"/>
                <w:szCs w:val="22"/>
              </w:rPr>
              <w:t>1,7626</w:t>
            </w:r>
          </w:p>
        </w:tc>
        <w:tc>
          <w:tcPr>
            <w:tcW w:w="709" w:type="dxa"/>
          </w:tcPr>
          <w:p w:rsidR="00275D2A" w:rsidRPr="006557D8" w:rsidRDefault="00275D2A">
            <w:pPr>
              <w:pStyle w:val="FootnoteText"/>
              <w:tabs>
                <w:tab w:val="left" w:pos="0"/>
              </w:tabs>
              <w:spacing w:line="276" w:lineRule="auto"/>
              <w:jc w:val="right"/>
              <w:outlineLvl w:val="2"/>
              <w:rPr>
                <w:sz w:val="22"/>
                <w:szCs w:val="22"/>
              </w:rPr>
            </w:pPr>
            <w:r w:rsidRPr="006557D8">
              <w:rPr>
                <w:sz w:val="22"/>
                <w:szCs w:val="22"/>
              </w:rPr>
              <w:t>1,7681</w:t>
            </w:r>
          </w:p>
        </w:tc>
      </w:tr>
    </w:tbl>
    <w:p w:rsidR="00275D2A" w:rsidRPr="00C00EFF" w:rsidRDefault="00275D2A" w:rsidP="00C00EFF">
      <w:pPr>
        <w:pStyle w:val="FootnoteText"/>
        <w:tabs>
          <w:tab w:val="left" w:pos="0"/>
        </w:tabs>
        <w:spacing w:line="276" w:lineRule="auto"/>
        <w:jc w:val="both"/>
        <w:rPr>
          <w:i/>
          <w:lang w:eastAsia="hr-HR"/>
        </w:rPr>
      </w:pPr>
      <w:r w:rsidRPr="00C00EFF">
        <w:rPr>
          <w:i/>
        </w:rPr>
        <w:t>Izvor: Ministarstvo financija i trezora BiH, CB BiH, Godišnje izvješće 2017.</w:t>
      </w:r>
    </w:p>
    <w:p w:rsidR="00275D2A" w:rsidRDefault="00275D2A" w:rsidP="00373F21">
      <w:pPr>
        <w:ind w:firstLine="720"/>
        <w:rPr>
          <w:lang w:val="hr-BA"/>
        </w:rPr>
      </w:pPr>
      <w:r>
        <w:rPr>
          <w:lang w:val="hr-BA"/>
        </w:rPr>
        <w:t>U razdoblju poslije nastanka ekonomske krize niti u jednoj fiskalnoj godini vrijednost direktnih stranih investicija nije prelazila 700 milijuna KM, a u 2016. godini iznosila je 460,6 milijuna KM ili svega  17,71% ulaganja iz 2007. godine. Pad ulaganja negativno je utjecao na ostale gospodarske aktivnosti u BiH. U tijeku cijelog istraživanog razdoblja zabilježen je negativni saldo vanjsko trgovinske razmjene, a koji se posljednjih godina i pogoršava.</w:t>
      </w:r>
    </w:p>
    <w:p w:rsidR="00275D2A" w:rsidRPr="00373F21" w:rsidRDefault="00275D2A" w:rsidP="00373F21">
      <w:pPr>
        <w:rPr>
          <w:lang w:val="hr-BA"/>
        </w:rPr>
      </w:pPr>
      <w:r w:rsidRPr="00FA0282">
        <w:rPr>
          <w:b/>
          <w:lang w:val="hr-BA"/>
        </w:rPr>
        <w:t>3</w:t>
      </w:r>
      <w:r>
        <w:rPr>
          <w:lang w:val="hr-BA"/>
        </w:rPr>
        <w:t xml:space="preserve">. </w:t>
      </w:r>
      <w:r>
        <w:rPr>
          <w:b/>
          <w:lang w:val="hr-BA"/>
        </w:rPr>
        <w:t>Problemi fiskalne neravnoteže i javnog duga</w:t>
      </w:r>
    </w:p>
    <w:p w:rsidR="00275D2A" w:rsidRDefault="00275D2A" w:rsidP="00373F21">
      <w:pPr>
        <w:ind w:firstLine="720"/>
        <w:rPr>
          <w:lang w:val="bs-Latn-BA"/>
        </w:rPr>
      </w:pPr>
      <w:r>
        <w:t xml:space="preserve">U većini godina istraživanog tranzicijskog razdoblja u BiH zabilježeni su pozitivni trendovi kretanja BDP-a i nekih fiskalnih pokazatelja. Od 2009. godine i pojavom ekonomske krize, BiH ekonomiju prate fiskalni deficiti i mnogo slabiji rast BDP-a.   </w:t>
      </w:r>
    </w:p>
    <w:p w:rsidR="00275D2A" w:rsidRPr="00373F21" w:rsidRDefault="00275D2A" w:rsidP="00373F21">
      <w:pPr>
        <w:pStyle w:val="Title"/>
        <w:rPr>
          <w:rFonts w:ascii="Times New Roman" w:hAnsi="Times New Roman"/>
          <w:i/>
          <w:sz w:val="22"/>
          <w:szCs w:val="22"/>
        </w:rPr>
      </w:pPr>
    </w:p>
    <w:p w:rsidR="00275D2A" w:rsidRPr="00373F21" w:rsidRDefault="00275D2A" w:rsidP="00373F21">
      <w:pPr>
        <w:pStyle w:val="Title"/>
        <w:rPr>
          <w:rFonts w:ascii="Times New Roman" w:hAnsi="Times New Roman"/>
          <w:i/>
          <w:sz w:val="22"/>
          <w:szCs w:val="22"/>
        </w:rPr>
      </w:pPr>
      <w:r w:rsidRPr="00373F21">
        <w:rPr>
          <w:rFonts w:ascii="Times New Roman" w:hAnsi="Times New Roman"/>
          <w:i/>
          <w:sz w:val="22"/>
          <w:szCs w:val="22"/>
        </w:rPr>
        <w:t>Grafikon 1. Realni rast BDP-a u Bosni i Hercegovini u %</w:t>
      </w:r>
    </w:p>
    <w:p w:rsidR="00275D2A" w:rsidRDefault="00275D2A" w:rsidP="00373F21">
      <w:pPr>
        <w:rPr>
          <w:i/>
          <w:sz w:val="20"/>
          <w:szCs w:val="20"/>
        </w:rPr>
      </w:pPr>
      <w:r w:rsidRPr="003A69CB">
        <w:rPr>
          <w:noProof/>
          <w:szCs w:val="22"/>
          <w:lang w:val="hr-HR" w:eastAsia="hr-HR"/>
        </w:rPr>
        <w:object w:dxaOrig="8276" w:dyaOrig="22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6" o:spid="_x0000_i1025" type="#_x0000_t75" style="width:414pt;height:111.75pt;visibility:visible" o:ole="">
            <v:imagedata r:id="rId7" o:title="" cropbottom="-147f"/>
            <o:lock v:ext="edit" aspectratio="f"/>
          </v:shape>
          <o:OLEObject Type="Embed" ProgID="Excel.Chart.8" ShapeID="Chart 6" DrawAspect="Content" ObjectID="_1598427428" r:id="rId8"/>
        </w:object>
      </w:r>
    </w:p>
    <w:p w:rsidR="00275D2A" w:rsidRPr="00373F21" w:rsidRDefault="00275D2A" w:rsidP="00373F21">
      <w:r w:rsidRPr="00373F21">
        <w:rPr>
          <w:i/>
          <w:sz w:val="20"/>
          <w:szCs w:val="20"/>
        </w:rPr>
        <w:t>Izvor: Centralna banka BiH, g</w:t>
      </w:r>
      <w:r>
        <w:rPr>
          <w:i/>
          <w:sz w:val="20"/>
          <w:szCs w:val="20"/>
        </w:rPr>
        <w:t xml:space="preserve">odišnje izvješće za 2016. </w:t>
      </w:r>
    </w:p>
    <w:p w:rsidR="00275D2A" w:rsidRDefault="00275D2A" w:rsidP="00373F21">
      <w:pPr>
        <w:ind w:firstLine="720"/>
      </w:pPr>
      <w:r>
        <w:t xml:space="preserve">Od 2008. došlo je do snažnog pada proračunske ravnoteže, samo u 2009. registriran je proračunski deficit opće države od 1,070 milijardi KM ili 4,3% BDP-a. Javni dug se smanjivao do 2008., da bi se praktično povećao sve do danas. Oba ključna fiskalna pokazatelja javni dug i proračunski saldo bili su iznad utvrđenih kriterija iz Pakta za stabilnost i rast – kriteriji konvergencije koji su važili za tadašnje države članice EU. Ekonomska kriza je ove tendencije preokrenula u negativnom smjeru, tako da je BiH u cilju financiranja fiskalnog deficita stalno uvećavala svoj javni dug. </w:t>
      </w:r>
    </w:p>
    <w:p w:rsidR="00275D2A" w:rsidRPr="00373F21" w:rsidRDefault="00275D2A" w:rsidP="00373F21">
      <w:pPr>
        <w:rPr>
          <w:i/>
          <w:sz w:val="22"/>
          <w:szCs w:val="22"/>
        </w:rPr>
      </w:pPr>
      <w:r w:rsidRPr="00373F21">
        <w:rPr>
          <w:i/>
          <w:sz w:val="22"/>
          <w:szCs w:val="22"/>
        </w:rPr>
        <w:t>Grafikon 2. Saldo proračuna opće države kao % BDP-a</w:t>
      </w:r>
    </w:p>
    <w:p w:rsidR="00275D2A" w:rsidRDefault="00275D2A" w:rsidP="00045D09">
      <w:pPr>
        <w:jc w:val="center"/>
      </w:pPr>
      <w:r w:rsidRPr="003A69CB">
        <w:rPr>
          <w:noProof/>
          <w:szCs w:val="22"/>
          <w:lang w:val="hr-HR" w:eastAsia="hr-HR"/>
        </w:rPr>
        <w:object w:dxaOrig="8746" w:dyaOrig="2679">
          <v:shape id="Chart 2" o:spid="_x0000_i1026" type="#_x0000_t75" style="width:437.25pt;height:134.25pt;visibility:visible" o:ole="">
            <v:imagedata r:id="rId9" o:title=""/>
            <o:lock v:ext="edit" aspectratio="f"/>
          </v:shape>
          <o:OLEObject Type="Embed" ProgID="Excel.Chart.8" ShapeID="Chart 2" DrawAspect="Content" ObjectID="_1598427429" r:id="rId10"/>
        </w:object>
      </w:r>
    </w:p>
    <w:p w:rsidR="00275D2A" w:rsidRPr="00FA0282" w:rsidRDefault="00275D2A" w:rsidP="00FA0282">
      <w:pPr>
        <w:pStyle w:val="Title"/>
        <w:rPr>
          <w:rFonts w:ascii="Times New Roman" w:hAnsi="Times New Roman"/>
          <w:sz w:val="20"/>
          <w:szCs w:val="20"/>
        </w:rPr>
      </w:pPr>
      <w:r w:rsidRPr="00373F21">
        <w:rPr>
          <w:rFonts w:ascii="Times New Roman" w:hAnsi="Times New Roman"/>
          <w:sz w:val="20"/>
          <w:szCs w:val="20"/>
        </w:rPr>
        <w:t xml:space="preserve">Izvor: Centralna banka BiH, godišnje izvješće za 2016. </w:t>
      </w:r>
    </w:p>
    <w:p w:rsidR="00275D2A" w:rsidRDefault="00275D2A" w:rsidP="00FA0282">
      <w:pPr>
        <w:ind w:firstLine="720"/>
      </w:pPr>
      <w:r>
        <w:t xml:space="preserve">Zabrinjavajuća činjenica jeste stalni trend udjela javnog duga u BDP-u, tako da se od 2008. kada je iznosio 33,4% stalno rastao u narednim godinama, kako bi iznosio 42,2% BDP-a u 2014. godini. Istina zadnjih nekoliko godina visina javnog duga se stabilizirala do 40% BDP-a i nije prešla granice zacrtane od strane Pakta za stabilnost i rast. </w:t>
      </w:r>
      <w:r>
        <w:tab/>
      </w:r>
      <w:r>
        <w:tab/>
      </w:r>
      <w:r>
        <w:tab/>
      </w:r>
      <w:r>
        <w:tab/>
      </w:r>
      <w:r>
        <w:tab/>
      </w:r>
      <w:r>
        <w:tab/>
      </w:r>
      <w:r>
        <w:tab/>
      </w:r>
      <w:r>
        <w:tab/>
      </w:r>
      <w:r>
        <w:tab/>
      </w:r>
      <w:r>
        <w:tab/>
      </w:r>
      <w:r>
        <w:tab/>
      </w:r>
      <w:r>
        <w:tab/>
        <w:t xml:space="preserve">U razdoblju 2007.-2016. godine evidentan je stalni rast javnih rashoda u BiH, a na koncu 2016. godine učešće javnog duga u BDP-u bilo je 39,8%, tako da se Bosna i Hercegovina našla na nižoj razini javnog duga od većine tranzicijskih zemalja.  Na koncu 2016. godine konsolidirani proračunski deficit opće vlade u BiH iznosio je oko 0,3% BDP-a, što je ipak u okvirima konvergencije tj. Ugovora iz Mastrihta.  I usprkos činjenici da je javno zaduženje BiH ispod prosjeka zemalja članica Europske unije, javni dug BiH ne treba podcjenjivati, s obzirom da je </w:t>
      </w:r>
      <w:r>
        <w:rPr>
          <w:b/>
          <w:i/>
        </w:rPr>
        <w:t>kreditni rejting</w:t>
      </w:r>
      <w:r>
        <w:t xml:space="preserve"> nešto slabiji od većine ostalih tranzicijskih zemalja.</w:t>
      </w:r>
      <w:r>
        <w:tab/>
      </w:r>
      <w:r>
        <w:tab/>
      </w:r>
      <w:r>
        <w:tab/>
      </w:r>
      <w:r>
        <w:tab/>
      </w:r>
      <w:r>
        <w:tab/>
      </w:r>
      <w:r>
        <w:tab/>
      </w:r>
      <w:r>
        <w:tab/>
      </w:r>
      <w:r>
        <w:tab/>
      </w:r>
      <w:r>
        <w:tab/>
      </w:r>
      <w:r>
        <w:tab/>
        <w:t xml:space="preserve">Na kretanje zaduženosti u BiH negativno je utjecao i stalni rast kamata na unutrašnje dugove. Kamatne stope na unutrašnje dugove su u 2014. godini dosegle maksimalne iznose do 3,1%, što je nekoliko puta više u odnosu na 2008. godinu. Poseban problem za </w:t>
      </w:r>
      <w:r>
        <w:rPr>
          <w:b/>
          <w:i/>
        </w:rPr>
        <w:t>fiskalnu održivost</w:t>
      </w:r>
      <w:r>
        <w:t xml:space="preserve"> BiH je vezan za visoke kamate na unutrašnje dugove u Republici Srpskoj, a koje su preko 50% veće u odnosu kamate u Federaciji BiH. Iz navedenih razloga unutrašnji dug u Republici Srpskoj čini čak 45,5% ukupnog javnog duga.</w:t>
      </w:r>
      <w:r>
        <w:rPr>
          <w:rStyle w:val="FootnoteReference"/>
        </w:rPr>
        <w:footnoteReference w:id="6"/>
      </w:r>
      <w:r>
        <w:t xml:space="preserve"> Rast kamata i javnog zaduženja u BiH doveo je do rasta obveza servisiranja nastalih dugova. Obveze za servisiranje kredita u 2016. godini dosegle su 12% proračunskih prihoda, što je nekoliko puta više u odnosu na obveze prije nastanka globalne ekonomske krize. Izražena je tendencija rasta servisiranja unutrašnjeg duga, tako da je danas doseglo polovicu ukupnog javnog duga (</w:t>
      </w:r>
      <w:r>
        <w:rPr>
          <w:i/>
        </w:rPr>
        <w:t>stara devizna štednja, trezorski zapisi, ratne odštete itd.)</w:t>
      </w:r>
      <w:r>
        <w:t xml:space="preserve">. Financijske potrebe javnog sektora u BiH su kontinuirano rasle zadnjih deset godina. </w:t>
      </w:r>
    </w:p>
    <w:p w:rsidR="00275D2A" w:rsidRPr="00373F21" w:rsidRDefault="00275D2A" w:rsidP="00373F21">
      <w:pPr>
        <w:rPr>
          <w:i/>
          <w:sz w:val="22"/>
          <w:szCs w:val="22"/>
        </w:rPr>
      </w:pPr>
      <w:r w:rsidRPr="00373F21">
        <w:rPr>
          <w:i/>
          <w:sz w:val="22"/>
          <w:szCs w:val="22"/>
        </w:rPr>
        <w:t>Grafikon 3. Učešće javnog duga u % BDP-u Bosne i Hercegovine</w:t>
      </w:r>
    </w:p>
    <w:p w:rsidR="00275D2A" w:rsidRPr="00373F21" w:rsidRDefault="00275D2A" w:rsidP="00373F21">
      <w:pPr>
        <w:jc w:val="center"/>
      </w:pPr>
      <w:r w:rsidRPr="003A69CB">
        <w:rPr>
          <w:noProof/>
          <w:szCs w:val="22"/>
          <w:lang w:val="hr-HR" w:eastAsia="hr-HR"/>
        </w:rPr>
        <w:object w:dxaOrig="9332" w:dyaOrig="3283">
          <v:shape id="Chart 3" o:spid="_x0000_i1027" type="#_x0000_t75" style="width:466.5pt;height:164.25pt;visibility:visible" o:ole="">
            <v:imagedata r:id="rId11" o:title="" cropbottom="-40f"/>
            <o:lock v:ext="edit" aspectratio="f"/>
          </v:shape>
          <o:OLEObject Type="Embed" ProgID="Excel.Chart.8" ShapeID="Chart 3" DrawAspect="Content" ObjectID="_1598427430" r:id="rId12"/>
        </w:object>
      </w:r>
      <w:r w:rsidRPr="006557D8">
        <w:rPr>
          <w:sz w:val="20"/>
          <w:szCs w:val="20"/>
        </w:rPr>
        <w:t xml:space="preserve">Izvor: </w:t>
      </w:r>
      <w:r w:rsidRPr="006557D8">
        <w:rPr>
          <w:rStyle w:val="TitleChar"/>
          <w:rFonts w:ascii="Times New Roman" w:hAnsi="Times New Roman"/>
          <w:sz w:val="20"/>
          <w:szCs w:val="20"/>
          <w:lang w:eastAsia="en-US"/>
        </w:rPr>
        <w:t>Ministarstvo financija i trezora BiH, Informacija o stanju javne zaduženosti BiH na dan 31.12.2016.</w:t>
      </w:r>
      <w:r>
        <w:rPr>
          <w:rStyle w:val="TitleChar"/>
          <w:rFonts w:ascii="Times New Roman" w:hAnsi="Times New Roman"/>
          <w:sz w:val="20"/>
          <w:szCs w:val="20"/>
          <w:lang w:eastAsia="en-US"/>
        </w:rPr>
        <w:t xml:space="preserve"> </w:t>
      </w:r>
    </w:p>
    <w:p w:rsidR="00275D2A" w:rsidRDefault="00275D2A" w:rsidP="007F4EE3">
      <w:pPr>
        <w:ind w:firstLine="720"/>
      </w:pPr>
      <w:r>
        <w:t xml:space="preserve">Temeljni uzrok rasta izdataka za javna zaduživanja bila su refinanciranje obveza zbog </w:t>
      </w:r>
      <w:r>
        <w:rPr>
          <w:b/>
          <w:i/>
        </w:rPr>
        <w:t>servisiranja starog duga</w:t>
      </w:r>
      <w:r>
        <w:t xml:space="preserve"> i </w:t>
      </w:r>
      <w:r>
        <w:rPr>
          <w:b/>
          <w:i/>
        </w:rPr>
        <w:t>financiranja proračunskih deficita</w:t>
      </w:r>
      <w:r>
        <w:t xml:space="preserve"> putem dodatnog zaduživanja. Proračunski deficiti su nastali kao posljedica neracionalnog ustroja državnog sektora BiH i ogromne javne potrošnje. </w:t>
      </w:r>
      <w:r>
        <w:tab/>
      </w:r>
      <w:r>
        <w:tab/>
      </w:r>
      <w:r>
        <w:tab/>
      </w:r>
      <w:r>
        <w:tab/>
      </w:r>
      <w:r>
        <w:tab/>
      </w:r>
      <w:r>
        <w:tab/>
      </w:r>
      <w:r>
        <w:tab/>
        <w:t xml:space="preserve">Jedan od dodatnih uzroka rasta javnog duga je i stalni </w:t>
      </w:r>
      <w:r>
        <w:rPr>
          <w:b/>
          <w:i/>
        </w:rPr>
        <w:t>rast deficita negativne trgovinske bilance</w:t>
      </w:r>
      <w:r>
        <w:t xml:space="preserve">u zadnjih deset godina. Slaba konkurentnost BiH gospodarstva i prevelika liberalizacija imaju za posljedicu velike i stalne trgovinske deficite. Neto devizni prihodi od trgovine uslugama, tzv. faktorskih prihoda i neto tekući transferi nisu dovoljni za pokriće neto deviznih rashoda trgovinom roba, a posebice za izmirenje dospjelih glavnica kredita i kamata. Takvi deficiti ukupnog tekućeg računa mogu ugroziti međunarodnu likvidnost Bosne i Hercegovine.Također je i nedovoljan priljev </w:t>
      </w:r>
      <w:r>
        <w:rPr>
          <w:b/>
          <w:i/>
        </w:rPr>
        <w:t>stranih direktnih investicija</w:t>
      </w:r>
      <w:r>
        <w:t xml:space="preserve"> u zadnjih desetak godina, a koje nisu na razini država iz okruženja.</w:t>
      </w:r>
      <w:r>
        <w:tab/>
      </w:r>
      <w:r>
        <w:tab/>
        <w:t>Dodatni problem kod rasta javnog duga u BiH jest činjenica da ekspanzija duga nije pratila izgradnju infrastrukturnih objekata i ostalih proizvodnih kapaciteta. Kako bi popravili svoju fiskalnu ravnotežu, Vlasti u BiH bi se trebali zaduživati po povoljnijim uvjetima, a vanjsku zaduženost više koristiti u pravcu razvoja gospodarstva i financiranja projekata, a manje za javnu potrošnju državnog sektora. Također je potrebno provođenje strukturnih reformi, kao temelja za dalji gospodarski rast. Dokazano je da postoji izražena veza između stabilnosti financijskog upravljanja u javnom sektoru i ostalih gospodarskih grana. Stoga preduvjet suvremenog modela zaduživanja treba biti i adekvatna razvijenost financijskog tržišta.</w:t>
      </w:r>
      <w:r>
        <w:rPr>
          <w:rStyle w:val="FootnoteReference"/>
        </w:rPr>
        <w:footnoteReference w:id="7"/>
      </w:r>
      <w:r>
        <w:tab/>
      </w:r>
      <w:r>
        <w:tab/>
      </w:r>
      <w:r>
        <w:tab/>
      </w:r>
      <w:r>
        <w:tab/>
      </w:r>
      <w:r>
        <w:tab/>
      </w:r>
      <w:r>
        <w:tab/>
      </w:r>
      <w:r>
        <w:tab/>
      </w:r>
      <w:r>
        <w:tab/>
      </w:r>
      <w:r>
        <w:tab/>
        <w:t>Valutna struktura javnog duga ima svoj značaj u pogledu kvalitete fiskalne održivosti. Nemogućnost zaduživanja u domaćoj valuti u značajnoj mjeri ograničava učinak ekonomskih reformi. Nije povoljno što je posuđivanje sredstava u najvećoj mjeri bilo u nekoj od inozemnoj valuti a najčešće EURU. Što se kamatnog rizika tiče, može se zaključiti da je prema službenim podacima situacija relativno povoljna, s obzirom da većina duga ima fiksnu kamatnu stopu, a ostatak kreditnih zaduženja ima varijabilnu kamatnu stopu u najvećem dijelu EURIBOR i LIBOR na EUR, što govori da je gospodarstvo BiH u na jvećoj mjeri okrenuto prema Europskoj uniji i njenoj valuti EUR-u kao jedinstvenoj valuti Europske monetarne unije - EMU.</w:t>
      </w:r>
      <w:r>
        <w:tab/>
      </w:r>
      <w:r>
        <w:tab/>
      </w:r>
      <w:r>
        <w:tab/>
      </w:r>
      <w:r>
        <w:tab/>
        <w:t xml:space="preserve">Temeljem navedenih podataka ukazuje se na postojanje fiskalne neravnoteže u BiH. Njen nastanak se vezuje za veliki rast javne potrošnje i rast plaća u odnosu na rast BDP-a. Takva razina javne potrošnje je neodrživa sa stajališta stabilnosti makroekonomske situacije u BiH i potencijalnog rasta i razvitka. Osim toga, takav trend rasta javne potrošnje se negativno odražava i na unutarnju i vanjsku ravnotežu, a tako i na rast vanjskog i unutarašnjeg duga. Vođenje monetarne i fiskalne politike u smislu ispunjavanja kriterija iz Mastrichta bi trebala biti cilj u narednom fiskalnom razdoblju. </w:t>
      </w:r>
    </w:p>
    <w:p w:rsidR="00275D2A" w:rsidRPr="00373F21" w:rsidRDefault="00275D2A" w:rsidP="00373F21">
      <w:r w:rsidRPr="00373F21">
        <w:rPr>
          <w:b/>
        </w:rPr>
        <w:t>4.</w:t>
      </w:r>
      <w:r>
        <w:t xml:space="preserve"> </w:t>
      </w:r>
      <w:r>
        <w:rPr>
          <w:b/>
        </w:rPr>
        <w:t>Problem deficita tekućeg računa i vanjskog duga</w:t>
      </w:r>
    </w:p>
    <w:p w:rsidR="00275D2A" w:rsidRDefault="00275D2A" w:rsidP="00373F21">
      <w:pPr>
        <w:ind w:firstLine="720"/>
      </w:pPr>
      <w:r>
        <w:t xml:space="preserve">Značajan pokazatelj za nositelje ekonomske politike te potencijalne ulagače predstavlja </w:t>
      </w:r>
      <w:r>
        <w:rPr>
          <w:b/>
          <w:i/>
        </w:rPr>
        <w:t xml:space="preserve">stanje na tekućem računu </w:t>
      </w:r>
      <w:r>
        <w:t>kao posebnog dijela platne bilance neke države. Preko salda tekućeg računa nadzire se priljev i odljev sredstava temeljem razmjene kapitala i usluga te vrši nadzor obveza i potraživanja prema inozemstvu. Deficit tekućeg računa ukazuje na postojanje problema.Saldo tekućeg računa predstavlja ključni faktor kod definiranja eksterne ravnoteže, s obzirom da se preko tog salda spoznaju ključne činjenice vezane za razliku domaće štednje ili proizvodnje roba i usluga i domaćih investicija ili potrošnje roba i usluga. Deficit tekućeg računa čini negativni saldo neto financijskog ulaganja i proizvodnje roba i usluga. Eksterna ravnoteža zahtjeva ravnotežu bilance tekućih transakcija.</w:t>
      </w:r>
      <w:r>
        <w:rPr>
          <w:rStyle w:val="FootnoteReference"/>
        </w:rPr>
        <w:footnoteReference w:id="8"/>
      </w:r>
      <w:r>
        <w:t xml:space="preserve"> </w:t>
      </w:r>
      <w:r>
        <w:tab/>
      </w:r>
      <w:r>
        <w:tab/>
      </w:r>
      <w:r>
        <w:tab/>
      </w:r>
      <w:r>
        <w:tab/>
      </w:r>
      <w:r>
        <w:tab/>
      </w:r>
      <w:r>
        <w:tab/>
      </w:r>
      <w:r>
        <w:tab/>
      </w:r>
      <w:r>
        <w:tab/>
      </w:r>
      <w:r>
        <w:tab/>
        <w:t xml:space="preserve">Veća negativna salda tekućeg računa mogu imati negativni utjecaj na kretanje deviznog tečaja te konkurentnost države u cijelini. Visoka i dugotrajna negativna salda tekućeg računa nemogu se na duže razdoblje financirati iz inozemstva, stoga je kod tih država nužno izvršiti određena fiskalna usklađivanja. Značajno je utvrditi izvor nastajanja deficita tekućeg računa, željenu razinu deficita koji se može održavati te vremensko razdoblje za ostvarenje tako zacrtanog cilja. Održavanje negativnog salda tekućeg računa na kraće vrijeme ovisi od priljeva stranih direktnih investicija, rasta deviznih rezervi usljed otkupa  efektive od stanovništva te rasta javnog duga. </w:t>
      </w:r>
      <w:r>
        <w:tab/>
      </w:r>
      <w:r>
        <w:tab/>
      </w:r>
      <w:r>
        <w:tab/>
      </w:r>
      <w:r>
        <w:tab/>
        <w:t xml:space="preserve">Deficit tekućeg računa je u načelu negativna pojava, ali nemora uvijek u pravilu imati teške posljedice. U svakom slučaju države sa dubljim i razvijenijim financijskim tržištem lakše održavaju deficit tekućeg računa. Teško se može precizno definirati razina deficita koja uzrokuje poteškoće u specifičnostoma neke države. Međutim, prema MMF i Svjetskoj banci negativni saldo tekućeg računa od 5% BDP-a u pravilu treba da uzrokuje značajnije probleme za ekonomiju određene države.  </w:t>
      </w:r>
      <w:r>
        <w:tab/>
      </w:r>
      <w:r>
        <w:tab/>
      </w:r>
      <w:r>
        <w:tab/>
      </w:r>
      <w:r>
        <w:tab/>
      </w:r>
      <w:r>
        <w:tab/>
      </w:r>
      <w:r>
        <w:rPr>
          <w:b/>
          <w:i/>
        </w:rPr>
        <w:t>Grafikon br. 4</w:t>
      </w:r>
      <w:r>
        <w:t xml:space="preserve">. Prikazuje kretanje deficita tekućeg računa u BiH u razdoblju 2007.-2016. godine. U čitavom razdoblju deficit tekućeg računa se kretao iznad referentne vrijednosti od od 5% BDP-a, a samo je u toku 2016. godine ostvaren deficit od 4,4% BDP-a. Negativni trend deficita tekućeg računa traje deset godina i loše utječe na održivost domaće ekonomije, a dodatni problem je i loša struktura tog deficita. </w:t>
      </w:r>
    </w:p>
    <w:p w:rsidR="00275D2A" w:rsidRPr="00261DDA" w:rsidRDefault="00275D2A" w:rsidP="007F4EE3">
      <w:pPr>
        <w:rPr>
          <w:i/>
          <w:sz w:val="22"/>
          <w:szCs w:val="22"/>
        </w:rPr>
      </w:pPr>
      <w:r w:rsidRPr="00261DDA">
        <w:rPr>
          <w:i/>
          <w:sz w:val="22"/>
          <w:szCs w:val="22"/>
        </w:rPr>
        <w:t>Grafikon 4. Deficit tekućeg računa kao % BDP-a BiH</w:t>
      </w:r>
    </w:p>
    <w:p w:rsidR="00275D2A" w:rsidRDefault="00275D2A" w:rsidP="00045D09">
      <w:pPr>
        <w:jc w:val="center"/>
      </w:pPr>
      <w:r w:rsidRPr="003A69CB">
        <w:rPr>
          <w:noProof/>
          <w:szCs w:val="22"/>
          <w:lang w:val="hr-HR" w:eastAsia="hr-HR"/>
        </w:rPr>
        <w:object w:dxaOrig="8689" w:dyaOrig="3408">
          <v:shape id="Chart 4" o:spid="_x0000_i1028" type="#_x0000_t75" style="width:434.25pt;height:170.25pt;visibility:visible" o:ole="">
            <v:imagedata r:id="rId13" o:title=""/>
            <o:lock v:ext="edit" aspectratio="f"/>
          </v:shape>
          <o:OLEObject Type="Embed" ProgID="Excel.Chart.8" ShapeID="Chart 4" DrawAspect="Content" ObjectID="_1598427431" r:id="rId14"/>
        </w:object>
      </w:r>
    </w:p>
    <w:p w:rsidR="00275D2A" w:rsidRDefault="00275D2A" w:rsidP="00F116F4">
      <w:pPr>
        <w:rPr>
          <w:i/>
        </w:rPr>
      </w:pPr>
      <w:r w:rsidRPr="00F116F4">
        <w:rPr>
          <w:rStyle w:val="TitleChar"/>
          <w:rFonts w:ascii="Times New Roman" w:hAnsi="Times New Roman"/>
          <w:sz w:val="20"/>
          <w:szCs w:val="20"/>
          <w:lang w:eastAsia="en-US"/>
        </w:rPr>
        <w:t>Izvor: Centralna banka BiH, godišnje izvješće za 2016</w:t>
      </w:r>
      <w:r>
        <w:rPr>
          <w:i/>
        </w:rPr>
        <w:t xml:space="preserve">. </w:t>
      </w:r>
    </w:p>
    <w:p w:rsidR="00275D2A" w:rsidRDefault="00275D2A" w:rsidP="006E68B3">
      <w:pPr>
        <w:ind w:firstLine="720"/>
      </w:pPr>
      <w:r>
        <w:t xml:space="preserve">Za održivost deficita tekućeg računa veliki značaj ima i saldo vanjsko trgovinske razmjene. Istraživanje je dokazalo da je zadnjih deset godina utvrđen defict vanjsko trgovinske razmjene u BiH. Takav negativni deficit implicira probleme strukturne prirode, koji se izražavaju zbog slabe konkurentnosti gospodarstva na inozemnom tržištu. I usprkos povećanju trgovinske otvorenosti te povećanju izvoza za čak 82,4% u odnosu na 2007. godinu, ostao je negativni saldo vanjsko trgovinske razmjene i u 2016. godini od -6,723 milijardi KM. Svjetska ekonomska kriza utjecala je na pad gospodarskih aktivnosti, a time i na izvozne mogućnosti BiH, koji se nisu oporavili niti osmu godinu od nastajanja ekonomske krize. </w:t>
      </w:r>
      <w:r>
        <w:tab/>
      </w:r>
      <w:r>
        <w:tab/>
      </w:r>
      <w:r>
        <w:tab/>
      </w:r>
      <w:r>
        <w:tab/>
      </w:r>
      <w:r>
        <w:tab/>
      </w:r>
      <w:r>
        <w:tab/>
      </w:r>
      <w:r>
        <w:tab/>
      </w:r>
      <w:r>
        <w:tab/>
      </w:r>
      <w:r>
        <w:tab/>
        <w:t>Ipak, ključni razlog deficita vanjsko trgovinske razmjene BiH su slabi pokazatelji konkurentnosti domaćeg gospodarstva, a koji se ogledaju u:</w:t>
      </w:r>
      <w:r>
        <w:rPr>
          <w:rStyle w:val="FootnoteReference"/>
        </w:rPr>
        <w:footnoteReference w:id="9"/>
      </w:r>
      <w:r>
        <w:t xml:space="preserve"> pristupu financiranja, političkoj nestabilnosti, lošim porezima, korupciji, restriktivnim radnim propisima, nedovoljnim kapacitetima inovativnosti, neadekvatnom osiguravanju potrebne infrastrukture, needuciranosti radne snage itd.</w:t>
      </w:r>
      <w:r>
        <w:tab/>
      </w:r>
      <w:r>
        <w:tab/>
      </w:r>
      <w:r>
        <w:tab/>
      </w:r>
      <w:r>
        <w:tab/>
      </w:r>
    </w:p>
    <w:p w:rsidR="00275D2A" w:rsidRDefault="00275D2A" w:rsidP="006E68B3">
      <w:pPr>
        <w:spacing w:before="0"/>
        <w:ind w:firstLine="720"/>
      </w:pPr>
      <w:r>
        <w:t xml:space="preserve">Javlja se problem načina riješavanja deficita vanjsko trgovinske razmjene. Strane direktne investicije su jedan od izvora rješavanja problema, ali se one ne kreću na željenim razinama. Poslije 2007. godine vrijednost stranih direktnih investicija stalno opada i na koncu 2016. godine iznosi svega 460,6 milijuna KM ili manje za 2,139 milijardi KM. Uzrok tomu je i slaba struktura investicija, a koja su dobrim dijelom usmjerene na tzv. nerazmjenjiva dobra kao što su sektori trgovine, bankarstva, nekretnine itd.. Inače za poboljšanje priljeva ulaganja najučinkovitije bi bile tzv. greenfield investicije kojima se poboljšava produktivnost i tehnološki razvoj, a posebno u sektore  tzv. razmjenjivih dobara usmjerenih na stvaranje novih vrijednosti i izvozno orijentiranih.  Problem </w:t>
      </w:r>
      <w:r w:rsidRPr="006E68B3">
        <w:rPr>
          <w:b/>
          <w:i/>
        </w:rPr>
        <w:t>velikih deficita</w:t>
      </w:r>
      <w:r>
        <w:t xml:space="preserve"> tekućeg računa se usložnjava ako se sredstva usmjeravaju prema neproduktivnim domaćim projektima. Stoga ako su deficiti posljedica prevelike potrošnje, mogu nastati i usljed pogrešne državne politike i slabo planiranih investicijskih ulaganja te negativno utječu na investitore i stvara se problem nalaženja povoljnih kreditnih sredstava.  </w:t>
      </w:r>
      <w:r>
        <w:tab/>
      </w:r>
      <w:r>
        <w:tab/>
      </w:r>
      <w:r>
        <w:tab/>
      </w:r>
      <w:r>
        <w:tab/>
      </w:r>
      <w:r>
        <w:tab/>
      </w:r>
      <w:r>
        <w:tab/>
      </w:r>
      <w:r>
        <w:tab/>
      </w:r>
      <w:r>
        <w:tab/>
      </w:r>
      <w:r>
        <w:tab/>
      </w:r>
      <w:r>
        <w:tab/>
        <w:t xml:space="preserve">Kada se analizira stanje </w:t>
      </w:r>
      <w:r w:rsidRPr="006E68B3">
        <w:rPr>
          <w:b/>
          <w:i/>
        </w:rPr>
        <w:t>vanjskog duga</w:t>
      </w:r>
      <w:r>
        <w:t xml:space="preserve"> promatraju se pokazatelji koji upućuju na razinu zaduženosti u odnosu na ekonomski i izvozni potencijal države i sposobnost države da plaća svoje obveze po vanjskog dugu tzv. pokazatelji eksterne solventnosti. Temeljni pokazatelj vanjske zaduženosti u BiHi dokazuje se odnosom vanjskog duga i BDP-a u </w:t>
      </w:r>
      <w:r w:rsidRPr="006E68B3">
        <w:rPr>
          <w:b/>
          <w:i/>
        </w:rPr>
        <w:t xml:space="preserve">grafikonu broj 5.   </w:t>
      </w:r>
      <w:r>
        <w:tab/>
      </w:r>
      <w:r>
        <w:tab/>
      </w:r>
      <w:r>
        <w:tab/>
      </w:r>
      <w:r>
        <w:tab/>
      </w:r>
      <w:r>
        <w:tab/>
      </w:r>
      <w:r>
        <w:tab/>
      </w:r>
      <w:r>
        <w:tab/>
      </w:r>
      <w:r>
        <w:tab/>
      </w:r>
      <w:r>
        <w:tab/>
        <w:t xml:space="preserve">Prema podacima ministarstva financija i trezora BiH vanjski dug BiH je iznosio je </w:t>
      </w:r>
      <w:r w:rsidRPr="006E68B3">
        <w:rPr>
          <w:b/>
          <w:i/>
        </w:rPr>
        <w:t>8.360,01 milijuna KM</w:t>
      </w:r>
      <w:r>
        <w:t xml:space="preserve"> na dan 30.06.2016. godine, od čega na Federacija BiH 5,213 milijarde KM, Republika Srpska 3,072 milijarde KM, Brčko - distrikt BiH 20,56 milijuna KM te zajedničke institucije BiH svega 54,29 milijuna KM. Poslije svih otplata starog duga na dan 30.06.2016. godine saldo starog duga je ostao </w:t>
      </w:r>
      <w:r w:rsidRPr="006E68B3">
        <w:rPr>
          <w:b/>
          <w:i/>
        </w:rPr>
        <w:t>1.436,01 milijuna KM ili 17,18%</w:t>
      </w:r>
      <w:r>
        <w:t xml:space="preserve"> ukupnog duga, a koji se uglavnom odnosi na zemlje Pariškog i Londonskog kluba te svjetsku banku. Novi dug sa 30.06.2016. godine iznosio je </w:t>
      </w:r>
      <w:r w:rsidRPr="006E68B3">
        <w:rPr>
          <w:b/>
          <w:i/>
        </w:rPr>
        <w:t>6.923,99 milijuna KM ili 82,82</w:t>
      </w:r>
      <w:r>
        <w:t xml:space="preserve">% ukupnog duga, a najvećim dijelom odnosio se na Svjetsku banku - IDA s 22,84%, Europsku investicijsku banku - EIB s 20,07%, Međunarodni monetarni fond - MMF s 11,53%, Europsku banku za obnovu i razvoj - EBRD s 7,92% te ostale međunarodne financijske institucije i institucije Europske unije s 37,64%. </w:t>
      </w:r>
      <w:r>
        <w:rPr>
          <w:rStyle w:val="FootnoteReference"/>
        </w:rPr>
        <w:footnoteReference w:id="10"/>
      </w:r>
      <w:r>
        <w:tab/>
      </w:r>
      <w:r>
        <w:tab/>
        <w:t xml:space="preserve">U odnosu na razdoblje iz 1998. godine, došlo je do određenih pomaka kod nekih pokazatelja vanjske zaduženosti Bosne i Hercegovine. Odnos vanjskog duga i izvoza roba i usluga je u stalnom porastu i na koncu 2016. godine iznosi 86,79%. Pokazatelji vanjske zaduženosti BiH ukazuju da se promatrani indikator vanjskog duga zadržava na održivim razinama. Odnos vanjskog duga u BDP-u klasificira našu zemlju u kategoriju </w:t>
      </w:r>
      <w:r w:rsidRPr="006E68B3">
        <w:rPr>
          <w:b/>
          <w:i/>
        </w:rPr>
        <w:t>manje zaduženih zemalja,</w:t>
      </w:r>
      <w:r>
        <w:t xml:space="preserve"> a odnos servisiranja vanjskog duga prema izvozu ukazuje na prilično stabilno stanje u kapacitetu otplate duga, a što se može objasniti relativno povoljnim kreditnim uvjetima, odnosno činjenicom da je većina kredita BiH, još uvijek u grace periodu. Navedeni odnos i dalje ostaje u granicama tj. ne prelazi prag održivosti duga koji se po HIPC okviru definira u omjeru od 15-20 %.</w:t>
      </w:r>
    </w:p>
    <w:p w:rsidR="00275D2A" w:rsidRPr="00261DDA" w:rsidRDefault="00275D2A" w:rsidP="007F4EE3">
      <w:pPr>
        <w:rPr>
          <w:i/>
          <w:sz w:val="22"/>
          <w:szCs w:val="22"/>
        </w:rPr>
      </w:pPr>
      <w:r w:rsidRPr="00261DDA">
        <w:rPr>
          <w:i/>
          <w:sz w:val="22"/>
          <w:szCs w:val="22"/>
        </w:rPr>
        <w:t>Grafikon 5. Vanjski dug kao % BDP-a u BiH</w:t>
      </w:r>
    </w:p>
    <w:p w:rsidR="00275D2A" w:rsidRPr="00107A85" w:rsidRDefault="00275D2A" w:rsidP="00107A85">
      <w:pPr>
        <w:jc w:val="center"/>
      </w:pPr>
      <w:r w:rsidRPr="003A69CB">
        <w:rPr>
          <w:noProof/>
          <w:szCs w:val="22"/>
          <w:lang w:val="hr-HR" w:eastAsia="hr-HR"/>
        </w:rPr>
        <w:object w:dxaOrig="9332" w:dyaOrig="3264">
          <v:shape id="Chart 5" o:spid="_x0000_i1029" type="#_x0000_t75" style="width:466.5pt;height:163.5pt;visibility:visible" o:ole="">
            <v:imagedata r:id="rId15" o:title=""/>
            <o:lock v:ext="edit" aspectratio="f"/>
          </v:shape>
          <o:OLEObject Type="Embed" ProgID="Excel.Chart.8" ShapeID="Chart 5" DrawAspect="Content" ObjectID="_1598427432" r:id="rId16"/>
        </w:object>
      </w:r>
      <w:r>
        <w:rPr>
          <w:sz w:val="20"/>
          <w:szCs w:val="20"/>
        </w:rPr>
        <w:t xml:space="preserve">Izvor: </w:t>
      </w:r>
      <w:r w:rsidRPr="00107A85">
        <w:rPr>
          <w:sz w:val="20"/>
          <w:szCs w:val="20"/>
        </w:rPr>
        <w:t xml:space="preserve">Ministarstvo financija i trezora BiH, </w:t>
      </w:r>
      <w:r w:rsidRPr="00107A85">
        <w:rPr>
          <w:i/>
          <w:sz w:val="20"/>
          <w:szCs w:val="20"/>
        </w:rPr>
        <w:t>Informacija o stanju javne zaduženosti BiH na dan 31.12.2016.</w:t>
      </w:r>
      <w:r>
        <w:rPr>
          <w:i/>
        </w:rPr>
        <w:t xml:space="preserve"> </w:t>
      </w:r>
    </w:p>
    <w:p w:rsidR="00275D2A" w:rsidRDefault="00275D2A" w:rsidP="00107A85">
      <w:pPr>
        <w:ind w:firstLine="720"/>
      </w:pPr>
      <w:r>
        <w:t xml:space="preserve">Značajan problem predstavlja i pokazatelj likvidnosti, a posebice ako se problem promatra kratkoročno i u odnos se stavlja otplata duga sa BDP-om, odnosno izvozom roba i usluga. U promatranom razdoblju udjel otplate duga u BDP-u je konstantno 20% veći od udjela u 2009. godini,  pa sve do danas, što predstavlja veliko opterećenje. Još kompleksnija situacija nastaje kada se stave u odnos otplate dugova sa izvozom roba i usluga. Granica održivosti se kreću od 15-20% te prema ovom pokazatelju BiH nije u zoni prezaduženosti, istina u 2008. godini ovaj odnos je bio je iznad referentnih vrijednosti od 26,9%. Dobra strana je što se ovaj pokazatelj stabilizirao od 2014. godine kada se taj pokazatelj kretao na razini oko 13%.  </w:t>
      </w:r>
      <w:r>
        <w:tab/>
      </w:r>
      <w:r>
        <w:tab/>
      </w:r>
      <w:r>
        <w:tab/>
      </w:r>
      <w:r>
        <w:tab/>
      </w:r>
      <w:r>
        <w:tab/>
      </w:r>
      <w:r>
        <w:tab/>
        <w:t>Servis vanjskog duga u 2016. godini iznosi 735,4 milijuna KM, od čega se na glavnicu odnosi 611,7 milijuna KM ili 83,2%, a na kamatu 123,7 milijuna KM ili 16,8%. U ukupnom iznosu servisa vanjskog duga Federacija BiH učestvuje sa 64,5%, Republika Srpska sa 34,9%, dok Institucije BiH i Distrikt učestvuju sa 0,6%, odnosno 0,35%.</w:t>
      </w:r>
      <w:r>
        <w:rPr>
          <w:rStyle w:val="FootnoteReference"/>
        </w:rPr>
        <w:footnoteReference w:id="11"/>
      </w:r>
      <w:r>
        <w:tab/>
        <w:t xml:space="preserve">Može se zaključiti da ovi podaci ne dokazuju trend stalnog i značajnog rasta, već su na granici prezaduženosti. U narednom razdoblju veći problem treba da predstavlja kratkoročna likvidnost, imajući u vidu velike obveze koje dospijevaju za naplatu. Dodatni problem predstavljaju male i u nekim sektorima negativne stope rasta BDP-a. Ispravan smjer koji vodi prema poboljšanju stanja eksterne solventnosti i likvidnosti trebalo bi biti povećanje izvoza roba i usluga. Također treba raditi na većem povlaćenju stranih direktnih investicija i njihovom pravilnom korištenju u produktivne svrhe. Ukoliko ove mjere izostanu, ulazak BiH u zonu prezaduženosti može imati negativne posljedice i u obliku </w:t>
      </w:r>
      <w:r>
        <w:rPr>
          <w:b/>
          <w:i/>
        </w:rPr>
        <w:t>smanjnja kreditnog rejtinga</w:t>
      </w:r>
      <w:r>
        <w:t xml:space="preserve"> i otežanih uvjeta zaduživanja na međunarodnog financijskom tržištu.   </w:t>
      </w:r>
    </w:p>
    <w:p w:rsidR="00275D2A" w:rsidRPr="00107A85" w:rsidRDefault="00275D2A" w:rsidP="00107A85">
      <w:r w:rsidRPr="00107A85">
        <w:rPr>
          <w:b/>
        </w:rPr>
        <w:t>5.</w:t>
      </w:r>
      <w:r>
        <w:t xml:space="preserve"> </w:t>
      </w:r>
      <w:r>
        <w:rPr>
          <w:b/>
        </w:rPr>
        <w:t>Dvostruki deficit u Bosni i Hercegovini</w:t>
      </w:r>
    </w:p>
    <w:p w:rsidR="00275D2A" w:rsidRDefault="00275D2A" w:rsidP="00107A85">
      <w:pPr>
        <w:ind w:firstLine="720"/>
      </w:pPr>
      <w:r>
        <w:t xml:space="preserve">Na temelju navedenih podataka može se zaključiti da BiH ima stalno </w:t>
      </w:r>
      <w:r>
        <w:rPr>
          <w:b/>
          <w:i/>
        </w:rPr>
        <w:t>problem dvostrukog deficita</w:t>
      </w:r>
      <w:r>
        <w:t xml:space="preserve">. Dakle, BiH od početka tranzicijskog razdoblja više troši nego što proizvodi, više investira nego što štedi. Korištenjem temeljnih makroekonomskog identiteta </w:t>
      </w:r>
      <w:r>
        <w:rPr>
          <w:b/>
          <w:i/>
        </w:rPr>
        <w:t>otvorenog gospodarstva</w:t>
      </w:r>
      <w:r>
        <w:t xml:space="preserve"> temeljem formule Y= C+I+G+X-Z</w:t>
      </w:r>
      <w:r>
        <w:rPr>
          <w:rStyle w:val="FootnoteReference"/>
          <w:b/>
          <w:i/>
        </w:rPr>
        <w:footnoteReference w:id="12"/>
      </w:r>
      <w:r>
        <w:t xml:space="preserve">utvrđuje se korištenje BDP-a u BiH. </w:t>
      </w:r>
      <w:r>
        <w:rPr>
          <w:rStyle w:val="FootnoteReference"/>
        </w:rPr>
        <w:footnoteReference w:id="13"/>
      </w:r>
    </w:p>
    <w:p w:rsidR="00275D2A" w:rsidRPr="00107A85" w:rsidRDefault="00275D2A" w:rsidP="00045D09">
      <w:pPr>
        <w:rPr>
          <w:i/>
          <w:sz w:val="22"/>
          <w:szCs w:val="22"/>
        </w:rPr>
      </w:pPr>
      <w:r w:rsidRPr="00107A85">
        <w:rPr>
          <w:i/>
          <w:sz w:val="22"/>
          <w:szCs w:val="22"/>
        </w:rPr>
        <w:t>Tablica 2. Uporaba BDP-a u Bosni i Hercegovini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68"/>
        <w:gridCol w:w="709"/>
        <w:gridCol w:w="709"/>
        <w:gridCol w:w="709"/>
        <w:gridCol w:w="708"/>
        <w:gridCol w:w="709"/>
        <w:gridCol w:w="709"/>
        <w:gridCol w:w="709"/>
        <w:gridCol w:w="708"/>
        <w:gridCol w:w="709"/>
        <w:gridCol w:w="709"/>
      </w:tblGrid>
      <w:tr w:rsidR="00275D2A" w:rsidRPr="003A69CB" w:rsidTr="00107A85">
        <w:trPr>
          <w:trHeight w:val="283"/>
        </w:trPr>
        <w:tc>
          <w:tcPr>
            <w:tcW w:w="2268" w:type="dxa"/>
            <w:shd w:val="clear" w:color="auto" w:fill="C6D9F1"/>
          </w:tcPr>
          <w:p w:rsidR="00275D2A" w:rsidRPr="00107A85" w:rsidRDefault="00275D2A">
            <w:pPr>
              <w:pStyle w:val="FootnoteText"/>
              <w:tabs>
                <w:tab w:val="left" w:pos="0"/>
              </w:tabs>
              <w:jc w:val="both"/>
              <w:outlineLvl w:val="2"/>
              <w:rPr>
                <w:b/>
                <w:sz w:val="22"/>
                <w:szCs w:val="22"/>
              </w:rPr>
            </w:pPr>
            <w:r w:rsidRPr="00107A85">
              <w:rPr>
                <w:b/>
                <w:sz w:val="22"/>
                <w:szCs w:val="22"/>
              </w:rPr>
              <w:t>Država</w:t>
            </w:r>
          </w:p>
        </w:tc>
        <w:tc>
          <w:tcPr>
            <w:tcW w:w="7088" w:type="dxa"/>
            <w:gridSpan w:val="10"/>
            <w:shd w:val="clear" w:color="auto" w:fill="C6D9F1"/>
          </w:tcPr>
          <w:p w:rsidR="00275D2A" w:rsidRPr="00107A85" w:rsidRDefault="00275D2A">
            <w:pPr>
              <w:pStyle w:val="FootnoteText"/>
              <w:tabs>
                <w:tab w:val="left" w:pos="0"/>
              </w:tabs>
              <w:jc w:val="center"/>
              <w:outlineLvl w:val="2"/>
              <w:rPr>
                <w:b/>
                <w:sz w:val="22"/>
                <w:szCs w:val="22"/>
              </w:rPr>
            </w:pPr>
            <w:r w:rsidRPr="00107A85">
              <w:rPr>
                <w:b/>
                <w:sz w:val="22"/>
                <w:szCs w:val="22"/>
              </w:rPr>
              <w:t xml:space="preserve">Fiskalne godine </w:t>
            </w:r>
          </w:p>
        </w:tc>
      </w:tr>
      <w:tr w:rsidR="00275D2A" w:rsidRPr="003A69CB" w:rsidTr="00045D09">
        <w:trPr>
          <w:trHeight w:val="60"/>
        </w:trPr>
        <w:tc>
          <w:tcPr>
            <w:tcW w:w="2268" w:type="dxa"/>
          </w:tcPr>
          <w:p w:rsidR="00275D2A" w:rsidRPr="00107A85" w:rsidRDefault="00275D2A">
            <w:pPr>
              <w:pStyle w:val="FootnoteText"/>
              <w:tabs>
                <w:tab w:val="left" w:pos="0"/>
              </w:tabs>
              <w:jc w:val="both"/>
              <w:outlineLvl w:val="2"/>
              <w:rPr>
                <w:b/>
                <w:sz w:val="22"/>
                <w:szCs w:val="22"/>
              </w:rPr>
            </w:pPr>
          </w:p>
        </w:tc>
        <w:tc>
          <w:tcPr>
            <w:tcW w:w="709" w:type="dxa"/>
          </w:tcPr>
          <w:p w:rsidR="00275D2A" w:rsidRPr="00107A85" w:rsidRDefault="00275D2A" w:rsidP="00107A85">
            <w:pPr>
              <w:pStyle w:val="FootnoteText"/>
              <w:tabs>
                <w:tab w:val="left" w:pos="0"/>
              </w:tabs>
              <w:jc w:val="center"/>
              <w:outlineLvl w:val="2"/>
              <w:rPr>
                <w:b/>
                <w:sz w:val="22"/>
                <w:szCs w:val="22"/>
              </w:rPr>
            </w:pPr>
            <w:r w:rsidRPr="00107A85">
              <w:rPr>
                <w:b/>
                <w:sz w:val="22"/>
                <w:szCs w:val="22"/>
              </w:rPr>
              <w:t>2007</w:t>
            </w:r>
          </w:p>
        </w:tc>
        <w:tc>
          <w:tcPr>
            <w:tcW w:w="709" w:type="dxa"/>
          </w:tcPr>
          <w:p w:rsidR="00275D2A" w:rsidRPr="00107A85" w:rsidRDefault="00275D2A" w:rsidP="00107A85">
            <w:pPr>
              <w:pStyle w:val="FootnoteText"/>
              <w:tabs>
                <w:tab w:val="left" w:pos="0"/>
              </w:tabs>
              <w:jc w:val="center"/>
              <w:outlineLvl w:val="2"/>
              <w:rPr>
                <w:b/>
                <w:sz w:val="22"/>
                <w:szCs w:val="22"/>
              </w:rPr>
            </w:pPr>
            <w:r w:rsidRPr="00107A85">
              <w:rPr>
                <w:b/>
                <w:sz w:val="22"/>
                <w:szCs w:val="22"/>
              </w:rPr>
              <w:t>2008</w:t>
            </w:r>
          </w:p>
        </w:tc>
        <w:tc>
          <w:tcPr>
            <w:tcW w:w="709" w:type="dxa"/>
          </w:tcPr>
          <w:p w:rsidR="00275D2A" w:rsidRPr="00107A85" w:rsidRDefault="00275D2A">
            <w:pPr>
              <w:pStyle w:val="FootnoteText"/>
              <w:tabs>
                <w:tab w:val="left" w:pos="0"/>
              </w:tabs>
              <w:jc w:val="center"/>
              <w:outlineLvl w:val="2"/>
              <w:rPr>
                <w:b/>
                <w:sz w:val="22"/>
                <w:szCs w:val="22"/>
              </w:rPr>
            </w:pPr>
            <w:r>
              <w:rPr>
                <w:b/>
                <w:sz w:val="22"/>
                <w:szCs w:val="22"/>
              </w:rPr>
              <w:t>2009</w:t>
            </w:r>
          </w:p>
        </w:tc>
        <w:tc>
          <w:tcPr>
            <w:tcW w:w="708" w:type="dxa"/>
          </w:tcPr>
          <w:p w:rsidR="00275D2A" w:rsidRPr="00107A85" w:rsidRDefault="00275D2A">
            <w:pPr>
              <w:pStyle w:val="FootnoteText"/>
              <w:tabs>
                <w:tab w:val="left" w:pos="0"/>
              </w:tabs>
              <w:outlineLvl w:val="2"/>
              <w:rPr>
                <w:b/>
                <w:sz w:val="22"/>
                <w:szCs w:val="22"/>
              </w:rPr>
            </w:pPr>
            <w:r w:rsidRPr="00107A85">
              <w:rPr>
                <w:b/>
                <w:sz w:val="22"/>
                <w:szCs w:val="22"/>
              </w:rPr>
              <w:t>2010</w:t>
            </w:r>
          </w:p>
        </w:tc>
        <w:tc>
          <w:tcPr>
            <w:tcW w:w="709" w:type="dxa"/>
          </w:tcPr>
          <w:p w:rsidR="00275D2A" w:rsidRPr="00107A85" w:rsidRDefault="00275D2A">
            <w:pPr>
              <w:pStyle w:val="FootnoteText"/>
              <w:tabs>
                <w:tab w:val="left" w:pos="-108"/>
              </w:tabs>
              <w:ind w:right="-108" w:hanging="108"/>
              <w:jc w:val="center"/>
              <w:outlineLvl w:val="2"/>
              <w:rPr>
                <w:b/>
                <w:sz w:val="22"/>
                <w:szCs w:val="22"/>
              </w:rPr>
            </w:pPr>
            <w:r>
              <w:rPr>
                <w:b/>
                <w:sz w:val="22"/>
                <w:szCs w:val="22"/>
              </w:rPr>
              <w:t>2011</w:t>
            </w:r>
          </w:p>
        </w:tc>
        <w:tc>
          <w:tcPr>
            <w:tcW w:w="709" w:type="dxa"/>
          </w:tcPr>
          <w:p w:rsidR="00275D2A" w:rsidRPr="00107A85" w:rsidRDefault="00275D2A">
            <w:pPr>
              <w:pStyle w:val="FootnoteText"/>
              <w:tabs>
                <w:tab w:val="left" w:pos="0"/>
              </w:tabs>
              <w:jc w:val="center"/>
              <w:outlineLvl w:val="2"/>
              <w:rPr>
                <w:b/>
                <w:sz w:val="22"/>
                <w:szCs w:val="22"/>
              </w:rPr>
            </w:pPr>
            <w:r>
              <w:rPr>
                <w:b/>
                <w:sz w:val="22"/>
                <w:szCs w:val="22"/>
              </w:rPr>
              <w:t>2012</w:t>
            </w:r>
          </w:p>
        </w:tc>
        <w:tc>
          <w:tcPr>
            <w:tcW w:w="709" w:type="dxa"/>
          </w:tcPr>
          <w:p w:rsidR="00275D2A" w:rsidRPr="00107A85" w:rsidRDefault="00275D2A">
            <w:pPr>
              <w:pStyle w:val="FootnoteText"/>
              <w:tabs>
                <w:tab w:val="left" w:pos="0"/>
              </w:tabs>
              <w:jc w:val="center"/>
              <w:outlineLvl w:val="2"/>
              <w:rPr>
                <w:b/>
                <w:sz w:val="22"/>
                <w:szCs w:val="22"/>
              </w:rPr>
            </w:pPr>
            <w:r>
              <w:rPr>
                <w:b/>
                <w:sz w:val="22"/>
                <w:szCs w:val="22"/>
              </w:rPr>
              <w:t>2013</w:t>
            </w:r>
          </w:p>
        </w:tc>
        <w:tc>
          <w:tcPr>
            <w:tcW w:w="708" w:type="dxa"/>
          </w:tcPr>
          <w:p w:rsidR="00275D2A" w:rsidRPr="00107A85" w:rsidRDefault="00275D2A">
            <w:pPr>
              <w:pStyle w:val="FootnoteText"/>
              <w:tabs>
                <w:tab w:val="left" w:pos="0"/>
              </w:tabs>
              <w:jc w:val="center"/>
              <w:outlineLvl w:val="2"/>
              <w:rPr>
                <w:b/>
                <w:sz w:val="22"/>
                <w:szCs w:val="22"/>
              </w:rPr>
            </w:pPr>
            <w:r>
              <w:rPr>
                <w:b/>
                <w:sz w:val="22"/>
                <w:szCs w:val="22"/>
              </w:rPr>
              <w:t>2014</w:t>
            </w:r>
          </w:p>
        </w:tc>
        <w:tc>
          <w:tcPr>
            <w:tcW w:w="709" w:type="dxa"/>
          </w:tcPr>
          <w:p w:rsidR="00275D2A" w:rsidRPr="00107A85" w:rsidRDefault="00275D2A" w:rsidP="00107A85">
            <w:pPr>
              <w:pStyle w:val="FootnoteText"/>
              <w:tabs>
                <w:tab w:val="left" w:pos="0"/>
              </w:tabs>
              <w:jc w:val="center"/>
              <w:outlineLvl w:val="2"/>
              <w:rPr>
                <w:b/>
                <w:sz w:val="22"/>
                <w:szCs w:val="22"/>
              </w:rPr>
            </w:pPr>
            <w:r w:rsidRPr="00107A85">
              <w:rPr>
                <w:b/>
                <w:sz w:val="22"/>
                <w:szCs w:val="22"/>
              </w:rPr>
              <w:t>2015</w:t>
            </w:r>
          </w:p>
        </w:tc>
        <w:tc>
          <w:tcPr>
            <w:tcW w:w="709" w:type="dxa"/>
          </w:tcPr>
          <w:p w:rsidR="00275D2A" w:rsidRPr="00107A85" w:rsidRDefault="00275D2A">
            <w:pPr>
              <w:pStyle w:val="FootnoteText"/>
              <w:tabs>
                <w:tab w:val="left" w:pos="0"/>
              </w:tabs>
              <w:jc w:val="center"/>
              <w:outlineLvl w:val="2"/>
              <w:rPr>
                <w:b/>
                <w:sz w:val="22"/>
                <w:szCs w:val="22"/>
              </w:rPr>
            </w:pPr>
            <w:r>
              <w:rPr>
                <w:b/>
                <w:sz w:val="22"/>
                <w:szCs w:val="22"/>
              </w:rPr>
              <w:t>2016</w:t>
            </w:r>
          </w:p>
        </w:tc>
      </w:tr>
      <w:tr w:rsidR="00275D2A" w:rsidRPr="003A69CB" w:rsidTr="00045D09">
        <w:trPr>
          <w:trHeight w:val="60"/>
        </w:trPr>
        <w:tc>
          <w:tcPr>
            <w:tcW w:w="2268" w:type="dxa"/>
          </w:tcPr>
          <w:p w:rsidR="00275D2A" w:rsidRPr="00107A85" w:rsidRDefault="00275D2A">
            <w:pPr>
              <w:pStyle w:val="FootnoteText"/>
              <w:tabs>
                <w:tab w:val="left" w:pos="0"/>
              </w:tabs>
              <w:outlineLvl w:val="2"/>
              <w:rPr>
                <w:sz w:val="22"/>
                <w:szCs w:val="22"/>
              </w:rPr>
            </w:pPr>
            <w:r w:rsidRPr="00107A85">
              <w:rPr>
                <w:sz w:val="22"/>
                <w:szCs w:val="22"/>
              </w:rPr>
              <w:t>X-Z, kao % BDP-a</w:t>
            </w:r>
          </w:p>
        </w:tc>
        <w:tc>
          <w:tcPr>
            <w:tcW w:w="709" w:type="dxa"/>
          </w:tcPr>
          <w:p w:rsidR="00275D2A" w:rsidRPr="00107A85" w:rsidRDefault="00275D2A">
            <w:pPr>
              <w:pStyle w:val="FootnoteText"/>
              <w:tabs>
                <w:tab w:val="left" w:pos="0"/>
              </w:tabs>
              <w:jc w:val="right"/>
              <w:outlineLvl w:val="2"/>
              <w:rPr>
                <w:sz w:val="22"/>
                <w:szCs w:val="22"/>
              </w:rPr>
            </w:pPr>
            <w:r w:rsidRPr="00107A85">
              <w:rPr>
                <w:sz w:val="22"/>
                <w:szCs w:val="22"/>
              </w:rPr>
              <w:t>-36,1</w:t>
            </w:r>
          </w:p>
        </w:tc>
        <w:tc>
          <w:tcPr>
            <w:tcW w:w="709" w:type="dxa"/>
          </w:tcPr>
          <w:p w:rsidR="00275D2A" w:rsidRPr="00107A85" w:rsidRDefault="00275D2A">
            <w:pPr>
              <w:pStyle w:val="FootnoteText"/>
              <w:tabs>
                <w:tab w:val="left" w:pos="0"/>
              </w:tabs>
              <w:jc w:val="right"/>
              <w:outlineLvl w:val="2"/>
              <w:rPr>
                <w:sz w:val="22"/>
                <w:szCs w:val="22"/>
              </w:rPr>
            </w:pPr>
            <w:r w:rsidRPr="00107A85">
              <w:rPr>
                <w:sz w:val="22"/>
                <w:szCs w:val="22"/>
              </w:rPr>
              <w:t>-38,3</w:t>
            </w:r>
          </w:p>
        </w:tc>
        <w:tc>
          <w:tcPr>
            <w:tcW w:w="709" w:type="dxa"/>
          </w:tcPr>
          <w:p w:rsidR="00275D2A" w:rsidRPr="00107A85" w:rsidRDefault="00275D2A">
            <w:pPr>
              <w:pStyle w:val="FootnoteText"/>
              <w:tabs>
                <w:tab w:val="left" w:pos="0"/>
              </w:tabs>
              <w:jc w:val="right"/>
              <w:outlineLvl w:val="2"/>
              <w:rPr>
                <w:sz w:val="22"/>
                <w:szCs w:val="22"/>
              </w:rPr>
            </w:pPr>
            <w:r w:rsidRPr="00107A85">
              <w:rPr>
                <w:sz w:val="22"/>
                <w:szCs w:val="22"/>
              </w:rPr>
              <w:t>-27,5</w:t>
            </w:r>
          </w:p>
        </w:tc>
        <w:tc>
          <w:tcPr>
            <w:tcW w:w="708" w:type="dxa"/>
          </w:tcPr>
          <w:p w:rsidR="00275D2A" w:rsidRPr="00107A85" w:rsidRDefault="00275D2A">
            <w:pPr>
              <w:pStyle w:val="FootnoteText"/>
              <w:tabs>
                <w:tab w:val="left" w:pos="0"/>
              </w:tabs>
              <w:jc w:val="right"/>
              <w:outlineLvl w:val="2"/>
              <w:rPr>
                <w:sz w:val="22"/>
                <w:szCs w:val="22"/>
              </w:rPr>
            </w:pPr>
            <w:r w:rsidRPr="00107A85">
              <w:rPr>
                <w:sz w:val="22"/>
                <w:szCs w:val="22"/>
              </w:rPr>
              <w:t>-25,7</w:t>
            </w:r>
          </w:p>
        </w:tc>
        <w:tc>
          <w:tcPr>
            <w:tcW w:w="709" w:type="dxa"/>
          </w:tcPr>
          <w:p w:rsidR="00275D2A" w:rsidRPr="00107A85" w:rsidRDefault="00275D2A">
            <w:pPr>
              <w:pStyle w:val="FootnoteText"/>
              <w:tabs>
                <w:tab w:val="left" w:pos="0"/>
              </w:tabs>
              <w:jc w:val="right"/>
              <w:outlineLvl w:val="2"/>
              <w:rPr>
                <w:sz w:val="22"/>
                <w:szCs w:val="22"/>
              </w:rPr>
            </w:pPr>
            <w:r w:rsidRPr="00107A85">
              <w:rPr>
                <w:sz w:val="22"/>
                <w:szCs w:val="22"/>
              </w:rPr>
              <w:t>-27,8</w:t>
            </w:r>
          </w:p>
        </w:tc>
        <w:tc>
          <w:tcPr>
            <w:tcW w:w="709" w:type="dxa"/>
          </w:tcPr>
          <w:p w:rsidR="00275D2A" w:rsidRPr="00107A85" w:rsidRDefault="00275D2A">
            <w:pPr>
              <w:pStyle w:val="FootnoteText"/>
              <w:tabs>
                <w:tab w:val="left" w:pos="0"/>
              </w:tabs>
              <w:outlineLvl w:val="2"/>
              <w:rPr>
                <w:sz w:val="22"/>
                <w:szCs w:val="22"/>
              </w:rPr>
            </w:pPr>
            <w:r w:rsidRPr="00107A85">
              <w:rPr>
                <w:sz w:val="22"/>
                <w:szCs w:val="22"/>
              </w:rPr>
              <w:t>-28,2</w:t>
            </w:r>
          </w:p>
        </w:tc>
        <w:tc>
          <w:tcPr>
            <w:tcW w:w="709" w:type="dxa"/>
          </w:tcPr>
          <w:p w:rsidR="00275D2A" w:rsidRPr="00107A85" w:rsidRDefault="00275D2A">
            <w:pPr>
              <w:pStyle w:val="FootnoteText"/>
              <w:tabs>
                <w:tab w:val="left" w:pos="0"/>
              </w:tabs>
              <w:outlineLvl w:val="2"/>
              <w:rPr>
                <w:sz w:val="22"/>
                <w:szCs w:val="22"/>
              </w:rPr>
            </w:pPr>
            <w:r w:rsidRPr="00107A85">
              <w:rPr>
                <w:sz w:val="22"/>
                <w:szCs w:val="22"/>
              </w:rPr>
              <w:t>-25,4</w:t>
            </w:r>
          </w:p>
        </w:tc>
        <w:tc>
          <w:tcPr>
            <w:tcW w:w="708" w:type="dxa"/>
          </w:tcPr>
          <w:p w:rsidR="00275D2A" w:rsidRPr="00107A85" w:rsidRDefault="00275D2A">
            <w:pPr>
              <w:pStyle w:val="FootnoteText"/>
              <w:tabs>
                <w:tab w:val="left" w:pos="0"/>
              </w:tabs>
              <w:jc w:val="right"/>
              <w:outlineLvl w:val="2"/>
              <w:rPr>
                <w:sz w:val="22"/>
                <w:szCs w:val="22"/>
              </w:rPr>
            </w:pPr>
            <w:r w:rsidRPr="00107A85">
              <w:rPr>
                <w:sz w:val="22"/>
                <w:szCs w:val="22"/>
              </w:rPr>
              <w:t>-27,5</w:t>
            </w:r>
          </w:p>
        </w:tc>
        <w:tc>
          <w:tcPr>
            <w:tcW w:w="709" w:type="dxa"/>
          </w:tcPr>
          <w:p w:rsidR="00275D2A" w:rsidRPr="00107A85" w:rsidRDefault="00275D2A">
            <w:pPr>
              <w:pStyle w:val="FootnoteText"/>
              <w:tabs>
                <w:tab w:val="left" w:pos="0"/>
              </w:tabs>
              <w:jc w:val="right"/>
              <w:outlineLvl w:val="2"/>
              <w:rPr>
                <w:sz w:val="22"/>
                <w:szCs w:val="22"/>
              </w:rPr>
            </w:pPr>
            <w:r w:rsidRPr="00107A85">
              <w:rPr>
                <w:sz w:val="22"/>
                <w:szCs w:val="22"/>
              </w:rPr>
              <w:t>-23,9</w:t>
            </w:r>
          </w:p>
        </w:tc>
        <w:tc>
          <w:tcPr>
            <w:tcW w:w="709" w:type="dxa"/>
          </w:tcPr>
          <w:p w:rsidR="00275D2A" w:rsidRPr="00107A85" w:rsidRDefault="00275D2A">
            <w:pPr>
              <w:pStyle w:val="FootnoteText"/>
              <w:tabs>
                <w:tab w:val="left" w:pos="0"/>
              </w:tabs>
              <w:jc w:val="right"/>
              <w:outlineLvl w:val="2"/>
              <w:rPr>
                <w:sz w:val="22"/>
                <w:szCs w:val="22"/>
              </w:rPr>
            </w:pPr>
            <w:r w:rsidRPr="00107A85">
              <w:rPr>
                <w:sz w:val="22"/>
                <w:szCs w:val="22"/>
              </w:rPr>
              <w:t>-22,1</w:t>
            </w:r>
          </w:p>
        </w:tc>
      </w:tr>
      <w:tr w:rsidR="00275D2A" w:rsidRPr="003A69CB" w:rsidTr="00045D09">
        <w:trPr>
          <w:trHeight w:val="60"/>
        </w:trPr>
        <w:tc>
          <w:tcPr>
            <w:tcW w:w="2268" w:type="dxa"/>
          </w:tcPr>
          <w:p w:rsidR="00275D2A" w:rsidRPr="00107A85" w:rsidRDefault="00275D2A">
            <w:pPr>
              <w:pStyle w:val="FootnoteText"/>
              <w:tabs>
                <w:tab w:val="left" w:pos="0"/>
              </w:tabs>
              <w:outlineLvl w:val="2"/>
              <w:rPr>
                <w:sz w:val="22"/>
                <w:szCs w:val="22"/>
              </w:rPr>
            </w:pPr>
            <w:r w:rsidRPr="00107A85">
              <w:rPr>
                <w:sz w:val="22"/>
                <w:szCs w:val="22"/>
              </w:rPr>
              <w:t xml:space="preserve">I,  kao % BDP-a </w:t>
            </w:r>
          </w:p>
        </w:tc>
        <w:tc>
          <w:tcPr>
            <w:tcW w:w="709" w:type="dxa"/>
          </w:tcPr>
          <w:p w:rsidR="00275D2A" w:rsidRPr="00107A85" w:rsidRDefault="00275D2A">
            <w:pPr>
              <w:pStyle w:val="FootnoteText"/>
              <w:tabs>
                <w:tab w:val="left" w:pos="0"/>
              </w:tabs>
              <w:jc w:val="right"/>
              <w:outlineLvl w:val="2"/>
              <w:rPr>
                <w:sz w:val="22"/>
                <w:szCs w:val="22"/>
              </w:rPr>
            </w:pPr>
            <w:r w:rsidRPr="00107A85">
              <w:rPr>
                <w:sz w:val="22"/>
                <w:szCs w:val="22"/>
              </w:rPr>
              <w:t>22,9</w:t>
            </w:r>
          </w:p>
        </w:tc>
        <w:tc>
          <w:tcPr>
            <w:tcW w:w="709" w:type="dxa"/>
          </w:tcPr>
          <w:p w:rsidR="00275D2A" w:rsidRPr="00107A85" w:rsidRDefault="00275D2A">
            <w:pPr>
              <w:pStyle w:val="FootnoteText"/>
              <w:tabs>
                <w:tab w:val="left" w:pos="0"/>
              </w:tabs>
              <w:jc w:val="right"/>
              <w:outlineLvl w:val="2"/>
              <w:rPr>
                <w:sz w:val="22"/>
                <w:szCs w:val="22"/>
              </w:rPr>
            </w:pPr>
            <w:r w:rsidRPr="00107A85">
              <w:rPr>
                <w:sz w:val="22"/>
                <w:szCs w:val="22"/>
              </w:rPr>
              <w:t>24,8</w:t>
            </w:r>
          </w:p>
        </w:tc>
        <w:tc>
          <w:tcPr>
            <w:tcW w:w="709" w:type="dxa"/>
          </w:tcPr>
          <w:p w:rsidR="00275D2A" w:rsidRPr="00107A85" w:rsidRDefault="00275D2A">
            <w:pPr>
              <w:pStyle w:val="FootnoteText"/>
              <w:tabs>
                <w:tab w:val="left" w:pos="0"/>
              </w:tabs>
              <w:jc w:val="right"/>
              <w:outlineLvl w:val="2"/>
              <w:rPr>
                <w:sz w:val="22"/>
                <w:szCs w:val="22"/>
              </w:rPr>
            </w:pPr>
            <w:r w:rsidRPr="00107A85">
              <w:rPr>
                <w:sz w:val="22"/>
                <w:szCs w:val="22"/>
              </w:rPr>
              <w:t>18,8</w:t>
            </w:r>
          </w:p>
        </w:tc>
        <w:tc>
          <w:tcPr>
            <w:tcW w:w="708" w:type="dxa"/>
          </w:tcPr>
          <w:p w:rsidR="00275D2A" w:rsidRPr="00107A85" w:rsidRDefault="00275D2A">
            <w:pPr>
              <w:pStyle w:val="FootnoteText"/>
              <w:tabs>
                <w:tab w:val="left" w:pos="0"/>
              </w:tabs>
              <w:jc w:val="right"/>
              <w:outlineLvl w:val="2"/>
              <w:rPr>
                <w:sz w:val="22"/>
                <w:szCs w:val="22"/>
              </w:rPr>
            </w:pPr>
            <w:r w:rsidRPr="00107A85">
              <w:rPr>
                <w:sz w:val="22"/>
                <w:szCs w:val="22"/>
              </w:rPr>
              <w:t>16,8</w:t>
            </w:r>
          </w:p>
        </w:tc>
        <w:tc>
          <w:tcPr>
            <w:tcW w:w="709" w:type="dxa"/>
          </w:tcPr>
          <w:p w:rsidR="00275D2A" w:rsidRPr="00107A85" w:rsidRDefault="00275D2A">
            <w:pPr>
              <w:pStyle w:val="FootnoteText"/>
              <w:tabs>
                <w:tab w:val="left" w:pos="0"/>
              </w:tabs>
              <w:jc w:val="right"/>
              <w:outlineLvl w:val="2"/>
              <w:rPr>
                <w:sz w:val="22"/>
                <w:szCs w:val="22"/>
              </w:rPr>
            </w:pPr>
            <w:r w:rsidRPr="00107A85">
              <w:rPr>
                <w:sz w:val="22"/>
                <w:szCs w:val="22"/>
              </w:rPr>
              <w:t>16,3</w:t>
            </w:r>
          </w:p>
        </w:tc>
        <w:tc>
          <w:tcPr>
            <w:tcW w:w="709" w:type="dxa"/>
          </w:tcPr>
          <w:p w:rsidR="00275D2A" w:rsidRPr="00107A85" w:rsidRDefault="00275D2A">
            <w:pPr>
              <w:pStyle w:val="FootnoteText"/>
              <w:tabs>
                <w:tab w:val="left" w:pos="0"/>
              </w:tabs>
              <w:jc w:val="right"/>
              <w:outlineLvl w:val="2"/>
              <w:rPr>
                <w:sz w:val="22"/>
                <w:szCs w:val="22"/>
              </w:rPr>
            </w:pPr>
            <w:r w:rsidRPr="00107A85">
              <w:rPr>
                <w:sz w:val="22"/>
                <w:szCs w:val="22"/>
              </w:rPr>
              <w:t>17,3</w:t>
            </w:r>
          </w:p>
        </w:tc>
        <w:tc>
          <w:tcPr>
            <w:tcW w:w="709" w:type="dxa"/>
          </w:tcPr>
          <w:p w:rsidR="00275D2A" w:rsidRPr="00107A85" w:rsidRDefault="00275D2A">
            <w:pPr>
              <w:pStyle w:val="FootnoteText"/>
              <w:tabs>
                <w:tab w:val="left" w:pos="0"/>
              </w:tabs>
              <w:jc w:val="right"/>
              <w:outlineLvl w:val="2"/>
              <w:rPr>
                <w:sz w:val="22"/>
                <w:szCs w:val="22"/>
              </w:rPr>
            </w:pPr>
            <w:r w:rsidRPr="00107A85">
              <w:rPr>
                <w:sz w:val="22"/>
                <w:szCs w:val="22"/>
              </w:rPr>
              <w:t>17,5</w:t>
            </w:r>
          </w:p>
        </w:tc>
        <w:tc>
          <w:tcPr>
            <w:tcW w:w="708" w:type="dxa"/>
          </w:tcPr>
          <w:p w:rsidR="00275D2A" w:rsidRPr="00107A85" w:rsidRDefault="00275D2A">
            <w:pPr>
              <w:pStyle w:val="FootnoteText"/>
              <w:tabs>
                <w:tab w:val="left" w:pos="0"/>
              </w:tabs>
              <w:jc w:val="right"/>
              <w:outlineLvl w:val="2"/>
              <w:rPr>
                <w:sz w:val="22"/>
                <w:szCs w:val="22"/>
              </w:rPr>
            </w:pPr>
            <w:r w:rsidRPr="00107A85">
              <w:rPr>
                <w:sz w:val="22"/>
                <w:szCs w:val="22"/>
              </w:rPr>
              <w:t>19,1</w:t>
            </w:r>
          </w:p>
        </w:tc>
        <w:tc>
          <w:tcPr>
            <w:tcW w:w="709" w:type="dxa"/>
          </w:tcPr>
          <w:p w:rsidR="00275D2A" w:rsidRPr="00107A85" w:rsidRDefault="00275D2A">
            <w:pPr>
              <w:pStyle w:val="FootnoteText"/>
              <w:tabs>
                <w:tab w:val="left" w:pos="0"/>
              </w:tabs>
              <w:jc w:val="right"/>
              <w:outlineLvl w:val="2"/>
              <w:rPr>
                <w:sz w:val="22"/>
                <w:szCs w:val="22"/>
              </w:rPr>
            </w:pPr>
            <w:r w:rsidRPr="00107A85">
              <w:rPr>
                <w:sz w:val="22"/>
                <w:szCs w:val="22"/>
              </w:rPr>
              <w:t>15,6</w:t>
            </w:r>
          </w:p>
        </w:tc>
        <w:tc>
          <w:tcPr>
            <w:tcW w:w="709" w:type="dxa"/>
          </w:tcPr>
          <w:p w:rsidR="00275D2A" w:rsidRPr="00107A85" w:rsidRDefault="00275D2A">
            <w:pPr>
              <w:pStyle w:val="FootnoteText"/>
              <w:tabs>
                <w:tab w:val="left" w:pos="0"/>
              </w:tabs>
              <w:jc w:val="right"/>
              <w:outlineLvl w:val="2"/>
              <w:rPr>
                <w:sz w:val="22"/>
                <w:szCs w:val="22"/>
              </w:rPr>
            </w:pPr>
            <w:r w:rsidRPr="00107A85">
              <w:rPr>
                <w:sz w:val="22"/>
                <w:szCs w:val="22"/>
              </w:rPr>
              <w:t>15,1</w:t>
            </w:r>
          </w:p>
        </w:tc>
      </w:tr>
      <w:tr w:rsidR="00275D2A" w:rsidRPr="003A69CB" w:rsidTr="00045D09">
        <w:trPr>
          <w:trHeight w:val="60"/>
        </w:trPr>
        <w:tc>
          <w:tcPr>
            <w:tcW w:w="2268" w:type="dxa"/>
          </w:tcPr>
          <w:p w:rsidR="00275D2A" w:rsidRPr="00107A85" w:rsidRDefault="00275D2A">
            <w:pPr>
              <w:pStyle w:val="FootnoteText"/>
              <w:tabs>
                <w:tab w:val="left" w:pos="0"/>
              </w:tabs>
              <w:outlineLvl w:val="2"/>
              <w:rPr>
                <w:sz w:val="22"/>
                <w:szCs w:val="22"/>
              </w:rPr>
            </w:pPr>
            <w:r w:rsidRPr="00107A85">
              <w:rPr>
                <w:sz w:val="22"/>
                <w:szCs w:val="22"/>
              </w:rPr>
              <w:t>C, kao % BDP-a</w:t>
            </w:r>
            <w:r w:rsidRPr="00107A85">
              <w:rPr>
                <w:rStyle w:val="FootnoteReference"/>
                <w:sz w:val="22"/>
                <w:szCs w:val="22"/>
              </w:rPr>
              <w:footnoteReference w:id="14"/>
            </w:r>
          </w:p>
        </w:tc>
        <w:tc>
          <w:tcPr>
            <w:tcW w:w="709" w:type="dxa"/>
          </w:tcPr>
          <w:p w:rsidR="00275D2A" w:rsidRPr="00107A85" w:rsidRDefault="00275D2A">
            <w:pPr>
              <w:pStyle w:val="FootnoteText"/>
              <w:tabs>
                <w:tab w:val="left" w:pos="0"/>
              </w:tabs>
              <w:jc w:val="right"/>
              <w:outlineLvl w:val="2"/>
              <w:rPr>
                <w:sz w:val="22"/>
                <w:szCs w:val="22"/>
              </w:rPr>
            </w:pPr>
            <w:r w:rsidRPr="00107A85">
              <w:rPr>
                <w:sz w:val="22"/>
                <w:szCs w:val="22"/>
              </w:rPr>
              <w:t>53,3</w:t>
            </w:r>
          </w:p>
        </w:tc>
        <w:tc>
          <w:tcPr>
            <w:tcW w:w="709" w:type="dxa"/>
          </w:tcPr>
          <w:p w:rsidR="00275D2A" w:rsidRPr="00107A85" w:rsidRDefault="00275D2A">
            <w:pPr>
              <w:pStyle w:val="FootnoteText"/>
              <w:tabs>
                <w:tab w:val="left" w:pos="0"/>
              </w:tabs>
              <w:jc w:val="right"/>
              <w:outlineLvl w:val="2"/>
              <w:rPr>
                <w:sz w:val="22"/>
                <w:szCs w:val="22"/>
              </w:rPr>
            </w:pPr>
            <w:r w:rsidRPr="00107A85">
              <w:rPr>
                <w:sz w:val="22"/>
                <w:szCs w:val="22"/>
              </w:rPr>
              <w:t>50,2</w:t>
            </w:r>
          </w:p>
        </w:tc>
        <w:tc>
          <w:tcPr>
            <w:tcW w:w="709" w:type="dxa"/>
          </w:tcPr>
          <w:p w:rsidR="00275D2A" w:rsidRPr="00107A85" w:rsidRDefault="00275D2A">
            <w:pPr>
              <w:pStyle w:val="FootnoteText"/>
              <w:tabs>
                <w:tab w:val="left" w:pos="0"/>
              </w:tabs>
              <w:jc w:val="right"/>
              <w:outlineLvl w:val="2"/>
              <w:rPr>
                <w:sz w:val="22"/>
                <w:szCs w:val="22"/>
              </w:rPr>
            </w:pPr>
            <w:r w:rsidRPr="00107A85">
              <w:rPr>
                <w:sz w:val="22"/>
                <w:szCs w:val="22"/>
              </w:rPr>
              <w:t>44,6</w:t>
            </w:r>
          </w:p>
        </w:tc>
        <w:tc>
          <w:tcPr>
            <w:tcW w:w="708" w:type="dxa"/>
          </w:tcPr>
          <w:p w:rsidR="00275D2A" w:rsidRPr="00107A85" w:rsidRDefault="00275D2A">
            <w:pPr>
              <w:pStyle w:val="FootnoteText"/>
              <w:tabs>
                <w:tab w:val="left" w:pos="0"/>
              </w:tabs>
              <w:jc w:val="right"/>
              <w:outlineLvl w:val="2"/>
              <w:rPr>
                <w:sz w:val="22"/>
                <w:szCs w:val="22"/>
              </w:rPr>
            </w:pPr>
            <w:r w:rsidRPr="00107A85">
              <w:rPr>
                <w:sz w:val="22"/>
                <w:szCs w:val="22"/>
              </w:rPr>
              <w:t>48,1</w:t>
            </w:r>
          </w:p>
        </w:tc>
        <w:tc>
          <w:tcPr>
            <w:tcW w:w="709" w:type="dxa"/>
          </w:tcPr>
          <w:p w:rsidR="00275D2A" w:rsidRPr="00107A85" w:rsidRDefault="00275D2A">
            <w:pPr>
              <w:pStyle w:val="FootnoteText"/>
              <w:tabs>
                <w:tab w:val="left" w:pos="0"/>
              </w:tabs>
              <w:jc w:val="right"/>
              <w:outlineLvl w:val="2"/>
              <w:rPr>
                <w:sz w:val="22"/>
                <w:szCs w:val="22"/>
              </w:rPr>
            </w:pPr>
            <w:r w:rsidRPr="00107A85">
              <w:rPr>
                <w:sz w:val="22"/>
                <w:szCs w:val="22"/>
              </w:rPr>
              <w:t>50,2</w:t>
            </w:r>
          </w:p>
        </w:tc>
        <w:tc>
          <w:tcPr>
            <w:tcW w:w="709" w:type="dxa"/>
          </w:tcPr>
          <w:p w:rsidR="00275D2A" w:rsidRPr="00107A85" w:rsidRDefault="00275D2A">
            <w:pPr>
              <w:pStyle w:val="FootnoteText"/>
              <w:tabs>
                <w:tab w:val="left" w:pos="0"/>
              </w:tabs>
              <w:jc w:val="right"/>
              <w:outlineLvl w:val="2"/>
              <w:rPr>
                <w:sz w:val="22"/>
                <w:szCs w:val="22"/>
              </w:rPr>
            </w:pPr>
            <w:r w:rsidRPr="00107A85">
              <w:rPr>
                <w:sz w:val="22"/>
                <w:szCs w:val="22"/>
              </w:rPr>
              <w:t>50,1</w:t>
            </w:r>
          </w:p>
        </w:tc>
        <w:tc>
          <w:tcPr>
            <w:tcW w:w="709" w:type="dxa"/>
          </w:tcPr>
          <w:p w:rsidR="00275D2A" w:rsidRPr="00107A85" w:rsidRDefault="00275D2A">
            <w:pPr>
              <w:pStyle w:val="FootnoteText"/>
              <w:tabs>
                <w:tab w:val="left" w:pos="0"/>
              </w:tabs>
              <w:jc w:val="right"/>
              <w:outlineLvl w:val="2"/>
              <w:rPr>
                <w:sz w:val="22"/>
                <w:szCs w:val="22"/>
              </w:rPr>
            </w:pPr>
            <w:r w:rsidRPr="00107A85">
              <w:rPr>
                <w:sz w:val="22"/>
                <w:szCs w:val="22"/>
              </w:rPr>
              <w:t>51,9</w:t>
            </w:r>
          </w:p>
        </w:tc>
        <w:tc>
          <w:tcPr>
            <w:tcW w:w="708" w:type="dxa"/>
          </w:tcPr>
          <w:p w:rsidR="00275D2A" w:rsidRPr="00107A85" w:rsidRDefault="00275D2A">
            <w:pPr>
              <w:pStyle w:val="FootnoteText"/>
              <w:tabs>
                <w:tab w:val="left" w:pos="0"/>
              </w:tabs>
              <w:jc w:val="right"/>
              <w:outlineLvl w:val="2"/>
              <w:rPr>
                <w:sz w:val="22"/>
                <w:szCs w:val="22"/>
              </w:rPr>
            </w:pPr>
            <w:r w:rsidRPr="00107A85">
              <w:rPr>
                <w:sz w:val="22"/>
                <w:szCs w:val="22"/>
              </w:rPr>
              <w:t>53,7</w:t>
            </w:r>
          </w:p>
        </w:tc>
        <w:tc>
          <w:tcPr>
            <w:tcW w:w="709" w:type="dxa"/>
          </w:tcPr>
          <w:p w:rsidR="00275D2A" w:rsidRPr="00107A85" w:rsidRDefault="00275D2A">
            <w:pPr>
              <w:pStyle w:val="FootnoteText"/>
              <w:tabs>
                <w:tab w:val="left" w:pos="0"/>
              </w:tabs>
              <w:jc w:val="right"/>
              <w:outlineLvl w:val="2"/>
              <w:rPr>
                <w:sz w:val="22"/>
                <w:szCs w:val="22"/>
              </w:rPr>
            </w:pPr>
            <w:r w:rsidRPr="00107A85">
              <w:rPr>
                <w:sz w:val="22"/>
                <w:szCs w:val="22"/>
              </w:rPr>
              <w:t>51,6</w:t>
            </w:r>
          </w:p>
        </w:tc>
        <w:tc>
          <w:tcPr>
            <w:tcW w:w="709" w:type="dxa"/>
          </w:tcPr>
          <w:p w:rsidR="00275D2A" w:rsidRPr="00107A85" w:rsidRDefault="00275D2A">
            <w:pPr>
              <w:pStyle w:val="FootnoteText"/>
              <w:tabs>
                <w:tab w:val="left" w:pos="0"/>
              </w:tabs>
              <w:jc w:val="right"/>
              <w:outlineLvl w:val="2"/>
              <w:rPr>
                <w:sz w:val="22"/>
                <w:szCs w:val="22"/>
              </w:rPr>
            </w:pPr>
            <w:r w:rsidRPr="00107A85">
              <w:rPr>
                <w:sz w:val="22"/>
                <w:szCs w:val="22"/>
              </w:rPr>
              <w:t>50,7</w:t>
            </w:r>
          </w:p>
        </w:tc>
      </w:tr>
      <w:tr w:rsidR="00275D2A" w:rsidRPr="003A69CB" w:rsidTr="00045D09">
        <w:trPr>
          <w:trHeight w:val="60"/>
        </w:trPr>
        <w:tc>
          <w:tcPr>
            <w:tcW w:w="2268" w:type="dxa"/>
          </w:tcPr>
          <w:p w:rsidR="00275D2A" w:rsidRPr="00107A85" w:rsidRDefault="00275D2A">
            <w:pPr>
              <w:pStyle w:val="FootnoteText"/>
              <w:tabs>
                <w:tab w:val="left" w:pos="0"/>
              </w:tabs>
              <w:outlineLvl w:val="2"/>
              <w:rPr>
                <w:sz w:val="22"/>
                <w:szCs w:val="22"/>
              </w:rPr>
            </w:pPr>
            <w:r w:rsidRPr="00107A85">
              <w:rPr>
                <w:sz w:val="22"/>
                <w:szCs w:val="22"/>
              </w:rPr>
              <w:t>G, kao % BDP-a</w:t>
            </w:r>
          </w:p>
        </w:tc>
        <w:tc>
          <w:tcPr>
            <w:tcW w:w="709" w:type="dxa"/>
          </w:tcPr>
          <w:p w:rsidR="00275D2A" w:rsidRPr="00107A85" w:rsidRDefault="00275D2A">
            <w:pPr>
              <w:pStyle w:val="FootnoteText"/>
              <w:tabs>
                <w:tab w:val="left" w:pos="0"/>
              </w:tabs>
              <w:jc w:val="right"/>
              <w:outlineLvl w:val="2"/>
              <w:rPr>
                <w:sz w:val="22"/>
                <w:szCs w:val="22"/>
              </w:rPr>
            </w:pPr>
            <w:r w:rsidRPr="00107A85">
              <w:rPr>
                <w:sz w:val="22"/>
                <w:szCs w:val="22"/>
              </w:rPr>
              <w:t>40,1</w:t>
            </w:r>
          </w:p>
        </w:tc>
        <w:tc>
          <w:tcPr>
            <w:tcW w:w="709" w:type="dxa"/>
          </w:tcPr>
          <w:p w:rsidR="00275D2A" w:rsidRPr="00107A85" w:rsidRDefault="00275D2A">
            <w:pPr>
              <w:pStyle w:val="FootnoteText"/>
              <w:tabs>
                <w:tab w:val="left" w:pos="0"/>
              </w:tabs>
              <w:jc w:val="right"/>
              <w:outlineLvl w:val="2"/>
              <w:rPr>
                <w:sz w:val="22"/>
                <w:szCs w:val="22"/>
              </w:rPr>
            </w:pPr>
            <w:r w:rsidRPr="00107A85">
              <w:rPr>
                <w:sz w:val="22"/>
                <w:szCs w:val="22"/>
              </w:rPr>
              <w:t>42,4</w:t>
            </w:r>
          </w:p>
        </w:tc>
        <w:tc>
          <w:tcPr>
            <w:tcW w:w="709" w:type="dxa"/>
          </w:tcPr>
          <w:p w:rsidR="00275D2A" w:rsidRPr="00107A85" w:rsidRDefault="00275D2A">
            <w:pPr>
              <w:pStyle w:val="FootnoteText"/>
              <w:tabs>
                <w:tab w:val="left" w:pos="0"/>
              </w:tabs>
              <w:jc w:val="right"/>
              <w:outlineLvl w:val="2"/>
              <w:rPr>
                <w:sz w:val="22"/>
                <w:szCs w:val="22"/>
              </w:rPr>
            </w:pPr>
            <w:r w:rsidRPr="00107A85">
              <w:rPr>
                <w:sz w:val="22"/>
                <w:szCs w:val="22"/>
              </w:rPr>
              <w:t>43,1</w:t>
            </w:r>
          </w:p>
        </w:tc>
        <w:tc>
          <w:tcPr>
            <w:tcW w:w="708" w:type="dxa"/>
          </w:tcPr>
          <w:p w:rsidR="00275D2A" w:rsidRPr="00107A85" w:rsidRDefault="00275D2A">
            <w:pPr>
              <w:pStyle w:val="FootnoteText"/>
              <w:tabs>
                <w:tab w:val="left" w:pos="0"/>
              </w:tabs>
              <w:jc w:val="right"/>
              <w:outlineLvl w:val="2"/>
              <w:rPr>
                <w:sz w:val="22"/>
                <w:szCs w:val="22"/>
              </w:rPr>
            </w:pPr>
            <w:r w:rsidRPr="00107A85">
              <w:rPr>
                <w:sz w:val="22"/>
                <w:szCs w:val="22"/>
              </w:rPr>
              <w:t>42,7</w:t>
            </w:r>
          </w:p>
        </w:tc>
        <w:tc>
          <w:tcPr>
            <w:tcW w:w="709" w:type="dxa"/>
          </w:tcPr>
          <w:p w:rsidR="00275D2A" w:rsidRPr="00107A85" w:rsidRDefault="00275D2A">
            <w:pPr>
              <w:pStyle w:val="FootnoteText"/>
              <w:tabs>
                <w:tab w:val="left" w:pos="0"/>
              </w:tabs>
              <w:jc w:val="right"/>
              <w:outlineLvl w:val="2"/>
              <w:rPr>
                <w:sz w:val="22"/>
                <w:szCs w:val="22"/>
              </w:rPr>
            </w:pPr>
            <w:r w:rsidRPr="00107A85">
              <w:rPr>
                <w:sz w:val="22"/>
                <w:szCs w:val="22"/>
              </w:rPr>
              <w:t>41,6</w:t>
            </w:r>
          </w:p>
        </w:tc>
        <w:tc>
          <w:tcPr>
            <w:tcW w:w="709" w:type="dxa"/>
          </w:tcPr>
          <w:p w:rsidR="00275D2A" w:rsidRPr="00107A85" w:rsidRDefault="00275D2A">
            <w:pPr>
              <w:pStyle w:val="FootnoteText"/>
              <w:tabs>
                <w:tab w:val="left" w:pos="0"/>
              </w:tabs>
              <w:jc w:val="right"/>
              <w:outlineLvl w:val="2"/>
              <w:rPr>
                <w:sz w:val="22"/>
                <w:szCs w:val="22"/>
              </w:rPr>
            </w:pPr>
            <w:r w:rsidRPr="00107A85">
              <w:rPr>
                <w:sz w:val="22"/>
                <w:szCs w:val="22"/>
              </w:rPr>
              <w:t>42,6</w:t>
            </w:r>
          </w:p>
        </w:tc>
        <w:tc>
          <w:tcPr>
            <w:tcW w:w="709" w:type="dxa"/>
          </w:tcPr>
          <w:p w:rsidR="00275D2A" w:rsidRPr="00107A85" w:rsidRDefault="00275D2A">
            <w:pPr>
              <w:pStyle w:val="FootnoteText"/>
              <w:tabs>
                <w:tab w:val="left" w:pos="0"/>
              </w:tabs>
              <w:jc w:val="right"/>
              <w:outlineLvl w:val="2"/>
              <w:rPr>
                <w:sz w:val="22"/>
                <w:szCs w:val="22"/>
              </w:rPr>
            </w:pPr>
            <w:r w:rsidRPr="00107A85">
              <w:rPr>
                <w:sz w:val="22"/>
                <w:szCs w:val="22"/>
              </w:rPr>
              <w:t>40,1</w:t>
            </w:r>
          </w:p>
        </w:tc>
        <w:tc>
          <w:tcPr>
            <w:tcW w:w="708" w:type="dxa"/>
          </w:tcPr>
          <w:p w:rsidR="00275D2A" w:rsidRPr="00107A85" w:rsidRDefault="00275D2A">
            <w:pPr>
              <w:pStyle w:val="FootnoteText"/>
              <w:tabs>
                <w:tab w:val="left" w:pos="0"/>
              </w:tabs>
              <w:jc w:val="right"/>
              <w:outlineLvl w:val="2"/>
              <w:rPr>
                <w:sz w:val="22"/>
                <w:szCs w:val="22"/>
              </w:rPr>
            </w:pPr>
            <w:r w:rsidRPr="00107A85">
              <w:rPr>
                <w:sz w:val="22"/>
                <w:szCs w:val="22"/>
              </w:rPr>
              <w:t>41,6</w:t>
            </w:r>
          </w:p>
        </w:tc>
        <w:tc>
          <w:tcPr>
            <w:tcW w:w="709" w:type="dxa"/>
          </w:tcPr>
          <w:p w:rsidR="00275D2A" w:rsidRPr="00107A85" w:rsidRDefault="00275D2A">
            <w:pPr>
              <w:pStyle w:val="FootnoteText"/>
              <w:tabs>
                <w:tab w:val="left" w:pos="0"/>
              </w:tabs>
              <w:jc w:val="right"/>
              <w:outlineLvl w:val="2"/>
              <w:rPr>
                <w:sz w:val="22"/>
                <w:szCs w:val="22"/>
              </w:rPr>
            </w:pPr>
            <w:r w:rsidRPr="00107A85">
              <w:rPr>
                <w:sz w:val="22"/>
                <w:szCs w:val="22"/>
              </w:rPr>
              <w:t>43,6</w:t>
            </w:r>
          </w:p>
        </w:tc>
        <w:tc>
          <w:tcPr>
            <w:tcW w:w="709" w:type="dxa"/>
          </w:tcPr>
          <w:p w:rsidR="00275D2A" w:rsidRPr="00107A85" w:rsidRDefault="00275D2A">
            <w:pPr>
              <w:pStyle w:val="FootnoteText"/>
              <w:tabs>
                <w:tab w:val="left" w:pos="0"/>
              </w:tabs>
              <w:jc w:val="right"/>
              <w:outlineLvl w:val="2"/>
              <w:rPr>
                <w:sz w:val="22"/>
                <w:szCs w:val="22"/>
              </w:rPr>
            </w:pPr>
            <w:r w:rsidRPr="00107A85">
              <w:rPr>
                <w:sz w:val="22"/>
                <w:szCs w:val="22"/>
              </w:rPr>
              <w:t>39,5</w:t>
            </w:r>
          </w:p>
        </w:tc>
      </w:tr>
      <w:tr w:rsidR="00275D2A" w:rsidRPr="003A69CB" w:rsidTr="00045D09">
        <w:trPr>
          <w:trHeight w:val="153"/>
        </w:trPr>
        <w:tc>
          <w:tcPr>
            <w:tcW w:w="2268" w:type="dxa"/>
          </w:tcPr>
          <w:p w:rsidR="00275D2A" w:rsidRPr="00107A85" w:rsidRDefault="00275D2A">
            <w:pPr>
              <w:pStyle w:val="FootnoteText"/>
              <w:tabs>
                <w:tab w:val="left" w:pos="0"/>
              </w:tabs>
              <w:outlineLvl w:val="2"/>
              <w:rPr>
                <w:sz w:val="22"/>
                <w:szCs w:val="22"/>
              </w:rPr>
            </w:pPr>
            <w:r w:rsidRPr="00107A85">
              <w:rPr>
                <w:sz w:val="22"/>
                <w:szCs w:val="22"/>
              </w:rPr>
              <w:t>S = I+X-Z</w:t>
            </w:r>
          </w:p>
        </w:tc>
        <w:tc>
          <w:tcPr>
            <w:tcW w:w="709" w:type="dxa"/>
          </w:tcPr>
          <w:p w:rsidR="00275D2A" w:rsidRPr="00107A85" w:rsidRDefault="00275D2A">
            <w:pPr>
              <w:pStyle w:val="FootnoteText"/>
              <w:tabs>
                <w:tab w:val="left" w:pos="0"/>
              </w:tabs>
              <w:jc w:val="right"/>
              <w:outlineLvl w:val="2"/>
              <w:rPr>
                <w:sz w:val="22"/>
                <w:szCs w:val="22"/>
              </w:rPr>
            </w:pPr>
            <w:r w:rsidRPr="00107A85">
              <w:rPr>
                <w:sz w:val="22"/>
                <w:szCs w:val="22"/>
              </w:rPr>
              <w:t>-13,1</w:t>
            </w:r>
          </w:p>
        </w:tc>
        <w:tc>
          <w:tcPr>
            <w:tcW w:w="709" w:type="dxa"/>
          </w:tcPr>
          <w:p w:rsidR="00275D2A" w:rsidRPr="00107A85" w:rsidRDefault="00275D2A">
            <w:pPr>
              <w:pStyle w:val="FootnoteText"/>
              <w:tabs>
                <w:tab w:val="left" w:pos="0"/>
              </w:tabs>
              <w:jc w:val="right"/>
              <w:outlineLvl w:val="2"/>
              <w:rPr>
                <w:sz w:val="22"/>
                <w:szCs w:val="22"/>
              </w:rPr>
            </w:pPr>
            <w:r w:rsidRPr="00107A85">
              <w:rPr>
                <w:sz w:val="22"/>
                <w:szCs w:val="22"/>
              </w:rPr>
              <w:t>-13,6</w:t>
            </w:r>
          </w:p>
        </w:tc>
        <w:tc>
          <w:tcPr>
            <w:tcW w:w="709" w:type="dxa"/>
          </w:tcPr>
          <w:p w:rsidR="00275D2A" w:rsidRPr="00107A85" w:rsidRDefault="00275D2A">
            <w:pPr>
              <w:pStyle w:val="FootnoteText"/>
              <w:tabs>
                <w:tab w:val="left" w:pos="0"/>
              </w:tabs>
              <w:jc w:val="right"/>
              <w:outlineLvl w:val="2"/>
              <w:rPr>
                <w:sz w:val="22"/>
                <w:szCs w:val="22"/>
              </w:rPr>
            </w:pPr>
            <w:r w:rsidRPr="00107A85">
              <w:rPr>
                <w:sz w:val="22"/>
                <w:szCs w:val="22"/>
              </w:rPr>
              <w:t>-8,8</w:t>
            </w:r>
          </w:p>
        </w:tc>
        <w:tc>
          <w:tcPr>
            <w:tcW w:w="708" w:type="dxa"/>
          </w:tcPr>
          <w:p w:rsidR="00275D2A" w:rsidRPr="00107A85" w:rsidRDefault="00275D2A">
            <w:pPr>
              <w:pStyle w:val="FootnoteText"/>
              <w:tabs>
                <w:tab w:val="left" w:pos="0"/>
              </w:tabs>
              <w:jc w:val="right"/>
              <w:outlineLvl w:val="2"/>
              <w:rPr>
                <w:sz w:val="22"/>
                <w:szCs w:val="22"/>
              </w:rPr>
            </w:pPr>
            <w:r w:rsidRPr="00107A85">
              <w:rPr>
                <w:sz w:val="22"/>
                <w:szCs w:val="22"/>
              </w:rPr>
              <w:t>-8,9</w:t>
            </w:r>
          </w:p>
        </w:tc>
        <w:tc>
          <w:tcPr>
            <w:tcW w:w="709" w:type="dxa"/>
          </w:tcPr>
          <w:p w:rsidR="00275D2A" w:rsidRPr="00107A85" w:rsidRDefault="00275D2A">
            <w:pPr>
              <w:pStyle w:val="FootnoteText"/>
              <w:tabs>
                <w:tab w:val="left" w:pos="0"/>
              </w:tabs>
              <w:jc w:val="right"/>
              <w:outlineLvl w:val="2"/>
              <w:rPr>
                <w:sz w:val="22"/>
                <w:szCs w:val="22"/>
              </w:rPr>
            </w:pPr>
            <w:r w:rsidRPr="00107A85">
              <w:rPr>
                <w:sz w:val="22"/>
                <w:szCs w:val="22"/>
              </w:rPr>
              <w:t>-11,5</w:t>
            </w:r>
          </w:p>
        </w:tc>
        <w:tc>
          <w:tcPr>
            <w:tcW w:w="709" w:type="dxa"/>
          </w:tcPr>
          <w:p w:rsidR="00275D2A" w:rsidRPr="00107A85" w:rsidRDefault="00275D2A">
            <w:pPr>
              <w:pStyle w:val="FootnoteText"/>
              <w:tabs>
                <w:tab w:val="left" w:pos="0"/>
              </w:tabs>
              <w:jc w:val="right"/>
              <w:outlineLvl w:val="2"/>
              <w:rPr>
                <w:sz w:val="22"/>
                <w:szCs w:val="22"/>
              </w:rPr>
            </w:pPr>
            <w:r w:rsidRPr="00107A85">
              <w:rPr>
                <w:sz w:val="22"/>
                <w:szCs w:val="22"/>
              </w:rPr>
              <w:t>-10,9</w:t>
            </w:r>
          </w:p>
        </w:tc>
        <w:tc>
          <w:tcPr>
            <w:tcW w:w="709" w:type="dxa"/>
          </w:tcPr>
          <w:p w:rsidR="00275D2A" w:rsidRPr="00107A85" w:rsidRDefault="00275D2A">
            <w:pPr>
              <w:pStyle w:val="FootnoteText"/>
              <w:tabs>
                <w:tab w:val="left" w:pos="0"/>
              </w:tabs>
              <w:jc w:val="right"/>
              <w:outlineLvl w:val="2"/>
              <w:rPr>
                <w:sz w:val="22"/>
                <w:szCs w:val="22"/>
              </w:rPr>
            </w:pPr>
            <w:r w:rsidRPr="00107A85">
              <w:rPr>
                <w:sz w:val="22"/>
                <w:szCs w:val="22"/>
              </w:rPr>
              <w:t>-7,9</w:t>
            </w:r>
          </w:p>
        </w:tc>
        <w:tc>
          <w:tcPr>
            <w:tcW w:w="708" w:type="dxa"/>
          </w:tcPr>
          <w:p w:rsidR="00275D2A" w:rsidRPr="00107A85" w:rsidRDefault="00275D2A">
            <w:pPr>
              <w:pStyle w:val="FootnoteText"/>
              <w:tabs>
                <w:tab w:val="left" w:pos="0"/>
              </w:tabs>
              <w:jc w:val="right"/>
              <w:outlineLvl w:val="2"/>
              <w:rPr>
                <w:sz w:val="22"/>
                <w:szCs w:val="22"/>
              </w:rPr>
            </w:pPr>
            <w:r w:rsidRPr="00107A85">
              <w:rPr>
                <w:sz w:val="22"/>
                <w:szCs w:val="22"/>
              </w:rPr>
              <w:t>-8,5</w:t>
            </w:r>
          </w:p>
        </w:tc>
        <w:tc>
          <w:tcPr>
            <w:tcW w:w="709" w:type="dxa"/>
          </w:tcPr>
          <w:p w:rsidR="00275D2A" w:rsidRPr="00107A85" w:rsidRDefault="00275D2A">
            <w:pPr>
              <w:pStyle w:val="FootnoteText"/>
              <w:tabs>
                <w:tab w:val="left" w:pos="0"/>
              </w:tabs>
              <w:jc w:val="right"/>
              <w:outlineLvl w:val="2"/>
              <w:rPr>
                <w:sz w:val="22"/>
                <w:szCs w:val="22"/>
              </w:rPr>
            </w:pPr>
            <w:r w:rsidRPr="00107A85">
              <w:rPr>
                <w:sz w:val="22"/>
                <w:szCs w:val="22"/>
              </w:rPr>
              <w:t>-8,3</w:t>
            </w:r>
          </w:p>
        </w:tc>
        <w:tc>
          <w:tcPr>
            <w:tcW w:w="709" w:type="dxa"/>
          </w:tcPr>
          <w:p w:rsidR="00275D2A" w:rsidRPr="00107A85" w:rsidRDefault="00275D2A">
            <w:pPr>
              <w:pStyle w:val="FootnoteText"/>
              <w:tabs>
                <w:tab w:val="left" w:pos="0"/>
              </w:tabs>
              <w:jc w:val="right"/>
              <w:outlineLvl w:val="2"/>
              <w:rPr>
                <w:sz w:val="22"/>
                <w:szCs w:val="22"/>
              </w:rPr>
            </w:pPr>
            <w:r w:rsidRPr="00107A85">
              <w:rPr>
                <w:sz w:val="22"/>
                <w:szCs w:val="22"/>
              </w:rPr>
              <w:t>-7,1</w:t>
            </w:r>
          </w:p>
        </w:tc>
      </w:tr>
    </w:tbl>
    <w:p w:rsidR="00275D2A" w:rsidRPr="00107A85" w:rsidRDefault="00275D2A" w:rsidP="00107A85">
      <w:pPr>
        <w:pStyle w:val="FootnoteText"/>
        <w:tabs>
          <w:tab w:val="left" w:pos="0"/>
        </w:tabs>
        <w:spacing w:line="276" w:lineRule="auto"/>
        <w:jc w:val="both"/>
        <w:rPr>
          <w:i/>
          <w:lang w:eastAsia="hr-HR"/>
        </w:rPr>
      </w:pPr>
      <w:r w:rsidRPr="00107A85">
        <w:rPr>
          <w:i/>
        </w:rPr>
        <w:t>Izvor:Autor temeljem podataka iz Ministarstvo financija i trezora BiH i CB BiH iz godišnje izvješća 2017.</w:t>
      </w:r>
    </w:p>
    <w:p w:rsidR="00275D2A" w:rsidRDefault="00275D2A" w:rsidP="00107A85">
      <w:pPr>
        <w:ind w:firstLine="720"/>
      </w:pPr>
      <w:r w:rsidRPr="00107A85">
        <w:rPr>
          <w:sz w:val="22"/>
          <w:szCs w:val="22"/>
        </w:rPr>
        <w:t xml:space="preserve">Potvrđena je hipoteza da uz veličinu deficita tekućeg računa, veliki značaj ima i njegova struktura. </w:t>
      </w:r>
      <w:r>
        <w:rPr>
          <w:sz w:val="22"/>
          <w:szCs w:val="22"/>
        </w:rPr>
        <w:t>D</w:t>
      </w:r>
      <w:r w:rsidRPr="00107A85">
        <w:rPr>
          <w:sz w:val="22"/>
          <w:szCs w:val="22"/>
        </w:rPr>
        <w:t>eficit tekućeg računa</w:t>
      </w:r>
      <w:r>
        <w:rPr>
          <w:sz w:val="22"/>
          <w:szCs w:val="22"/>
        </w:rPr>
        <w:t xml:space="preserve"> je</w:t>
      </w:r>
      <w:r w:rsidRPr="00107A85">
        <w:rPr>
          <w:sz w:val="22"/>
          <w:szCs w:val="22"/>
        </w:rPr>
        <w:t xml:space="preserve"> u najvećoj</w:t>
      </w:r>
      <w:r>
        <w:t xml:space="preserve"> mjeri rezultat vanjsko trgovinskog deficita. Jedan od uzroka prelijevanja krize na BiH je bilo veće smanjenje uvoza od izvoza roba i usluga i kao posljedica te pojave, značajno su manji deficiti tekućeg računa.Vanjsko trgovinski deficit je u 2008. godini iznosio 38,3% BDP-a, a  od 2014. godine dolazi do smanjenja ovog pokazatelja, ali su deficiti evidentni i kreću se u zadnje dvije godine na razini od oko 22% BDP-a. Zadnjih godina došlo je do bolje pokrivenosti uvoza sa izvozom roba i usluga, odnosno smanjenja vanjsko trgovinske deficita. Saldo X-Z dokazuje koliko je postotno potrošnja mogla biti veća od proizvodnje u BiH.  Tekuća i proračunska potrošnja su tijekom promatranog razdoblja bile stabilne. Tekuća javna potrošnja imala je prosjek od 50,4% BDP-a, a proračunska potrošnja 41,7% BDP-a, a najveće oscilacije utvrđene su kod investicijske potrošnje od 24,8% BDP-a u 2008. godini, kada je utvrđen i najveći vanjsko trgovinski deficit. Možemo zaključiti da je nužno iz vanjsko trgovinskog deficita u prioritetu financirati tekuću i proračunsku potrošnju, dok će vanjsko trgovinski deficit iznad određenog postotka BDP-a se pozitivno odraziti i na investicijsku potrošnju.</w:t>
      </w:r>
    </w:p>
    <w:p w:rsidR="00275D2A" w:rsidRPr="007F4EE3" w:rsidRDefault="00275D2A" w:rsidP="007F4EE3">
      <w:pPr>
        <w:rPr>
          <w:i/>
          <w:sz w:val="22"/>
          <w:szCs w:val="22"/>
        </w:rPr>
      </w:pPr>
      <w:r w:rsidRPr="00107A85">
        <w:rPr>
          <w:i/>
          <w:sz w:val="22"/>
          <w:szCs w:val="22"/>
        </w:rPr>
        <w:t>Grafikon 6. Dvostruki deficit u Bosni i Hercegovini</w:t>
      </w:r>
    </w:p>
    <w:p w:rsidR="00275D2A" w:rsidRDefault="00275D2A" w:rsidP="00045D09">
      <w:pPr>
        <w:jc w:val="center"/>
      </w:pPr>
      <w:r w:rsidRPr="003A69CB">
        <w:rPr>
          <w:noProof/>
          <w:szCs w:val="22"/>
          <w:lang w:val="hr-HR" w:eastAsia="hr-HR"/>
        </w:rPr>
        <w:object w:dxaOrig="9332" w:dyaOrig="4032">
          <v:shape id="Chart 8" o:spid="_x0000_i1030" type="#_x0000_t75" style="width:466.5pt;height:201.75pt;visibility:visible" o:ole="">
            <v:imagedata r:id="rId17" o:title=""/>
            <o:lock v:ext="edit" aspectratio="f"/>
          </v:shape>
          <o:OLEObject Type="Embed" ProgID="Excel.Chart.8" ShapeID="Chart 8" DrawAspect="Content" ObjectID="_1598427433" r:id="rId18"/>
        </w:object>
      </w:r>
    </w:p>
    <w:p w:rsidR="00275D2A" w:rsidRPr="00261DDA" w:rsidRDefault="00275D2A" w:rsidP="00261DDA">
      <w:pPr>
        <w:pStyle w:val="Title"/>
        <w:rPr>
          <w:rFonts w:ascii="Times New Roman" w:hAnsi="Times New Roman"/>
          <w:sz w:val="20"/>
          <w:szCs w:val="20"/>
        </w:rPr>
      </w:pPr>
      <w:r w:rsidRPr="00261DDA">
        <w:rPr>
          <w:rStyle w:val="TitleChar"/>
          <w:rFonts w:ascii="Times New Roman" w:hAnsi="Times New Roman"/>
          <w:sz w:val="20"/>
          <w:szCs w:val="20"/>
          <w:lang w:eastAsia="en-US"/>
        </w:rPr>
        <w:t>Izvor: Centralna banka BiH, godišnje izvješće za 2016</w:t>
      </w:r>
      <w:r w:rsidRPr="00261DDA">
        <w:rPr>
          <w:rFonts w:ascii="Times New Roman" w:hAnsi="Times New Roman"/>
          <w:sz w:val="20"/>
          <w:szCs w:val="20"/>
        </w:rPr>
        <w:t>.</w:t>
      </w:r>
    </w:p>
    <w:p w:rsidR="00275D2A" w:rsidRDefault="00275D2A" w:rsidP="00107A85">
      <w:pPr>
        <w:ind w:firstLine="720"/>
      </w:pPr>
      <w:r>
        <w:t xml:space="preserve">Iz navedenog </w:t>
      </w:r>
      <w:r>
        <w:rPr>
          <w:b/>
          <w:i/>
        </w:rPr>
        <w:t>grafikona 6</w:t>
      </w:r>
      <w:r>
        <w:t xml:space="preserve">. dokazuje se kretanje dvostrukog deficita u Bosni i Hercegovini u razdoblju 2007.-2016. godine. Dok je svjetska ekonomska kriza utjecala na prekid rasta deficita tekućeg računa, dotle se proračunski deficit uvećavao do 2013. Godine, kako bi se stabilizirao u zadnje dvije godine istraživanog razdoblja. </w:t>
      </w:r>
      <w:r>
        <w:tab/>
        <w:t xml:space="preserve">Temeljem podataka iz </w:t>
      </w:r>
      <w:r>
        <w:rPr>
          <w:b/>
          <w:i/>
        </w:rPr>
        <w:t>tablice 2. z</w:t>
      </w:r>
      <w:r>
        <w:t xml:space="preserve">aključuje se da je proračunska potrošnja dosta konstantna, što implicira da je ona rasla po približno istoj stopi kao i BDP.  Činjenica je da je proračunski deficit rastao te da proračunski prihodi nisu rasli po dovoljno visokoj stopi, kako bi pokrivali proračunske rashode. Smanjenje deficita tekućeg računa je utjecalo da u posljednje dvije godine istraživanog razdoblja ova dva deficita budu gotovo izjednačena.   Posljednjih godina je uspostavljen kvalitetniji odnos između uvoza i izvoza roba i usluga u odnosu na BDP, javna potrošnja se smanjila a državna potrošnja je ostala istoj razini. Zabrinjavjuće je činjenica da se smanjenjem deficita tekućeg računa  dolazi i do smanjenja udjela investicijske potrošnje u BDP-u. Navedena pojava ukazuje na činjenicu da domaća štednja nije dovoljna i deficiti tekućeg računa se koristi za preveliku državnu potrošnju i komplicirani administrativni aparat u BiH. </w:t>
      </w:r>
    </w:p>
    <w:p w:rsidR="00275D2A" w:rsidRDefault="00275D2A" w:rsidP="00045D09">
      <w:pPr>
        <w:rPr>
          <w:b/>
        </w:rPr>
      </w:pPr>
      <w:r>
        <w:rPr>
          <w:b/>
        </w:rPr>
        <w:t>Zaključak</w:t>
      </w:r>
    </w:p>
    <w:p w:rsidR="00275D2A" w:rsidRDefault="00275D2A" w:rsidP="00D01040">
      <w:pPr>
        <w:ind w:firstLine="720"/>
      </w:pPr>
      <w:r>
        <w:t xml:space="preserve">Problem dvostrukog deficita u BiH je evidetno utvrđen u istraživanom razdoblju 2006.-2017. godine. Može se postaviti zaključak da BiH predstavlja veliki i neriješivi problem, pojedinačno promatranje </w:t>
      </w:r>
      <w:r>
        <w:rPr>
          <w:b/>
          <w:i/>
        </w:rPr>
        <w:t>proračunskog deficita</w:t>
      </w:r>
      <w:r>
        <w:t xml:space="preserve"> koji se kretao iznad kriterija Pakta za stabilnost i rast od 3% BDP-a, stim da je zadnjih godina u okvirima referentnih granica. </w:t>
      </w:r>
      <w:r>
        <w:rPr>
          <w:b/>
          <w:i/>
        </w:rPr>
        <w:t>Vanjski dug</w:t>
      </w:r>
      <w:r>
        <w:t xml:space="preserve"> je velik ali nije iznad utvrđenih referentnih granica Pakta za stabilnost i rast od 60% BDP-a, ali je njegova struktura problematična uz visoku indeksaciju obveza u inozemnim valutama.   </w:t>
      </w:r>
      <w:r>
        <w:tab/>
      </w:r>
      <w:r>
        <w:tab/>
      </w:r>
      <w:r>
        <w:tab/>
      </w:r>
      <w:r>
        <w:tab/>
      </w:r>
      <w:r>
        <w:tab/>
        <w:t>Kvalitativnom analizom raspoloživih makroekonomskih pokazatelja nemože se u cijelosti potvrditi postojanje hipoteze dvostrukog deficita, tj. da rast proračunskog deficita utječe na rast deficita tekućeg računa. Sigurno je da do nastanka ekonomske krize postojanje dvostrukog deficita nije bilo na takvoj razini, ali nastankom krize od sredine 2009. godine došlo je do negativnih ekonomskih kretanja pri čemu je proračunski deficit naglo porastao na</w:t>
      </w:r>
      <w:r>
        <w:rPr>
          <w:b/>
          <w:i/>
        </w:rPr>
        <w:t xml:space="preserve"> 1,070 miljardi KM ili 4,4% BDP-a, </w:t>
      </w:r>
      <w:r>
        <w:t>a deficit tekućeg računa je naglo eskalirao na</w:t>
      </w:r>
      <w:r>
        <w:rPr>
          <w:b/>
          <w:i/>
        </w:rPr>
        <w:t xml:space="preserve"> 3,51 milijardi KM ili 14,1% BDP-a.</w:t>
      </w:r>
      <w:r>
        <w:tab/>
      </w:r>
      <w:r>
        <w:tab/>
      </w:r>
      <w:r>
        <w:tab/>
      </w:r>
      <w:r>
        <w:tab/>
      </w:r>
      <w:r>
        <w:tab/>
      </w:r>
      <w:r>
        <w:tab/>
        <w:t xml:space="preserve">Analiza </w:t>
      </w:r>
      <w:r>
        <w:rPr>
          <w:b/>
          <w:i/>
        </w:rPr>
        <w:t>načina korištenja BDP</w:t>
      </w:r>
      <w:r>
        <w:t xml:space="preserve">-a u BiH dovela je do određenih zaključaka. Ustanovljeno je konstantno učešće tekuće i proračunske potrošnje u BDP-u, dok je jedini pokazatelj koji je oscilirao bila investicijska potrošnja. Porast deficita tekućeg računa utjecao je na povećanje </w:t>
      </w:r>
      <w:r>
        <w:rPr>
          <w:b/>
          <w:i/>
        </w:rPr>
        <w:t>izdvajanja za investicijsku potrošnju</w:t>
      </w:r>
      <w:r>
        <w:t>, čime je potvrđena hipoteza da je rast deficita tekućeg računa pozitivno utjecao na investicijsku potrošnju.  Jasno je da domaća štednja nije dovoljna i da se deficit tekućeg računa  prioritetno koristio za financiranje prevelike državne potrošnje. Značajno učešće proračunske potrošnje u BDP-u, uz povećan proračunski deficit, dokazuje da pored velike državne potrošnj stopa rasta proračunskih prihoda ne prati stopu rasta proračunskih rashoda.</w:t>
      </w:r>
      <w:r>
        <w:tab/>
      </w:r>
      <w:r>
        <w:tab/>
      </w:r>
      <w:r>
        <w:tab/>
        <w:t xml:space="preserve">Temeljem utvrđenih zaključaka konstatira se nedovoljno razvijena gospodarska struktura i nedostatak industrijskih kapaciteta, koj imimpliciraju da u BiH povećanje potrošnje ne mora nužno dati adekvatne rezultate. Nužno je na adekvatan način raditi na smanjivanju oba deficita. Takvim fiskalnim mjerama, na jednoj strani izvršila bi  se </w:t>
      </w:r>
      <w:r>
        <w:rPr>
          <w:b/>
          <w:i/>
        </w:rPr>
        <w:t>racionalizacija proračuunske potrošnje</w:t>
      </w:r>
      <w:r>
        <w:t xml:space="preserve">, a na drugoj strani bi se trebalo izvršiti </w:t>
      </w:r>
      <w:r>
        <w:rPr>
          <w:b/>
          <w:i/>
        </w:rPr>
        <w:t>dodatno investiranje u infarstrukturu i proizvodnju</w:t>
      </w:r>
      <w:r>
        <w:t xml:space="preserve">, kako bi gospodarstvo BiH iz internih izvora moglo financirati eventualni proračunski deficit.Takva situacija bi povoljno utjecala na povećanje stupnja neovisnosti u vođenju ekonomske politike. U narednom razdoblju bi trebalo doći i do značajnijeg rasta domaće štednje, kao ključnog faktora ekonosmke stabilnosti države, čime bi se lagano prevazišli trendovi deficita tekućeg računa.    </w:t>
      </w:r>
    </w:p>
    <w:p w:rsidR="00275D2A" w:rsidRDefault="00275D2A" w:rsidP="00D01040">
      <w:pPr>
        <w:rPr>
          <w:b/>
        </w:rPr>
      </w:pPr>
    </w:p>
    <w:p w:rsidR="00275D2A" w:rsidRDefault="00275D2A" w:rsidP="00D01040">
      <w:pPr>
        <w:rPr>
          <w:b/>
        </w:rPr>
      </w:pPr>
    </w:p>
    <w:p w:rsidR="00275D2A" w:rsidRDefault="00275D2A" w:rsidP="00D01040">
      <w:pPr>
        <w:rPr>
          <w:b/>
        </w:rPr>
      </w:pPr>
    </w:p>
    <w:p w:rsidR="00275D2A" w:rsidRDefault="00275D2A" w:rsidP="00D01040">
      <w:pPr>
        <w:rPr>
          <w:b/>
        </w:rPr>
      </w:pPr>
    </w:p>
    <w:p w:rsidR="00275D2A" w:rsidRDefault="00275D2A" w:rsidP="00D01040">
      <w:pPr>
        <w:rPr>
          <w:b/>
        </w:rPr>
      </w:pPr>
    </w:p>
    <w:p w:rsidR="00275D2A" w:rsidRDefault="00275D2A" w:rsidP="00D01040">
      <w:pPr>
        <w:rPr>
          <w:b/>
        </w:rPr>
      </w:pPr>
    </w:p>
    <w:p w:rsidR="00275D2A" w:rsidRDefault="00275D2A" w:rsidP="00D01040">
      <w:pPr>
        <w:rPr>
          <w:b/>
        </w:rPr>
      </w:pPr>
    </w:p>
    <w:p w:rsidR="00275D2A" w:rsidRDefault="00275D2A" w:rsidP="00D01040">
      <w:pPr>
        <w:rPr>
          <w:b/>
        </w:rPr>
      </w:pPr>
    </w:p>
    <w:p w:rsidR="00275D2A" w:rsidRDefault="00275D2A" w:rsidP="00D01040">
      <w:pPr>
        <w:rPr>
          <w:b/>
        </w:rPr>
      </w:pPr>
    </w:p>
    <w:p w:rsidR="00275D2A" w:rsidRDefault="00275D2A" w:rsidP="00D01040">
      <w:pPr>
        <w:rPr>
          <w:b/>
        </w:rPr>
      </w:pPr>
    </w:p>
    <w:p w:rsidR="00275D2A" w:rsidRDefault="00275D2A" w:rsidP="00D01040">
      <w:pPr>
        <w:rPr>
          <w:b/>
        </w:rPr>
      </w:pPr>
    </w:p>
    <w:p w:rsidR="00275D2A" w:rsidRDefault="00275D2A" w:rsidP="00D01040">
      <w:pPr>
        <w:rPr>
          <w:b/>
        </w:rPr>
      </w:pPr>
    </w:p>
    <w:p w:rsidR="00275D2A" w:rsidRDefault="00275D2A" w:rsidP="00D01040">
      <w:pPr>
        <w:rPr>
          <w:b/>
        </w:rPr>
      </w:pPr>
    </w:p>
    <w:p w:rsidR="00275D2A" w:rsidRDefault="00275D2A" w:rsidP="00D01040">
      <w:pPr>
        <w:rPr>
          <w:b/>
        </w:rPr>
      </w:pPr>
      <w:r>
        <w:rPr>
          <w:b/>
        </w:rPr>
        <w:t>Literatura</w:t>
      </w:r>
    </w:p>
    <w:p w:rsidR="00275D2A" w:rsidRDefault="00275D2A" w:rsidP="00D01040">
      <w:pPr>
        <w:pStyle w:val="ListParagraph"/>
        <w:numPr>
          <w:ilvl w:val="0"/>
          <w:numId w:val="15"/>
        </w:numPr>
        <w:jc w:val="both"/>
      </w:pPr>
      <w:r>
        <w:t xml:space="preserve">Alibašić H., Mahmutović, M., </w:t>
      </w:r>
      <w:r w:rsidRPr="00D01040">
        <w:rPr>
          <w:i/>
        </w:rPr>
        <w:t xml:space="preserve">Utjecaj kontinuiranog deficita na ekonomski rast Bosne i Hercegovine, </w:t>
      </w:r>
      <w:r>
        <w:t>Zbornik radova Ekonomski fakultet, Brčko, 2015, str. 81.</w:t>
      </w:r>
    </w:p>
    <w:p w:rsidR="00275D2A" w:rsidRDefault="00275D2A" w:rsidP="00D01040">
      <w:pPr>
        <w:pStyle w:val="ListParagraph"/>
        <w:numPr>
          <w:ilvl w:val="0"/>
          <w:numId w:val="15"/>
        </w:numPr>
        <w:jc w:val="both"/>
      </w:pPr>
      <w:r>
        <w:t xml:space="preserve">Agencija za statistiku Bosne i Hercegovine, </w:t>
      </w:r>
      <w:r w:rsidRPr="00D01040">
        <w:rPr>
          <w:i/>
        </w:rPr>
        <w:t xml:space="preserve">Statistička područja ekonomske i poslovne statistike, </w:t>
      </w:r>
      <w:r>
        <w:t>Sarajevo 2016.</w:t>
      </w:r>
    </w:p>
    <w:p w:rsidR="00275D2A" w:rsidRDefault="00275D2A" w:rsidP="00D01040">
      <w:pPr>
        <w:pStyle w:val="ListParagraph"/>
        <w:numPr>
          <w:ilvl w:val="0"/>
          <w:numId w:val="15"/>
        </w:numPr>
        <w:jc w:val="both"/>
      </w:pPr>
      <w:r>
        <w:t xml:space="preserve">Centralna banka BiH, </w:t>
      </w:r>
      <w:r w:rsidRPr="00D01040">
        <w:rPr>
          <w:i/>
        </w:rPr>
        <w:t>Godišnje izvješća za 2016. godine</w:t>
      </w:r>
      <w:r>
        <w:t xml:space="preserve">, Sarajevo, 2017. </w:t>
      </w:r>
    </w:p>
    <w:p w:rsidR="00275D2A" w:rsidRDefault="00275D2A" w:rsidP="00D01040">
      <w:pPr>
        <w:pStyle w:val="ListParagraph"/>
        <w:numPr>
          <w:ilvl w:val="0"/>
          <w:numId w:val="15"/>
        </w:numPr>
        <w:jc w:val="both"/>
      </w:pPr>
      <w:r>
        <w:t xml:space="preserve">DEP BIH, </w:t>
      </w:r>
      <w:r w:rsidRPr="00D01040">
        <w:rPr>
          <w:i/>
        </w:rPr>
        <w:t xml:space="preserve">Bosna i Hercegovina ekonomski trendovi za 2013-2016. godinu, </w:t>
      </w:r>
      <w:r>
        <w:t>Sarajevo, 2014. i 2017, str. 5.</w:t>
      </w:r>
    </w:p>
    <w:p w:rsidR="00275D2A" w:rsidRDefault="00275D2A" w:rsidP="00D01040">
      <w:pPr>
        <w:pStyle w:val="ListParagraph"/>
        <w:numPr>
          <w:ilvl w:val="0"/>
          <w:numId w:val="15"/>
        </w:numPr>
        <w:jc w:val="both"/>
      </w:pPr>
      <w:r>
        <w:t xml:space="preserve">Đorđević. D i S. Ignjatović, </w:t>
      </w:r>
      <w:r w:rsidRPr="00D01040">
        <w:rPr>
          <w:i/>
        </w:rPr>
        <w:t xml:space="preserve">Javnje finansije – fiskalna ekonomije i menadžment javnog sektora, </w:t>
      </w:r>
      <w:r>
        <w:t>Privredna akademija, Novi Sad, 2013, str. 33.</w:t>
      </w:r>
    </w:p>
    <w:p w:rsidR="00275D2A" w:rsidRDefault="00275D2A" w:rsidP="00D01040">
      <w:pPr>
        <w:pStyle w:val="ListParagraph"/>
        <w:numPr>
          <w:ilvl w:val="0"/>
          <w:numId w:val="15"/>
        </w:numPr>
        <w:jc w:val="both"/>
      </w:pPr>
      <w:r>
        <w:t xml:space="preserve">Jošić H. I M. Jošić, </w:t>
      </w:r>
      <w:r w:rsidRPr="00D01040">
        <w:rPr>
          <w:i/>
        </w:rPr>
        <w:t xml:space="preserve">Dvostruki deficit ili dvostruka divergencija u Hrvatskoj, </w:t>
      </w:r>
      <w:r>
        <w:t>Zbornik Ekonomskog fakulteta u Zagrebu, Zagreb, 2011, str. 1-16.</w:t>
      </w:r>
    </w:p>
    <w:p w:rsidR="00275D2A" w:rsidRDefault="00275D2A" w:rsidP="00D01040">
      <w:pPr>
        <w:pStyle w:val="ListParagraph"/>
        <w:numPr>
          <w:ilvl w:val="0"/>
          <w:numId w:val="15"/>
        </w:numPr>
        <w:jc w:val="both"/>
      </w:pPr>
      <w:r>
        <w:t xml:space="preserve">Jovanović N., </w:t>
      </w:r>
      <w:r w:rsidRPr="00D01040">
        <w:rPr>
          <w:i/>
        </w:rPr>
        <w:t xml:space="preserve">Dvostruki deficit problem ekonomije Srbije, </w:t>
      </w:r>
      <w:r>
        <w:t>Ekonomski horizonti, 2015, Kragujevac, str. 110-111.</w:t>
      </w:r>
    </w:p>
    <w:p w:rsidR="00275D2A" w:rsidRDefault="00275D2A" w:rsidP="00D01040">
      <w:pPr>
        <w:pStyle w:val="ListParagraph"/>
        <w:numPr>
          <w:ilvl w:val="0"/>
          <w:numId w:val="15"/>
        </w:numPr>
        <w:jc w:val="both"/>
      </w:pPr>
      <w:r>
        <w:t xml:space="preserve">Kovačević. R, </w:t>
      </w:r>
      <w:r w:rsidRPr="00D01040">
        <w:rPr>
          <w:i/>
        </w:rPr>
        <w:t xml:space="preserve">Međunarodne finansije, </w:t>
      </w:r>
      <w:r>
        <w:t xml:space="preserve">Beograd, Ekonomski fakultet, Beograd, 2010. </w:t>
      </w:r>
    </w:p>
    <w:p w:rsidR="00275D2A" w:rsidRDefault="00275D2A" w:rsidP="00D01040">
      <w:pPr>
        <w:pStyle w:val="ListParagraph"/>
        <w:numPr>
          <w:ilvl w:val="0"/>
          <w:numId w:val="15"/>
        </w:numPr>
        <w:jc w:val="both"/>
      </w:pPr>
      <w:r>
        <w:t xml:space="preserve">Marković. B i B. Dunković, </w:t>
      </w:r>
      <w:r w:rsidRPr="00D01040">
        <w:rPr>
          <w:i/>
        </w:rPr>
        <w:t xml:space="preserve">Zaduživanje i financiranje lokalnog razvoja, </w:t>
      </w:r>
      <w:r>
        <w:t>Ekonomski vjesnik,, UDK 336.132.352.073, Osijek, 2009, str. 358.</w:t>
      </w:r>
    </w:p>
    <w:p w:rsidR="00275D2A" w:rsidRPr="00D01040" w:rsidRDefault="00275D2A" w:rsidP="00D01040">
      <w:pPr>
        <w:pStyle w:val="ListParagraph"/>
        <w:numPr>
          <w:ilvl w:val="0"/>
          <w:numId w:val="15"/>
        </w:numPr>
        <w:jc w:val="both"/>
      </w:pPr>
      <w:r>
        <w:t xml:space="preserve">Ministarstvo financija i trezora BiH, </w:t>
      </w:r>
      <w:r w:rsidRPr="00D01040">
        <w:rPr>
          <w:i/>
        </w:rPr>
        <w:t xml:space="preserve">Informacija o stanju javne zaduženosti Bosne i Hercegovine na dan 31.12.2016. </w:t>
      </w:r>
    </w:p>
    <w:p w:rsidR="00275D2A" w:rsidRDefault="00275D2A" w:rsidP="00D01040">
      <w:pPr>
        <w:pStyle w:val="ListParagraph"/>
        <w:numPr>
          <w:ilvl w:val="0"/>
          <w:numId w:val="15"/>
        </w:numPr>
        <w:jc w:val="both"/>
      </w:pPr>
      <w:r>
        <w:t xml:space="preserve">Vedriš M. i N. Rančić, </w:t>
      </w:r>
      <w:r w:rsidRPr="00D01040">
        <w:rPr>
          <w:i/>
        </w:rPr>
        <w:t xml:space="preserve">Dvostruki deficit u Hrvtaskoj i njegove posljedice, </w:t>
      </w:r>
      <w:r>
        <w:t xml:space="preserve">Rifin, Zagreb, 2008. </w:t>
      </w:r>
    </w:p>
    <w:p w:rsidR="00275D2A" w:rsidRPr="00D01040" w:rsidRDefault="00275D2A" w:rsidP="00D01040">
      <w:pPr>
        <w:pStyle w:val="ListParagraph"/>
        <w:numPr>
          <w:ilvl w:val="0"/>
          <w:numId w:val="15"/>
        </w:numPr>
        <w:jc w:val="both"/>
      </w:pPr>
      <w:r>
        <w:t xml:space="preserve">Vukić S., </w:t>
      </w:r>
      <w:r w:rsidRPr="00D01040">
        <w:rPr>
          <w:i/>
        </w:rPr>
        <w:t xml:space="preserve">Javni dug u Bosni i Hercegovini, stanje, trendovi i perspektive, </w:t>
      </w:r>
      <w:r>
        <w:t>Fircon doo, Mostar, 2017.</w:t>
      </w:r>
    </w:p>
    <w:p w:rsidR="00275D2A" w:rsidRDefault="00275D2A" w:rsidP="00045D09">
      <w:pPr>
        <w:ind w:left="720"/>
        <w:rPr>
          <w:b/>
        </w:rPr>
      </w:pPr>
    </w:p>
    <w:sectPr w:rsidR="00275D2A" w:rsidSect="008B2625">
      <w:headerReference w:type="even" r:id="rId19"/>
      <w:headerReference w:type="default" r:id="rId20"/>
      <w:pgSz w:w="12240" w:h="15840"/>
      <w:pgMar w:top="1440" w:right="1797" w:bottom="1440" w:left="1797"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5D2A" w:rsidRDefault="00275D2A" w:rsidP="00D3231E">
      <w:pPr>
        <w:spacing w:before="0"/>
      </w:pPr>
      <w:r>
        <w:separator/>
      </w:r>
    </w:p>
  </w:endnote>
  <w:endnote w:type="continuationSeparator" w:id="0">
    <w:p w:rsidR="00275D2A" w:rsidRDefault="00275D2A" w:rsidP="00D3231E">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5D2A" w:rsidRDefault="00275D2A" w:rsidP="00D3231E">
      <w:pPr>
        <w:spacing w:before="0"/>
      </w:pPr>
      <w:r>
        <w:separator/>
      </w:r>
    </w:p>
  </w:footnote>
  <w:footnote w:type="continuationSeparator" w:id="0">
    <w:p w:rsidR="00275D2A" w:rsidRDefault="00275D2A" w:rsidP="00D3231E">
      <w:pPr>
        <w:spacing w:before="0"/>
      </w:pPr>
      <w:r>
        <w:continuationSeparator/>
      </w:r>
    </w:p>
  </w:footnote>
  <w:footnote w:id="1">
    <w:p w:rsidR="00275D2A" w:rsidRDefault="00275D2A" w:rsidP="00EE3017">
      <w:pPr>
        <w:jc w:val="left"/>
        <w:rPr>
          <w:i/>
          <w:sz w:val="22"/>
          <w:szCs w:val="22"/>
        </w:rPr>
      </w:pPr>
      <w:r>
        <w:rPr>
          <w:i/>
          <w:sz w:val="22"/>
          <w:szCs w:val="22"/>
        </w:rPr>
        <w:t>Primljeno: 10</w:t>
      </w:r>
      <w:r w:rsidRPr="003D0620">
        <w:rPr>
          <w:i/>
          <w:sz w:val="22"/>
          <w:szCs w:val="22"/>
        </w:rPr>
        <w:t>.</w:t>
      </w:r>
      <w:r>
        <w:rPr>
          <w:i/>
          <w:sz w:val="22"/>
          <w:szCs w:val="22"/>
        </w:rPr>
        <w:t>02.2018; Prihvaćeno:03</w:t>
      </w:r>
      <w:r w:rsidRPr="003D0620">
        <w:rPr>
          <w:i/>
          <w:sz w:val="22"/>
          <w:szCs w:val="22"/>
        </w:rPr>
        <w:t>.0</w:t>
      </w:r>
      <w:r>
        <w:rPr>
          <w:i/>
          <w:sz w:val="22"/>
          <w:szCs w:val="22"/>
        </w:rPr>
        <w:t>4</w:t>
      </w:r>
      <w:r w:rsidRPr="003D0620">
        <w:rPr>
          <w:i/>
          <w:sz w:val="22"/>
          <w:szCs w:val="22"/>
        </w:rPr>
        <w:t>.201</w:t>
      </w:r>
      <w:r>
        <w:rPr>
          <w:i/>
          <w:sz w:val="22"/>
          <w:szCs w:val="22"/>
        </w:rPr>
        <w:t>8</w:t>
      </w:r>
      <w:r w:rsidRPr="003D0620">
        <w:rPr>
          <w:i/>
          <w:sz w:val="22"/>
          <w:szCs w:val="22"/>
        </w:rPr>
        <w:t xml:space="preserve">                                                                                </w:t>
      </w:r>
      <w:r>
        <w:rPr>
          <w:i/>
          <w:sz w:val="22"/>
          <w:szCs w:val="22"/>
        </w:rPr>
        <w:t>Submitted: 10</w:t>
      </w:r>
      <w:r w:rsidRPr="003D0620">
        <w:rPr>
          <w:i/>
          <w:sz w:val="22"/>
          <w:szCs w:val="22"/>
        </w:rPr>
        <w:t>-</w:t>
      </w:r>
      <w:r>
        <w:rPr>
          <w:i/>
          <w:sz w:val="22"/>
          <w:szCs w:val="22"/>
        </w:rPr>
        <w:t>02-2018; Accepted: 03</w:t>
      </w:r>
      <w:r w:rsidRPr="003D0620">
        <w:rPr>
          <w:i/>
          <w:sz w:val="22"/>
          <w:szCs w:val="22"/>
        </w:rPr>
        <w:t>-0</w:t>
      </w:r>
      <w:r>
        <w:rPr>
          <w:i/>
          <w:sz w:val="22"/>
          <w:szCs w:val="22"/>
        </w:rPr>
        <w:t>4</w:t>
      </w:r>
      <w:r w:rsidRPr="003D0620">
        <w:rPr>
          <w:i/>
          <w:sz w:val="22"/>
          <w:szCs w:val="22"/>
        </w:rPr>
        <w:t>-201</w:t>
      </w:r>
      <w:r>
        <w:rPr>
          <w:i/>
          <w:sz w:val="22"/>
          <w:szCs w:val="22"/>
        </w:rPr>
        <w:t>8</w:t>
      </w:r>
    </w:p>
    <w:p w:rsidR="00275D2A" w:rsidRDefault="00275D2A" w:rsidP="008A2B8A">
      <w:pPr>
        <w:ind w:left="720"/>
      </w:pPr>
      <w:r w:rsidRPr="00B53F42">
        <w:rPr>
          <w:rStyle w:val="FootnoteReference"/>
          <w:b/>
          <w:sz w:val="22"/>
          <w:szCs w:val="22"/>
        </w:rPr>
        <w:t>*</w:t>
      </w:r>
      <w:r>
        <w:rPr>
          <w:b/>
          <w:sz w:val="22"/>
          <w:szCs w:val="22"/>
        </w:rPr>
        <w:t xml:space="preserve"> </w:t>
      </w:r>
      <w:r>
        <w:rPr>
          <w:b/>
          <w:lang w:val="hr-BA"/>
        </w:rPr>
        <w:t>D</w:t>
      </w:r>
      <w:r w:rsidRPr="0055314E">
        <w:rPr>
          <w:b/>
          <w:lang w:val="hr-BA"/>
        </w:rPr>
        <w:t xml:space="preserve">r.sc. Slavko Vukić, </w:t>
      </w:r>
      <w:r>
        <w:rPr>
          <w:b/>
          <w:lang w:val="hr-BA"/>
        </w:rPr>
        <w:t xml:space="preserve">vanredni profesor, </w:t>
      </w:r>
      <w:r w:rsidRPr="008E6FC9">
        <w:rPr>
          <w:lang w:val="hr-BA"/>
        </w:rPr>
        <w:t xml:space="preserve">Fakultet poslovne ekonomije, Sveučilište Vitez, </w:t>
      </w:r>
      <w:r>
        <w:rPr>
          <w:lang w:val="hr-BA"/>
        </w:rPr>
        <w:t xml:space="preserve">e-mail: </w:t>
      </w:r>
      <w:r w:rsidRPr="0055314E">
        <w:rPr>
          <w:i/>
          <w:lang w:val="hr-BA"/>
        </w:rPr>
        <w:t>slavkodr.vukic@tel.net.ba</w:t>
      </w:r>
    </w:p>
  </w:footnote>
  <w:footnote w:id="2">
    <w:p w:rsidR="00275D2A" w:rsidRDefault="00275D2A" w:rsidP="00045D09">
      <w:r>
        <w:rPr>
          <w:rStyle w:val="FootnoteReference"/>
          <w:sz w:val="18"/>
          <w:szCs w:val="18"/>
        </w:rPr>
        <w:footnoteRef/>
      </w:r>
      <w:r>
        <w:rPr>
          <w:sz w:val="18"/>
          <w:szCs w:val="18"/>
        </w:rPr>
        <w:t xml:space="preserve"> Jošić H. I M. Jošić, </w:t>
      </w:r>
      <w:r>
        <w:rPr>
          <w:i/>
          <w:sz w:val="18"/>
          <w:szCs w:val="18"/>
        </w:rPr>
        <w:t xml:space="preserve">Dvostruki deficit ili dvostruka divergencija u Hrvatskoj, </w:t>
      </w:r>
      <w:r>
        <w:rPr>
          <w:sz w:val="18"/>
          <w:szCs w:val="18"/>
        </w:rPr>
        <w:t xml:space="preserve">Zbornik Ekonomskog fakulteta u Zagrebu, Zagreb, 2011, str.3. i Jovanović N., </w:t>
      </w:r>
      <w:r>
        <w:rPr>
          <w:i/>
          <w:sz w:val="18"/>
          <w:szCs w:val="18"/>
        </w:rPr>
        <w:t>Dvostruki deficit problem ekonomije Srbije, “</w:t>
      </w:r>
      <w:r>
        <w:rPr>
          <w:sz w:val="18"/>
          <w:szCs w:val="18"/>
        </w:rPr>
        <w:t>Ekonomski horizonti”, 2015, Kragujevac, str. 110-111.</w:t>
      </w:r>
    </w:p>
  </w:footnote>
  <w:footnote w:id="3">
    <w:p w:rsidR="00275D2A" w:rsidRDefault="00275D2A" w:rsidP="00045D09">
      <w:pPr>
        <w:pStyle w:val="FootnoteText"/>
        <w:jc w:val="both"/>
      </w:pPr>
      <w:r>
        <w:rPr>
          <w:rStyle w:val="FootnoteReference"/>
          <w:sz w:val="18"/>
          <w:szCs w:val="18"/>
        </w:rPr>
        <w:footnoteRef/>
      </w:r>
      <w:r>
        <w:rPr>
          <w:sz w:val="18"/>
          <w:szCs w:val="18"/>
        </w:rPr>
        <w:t xml:space="preserve"> Ibid.</w:t>
      </w:r>
    </w:p>
  </w:footnote>
  <w:footnote w:id="4">
    <w:p w:rsidR="00275D2A" w:rsidRDefault="00275D2A" w:rsidP="00045D09">
      <w:pPr>
        <w:pStyle w:val="FootnoteText"/>
        <w:jc w:val="both"/>
      </w:pPr>
      <w:r>
        <w:rPr>
          <w:rStyle w:val="FootnoteReference"/>
          <w:sz w:val="18"/>
          <w:szCs w:val="18"/>
        </w:rPr>
        <w:footnoteRef/>
      </w:r>
      <w:r>
        <w:t xml:space="preserve"> Vedriš M. i N. Rančić, </w:t>
      </w:r>
      <w:r>
        <w:rPr>
          <w:i/>
        </w:rPr>
        <w:t xml:space="preserve">Dvostruki deficit u Hrvatskoj i njegove posljedice, </w:t>
      </w:r>
      <w:r>
        <w:t xml:space="preserve">Rifin, Zagreb, 2008.  </w:t>
      </w:r>
    </w:p>
  </w:footnote>
  <w:footnote w:id="5">
    <w:p w:rsidR="00275D2A" w:rsidRDefault="00275D2A" w:rsidP="00045D09">
      <w:pPr>
        <w:pStyle w:val="FootnoteText"/>
      </w:pPr>
      <w:r>
        <w:rPr>
          <w:rStyle w:val="FootnoteReference"/>
          <w:sz w:val="18"/>
          <w:szCs w:val="18"/>
        </w:rPr>
        <w:footnoteRef/>
      </w:r>
      <w:r>
        <w:rPr>
          <w:sz w:val="18"/>
          <w:szCs w:val="18"/>
        </w:rPr>
        <w:t xml:space="preserve"> Procjena program Ekonomskih reformi za 2016.-2019. </w:t>
      </w:r>
    </w:p>
  </w:footnote>
  <w:footnote w:id="6">
    <w:p w:rsidR="00275D2A" w:rsidRDefault="00275D2A" w:rsidP="00045D09">
      <w:pPr>
        <w:pStyle w:val="FootnoteText"/>
        <w:jc w:val="both"/>
      </w:pPr>
      <w:r>
        <w:rPr>
          <w:rStyle w:val="FootnoteReference"/>
          <w:sz w:val="18"/>
          <w:szCs w:val="18"/>
        </w:rPr>
        <w:footnoteRef/>
      </w:r>
      <w:r>
        <w:rPr>
          <w:sz w:val="18"/>
          <w:szCs w:val="18"/>
        </w:rPr>
        <w:t xml:space="preserve"> Temeljni uzrok visokih izdataka na kamate u Republici Srpskoj su visoka razina komercijalnih kredita za unutrašnji i vanjski dug, a nabavljenih po dosta lošijim uvjetima. Vlada Republike Srpske je u toku 2014. godine imala 3,6 puta više zaduženja u odnosu na Federaciju BiH, a dug tog entiteta temeljem obveznica je veći za 100 milijuna KM u odnosu na ostale entitete u Bi H.</w:t>
      </w:r>
    </w:p>
  </w:footnote>
  <w:footnote w:id="7">
    <w:p w:rsidR="00275D2A" w:rsidRDefault="00275D2A" w:rsidP="00045D09">
      <w:pPr>
        <w:shd w:val="clear" w:color="auto" w:fill="FFFFFF"/>
      </w:pPr>
      <w:r>
        <w:rPr>
          <w:rStyle w:val="FootnoteReference"/>
          <w:sz w:val="18"/>
          <w:szCs w:val="18"/>
        </w:rPr>
        <w:footnoteRef/>
      </w:r>
      <w:r>
        <w:rPr>
          <w:sz w:val="18"/>
          <w:szCs w:val="18"/>
        </w:rPr>
        <w:t xml:space="preserve"> Marković. B i B. Dunković, </w:t>
      </w:r>
      <w:r>
        <w:rPr>
          <w:i/>
          <w:sz w:val="18"/>
          <w:szCs w:val="18"/>
        </w:rPr>
        <w:t xml:space="preserve">Zaduživanje i financiranje lokalnog razvoja, </w:t>
      </w:r>
      <w:r>
        <w:rPr>
          <w:sz w:val="18"/>
          <w:szCs w:val="18"/>
        </w:rPr>
        <w:t>Ekonomski vjesnik,, UDK 336.132.352.073, Osijek, 2009, str.358.</w:t>
      </w:r>
    </w:p>
  </w:footnote>
  <w:footnote w:id="8">
    <w:p w:rsidR="00275D2A" w:rsidRDefault="00275D2A" w:rsidP="00045D09">
      <w:pPr>
        <w:pStyle w:val="FootnoteText"/>
      </w:pPr>
      <w:r>
        <w:rPr>
          <w:rStyle w:val="FootnoteReference"/>
        </w:rPr>
        <w:footnoteRef/>
      </w:r>
      <w:r>
        <w:t xml:space="preserve"> Kovačević. R, </w:t>
      </w:r>
      <w:r>
        <w:rPr>
          <w:i/>
        </w:rPr>
        <w:t xml:space="preserve">Međunarodne finansije, </w:t>
      </w:r>
      <w:r>
        <w:t>Beograd, Ekonomski fakultet, Beograd, 2010.</w:t>
      </w:r>
    </w:p>
  </w:footnote>
  <w:footnote w:id="9">
    <w:p w:rsidR="00275D2A" w:rsidRDefault="00275D2A" w:rsidP="00045D09">
      <w:pPr>
        <w:pStyle w:val="FootnoteText"/>
        <w:jc w:val="both"/>
      </w:pPr>
      <w:r>
        <w:rPr>
          <w:rStyle w:val="FootnoteReference"/>
          <w:sz w:val="18"/>
          <w:szCs w:val="18"/>
        </w:rPr>
        <w:footnoteRef/>
      </w:r>
      <w:r>
        <w:rPr>
          <w:sz w:val="18"/>
          <w:szCs w:val="18"/>
        </w:rPr>
        <w:t xml:space="preserve"> Alibašić H., Mahmutović, H., </w:t>
      </w:r>
      <w:r>
        <w:rPr>
          <w:i/>
          <w:sz w:val="18"/>
          <w:szCs w:val="18"/>
        </w:rPr>
        <w:t xml:space="preserve">Utjecaj kontinuiranog deficita na ekonomski rast Bosne i Hercegovine, </w:t>
      </w:r>
      <w:r>
        <w:rPr>
          <w:sz w:val="18"/>
          <w:szCs w:val="18"/>
        </w:rPr>
        <w:t>Zbornik radova, Ekonomski fakultet, Brčko, 2015, str. 81.</w:t>
      </w:r>
    </w:p>
  </w:footnote>
  <w:footnote w:id="10">
    <w:p w:rsidR="00275D2A" w:rsidRDefault="00275D2A" w:rsidP="00045D09">
      <w:pPr>
        <w:pStyle w:val="FootnoteText"/>
      </w:pPr>
      <w:r>
        <w:rPr>
          <w:rStyle w:val="FootnoteReference"/>
          <w:sz w:val="18"/>
          <w:szCs w:val="18"/>
        </w:rPr>
        <w:footnoteRef/>
      </w:r>
      <w:r>
        <w:rPr>
          <w:sz w:val="18"/>
          <w:szCs w:val="18"/>
        </w:rPr>
        <w:t xml:space="preserve"> Vukić S., </w:t>
      </w:r>
      <w:r>
        <w:rPr>
          <w:i/>
          <w:sz w:val="18"/>
          <w:szCs w:val="18"/>
        </w:rPr>
        <w:t xml:space="preserve">Javni dug u Bosni i Hercegovini, stanje, trendovi i perspektive, </w:t>
      </w:r>
      <w:r>
        <w:rPr>
          <w:sz w:val="18"/>
          <w:szCs w:val="18"/>
        </w:rPr>
        <w:t xml:space="preserve">Fircon doo, mostar, 2017.  str. </w:t>
      </w:r>
    </w:p>
  </w:footnote>
  <w:footnote w:id="11">
    <w:p w:rsidR="00275D2A" w:rsidRDefault="00275D2A" w:rsidP="00045D09">
      <w:pPr>
        <w:pStyle w:val="FootnoteText"/>
        <w:jc w:val="both"/>
      </w:pPr>
      <w:r>
        <w:rPr>
          <w:rStyle w:val="FootnoteReference"/>
          <w:i/>
          <w:sz w:val="18"/>
          <w:szCs w:val="18"/>
        </w:rPr>
        <w:footnoteRef/>
      </w:r>
      <w:r>
        <w:rPr>
          <w:sz w:val="18"/>
          <w:szCs w:val="18"/>
        </w:rPr>
        <w:t xml:space="preserve"> Ministarstvo financija i trezora BiH, </w:t>
      </w:r>
      <w:r>
        <w:rPr>
          <w:i/>
          <w:sz w:val="18"/>
          <w:szCs w:val="18"/>
        </w:rPr>
        <w:t xml:space="preserve">Stanje javne zaduženosti Bosne i Hercegovine na dan 31.12.2016. godine, </w:t>
      </w:r>
      <w:r>
        <w:rPr>
          <w:sz w:val="18"/>
          <w:szCs w:val="18"/>
        </w:rPr>
        <w:t>Sarajevo, 2017,  str. 27.</w:t>
      </w:r>
    </w:p>
  </w:footnote>
  <w:footnote w:id="12">
    <w:p w:rsidR="00275D2A" w:rsidRDefault="00275D2A" w:rsidP="00045D09">
      <w:pPr>
        <w:pStyle w:val="FootnoteText"/>
        <w:jc w:val="both"/>
      </w:pPr>
      <w:r>
        <w:rPr>
          <w:rStyle w:val="FootnoteReference"/>
          <w:sz w:val="18"/>
          <w:szCs w:val="18"/>
        </w:rPr>
        <w:footnoteRef/>
      </w:r>
      <w:r>
        <w:rPr>
          <w:sz w:val="18"/>
          <w:szCs w:val="18"/>
        </w:rPr>
        <w:t xml:space="preserve"> Y= C+I+G+X-Z, pri čemu je Y – bruto domaći proizvod, C - tekuća javna potrošnja,  I – investicijska potrošnja , G – proračunska  potrošnja, X – izvoz, Z – Uvoz,, a S = I + X – Z pri čemu je S - državna štednja.</w:t>
      </w:r>
    </w:p>
  </w:footnote>
  <w:footnote w:id="13">
    <w:p w:rsidR="00275D2A" w:rsidRDefault="00275D2A" w:rsidP="00045D09">
      <w:pPr>
        <w:pStyle w:val="FootnoteText"/>
        <w:jc w:val="both"/>
      </w:pPr>
      <w:r>
        <w:rPr>
          <w:rStyle w:val="FootnoteReference"/>
          <w:sz w:val="18"/>
          <w:szCs w:val="18"/>
        </w:rPr>
        <w:footnoteRef/>
      </w:r>
      <w:r>
        <w:rPr>
          <w:sz w:val="18"/>
          <w:szCs w:val="18"/>
        </w:rPr>
        <w:t xml:space="preserve"> Đorđević. D i S. Ignjatović, </w:t>
      </w:r>
      <w:r>
        <w:rPr>
          <w:i/>
          <w:sz w:val="18"/>
          <w:szCs w:val="18"/>
        </w:rPr>
        <w:t xml:space="preserve">Javne finansije – fiskalna ekonomije i menadžment javnog sektora, </w:t>
      </w:r>
      <w:r>
        <w:rPr>
          <w:sz w:val="18"/>
          <w:szCs w:val="18"/>
        </w:rPr>
        <w:t>P.A, Novi Sad, 2013, str. 33.</w:t>
      </w:r>
    </w:p>
  </w:footnote>
  <w:footnote w:id="14">
    <w:p w:rsidR="00275D2A" w:rsidRDefault="00275D2A" w:rsidP="00045D09">
      <w:pPr>
        <w:pStyle w:val="FootnoteText"/>
      </w:pPr>
      <w:r>
        <w:rPr>
          <w:rStyle w:val="FootnoteReference"/>
          <w:sz w:val="18"/>
          <w:szCs w:val="18"/>
        </w:rPr>
        <w:footnoteRef/>
      </w:r>
      <w:r>
        <w:rPr>
          <w:sz w:val="18"/>
          <w:szCs w:val="18"/>
        </w:rPr>
        <w:t xml:space="preserve"> DEP BIH, </w:t>
      </w:r>
      <w:r>
        <w:rPr>
          <w:i/>
          <w:sz w:val="18"/>
          <w:szCs w:val="18"/>
        </w:rPr>
        <w:t xml:space="preserve">Bosna i Hercegovina ekonomski trendovi za 2013. godinu, </w:t>
      </w:r>
      <w:r>
        <w:rPr>
          <w:sz w:val="18"/>
          <w:szCs w:val="18"/>
        </w:rPr>
        <w:t>Sarajevo, 2014. godine, str. 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D2A" w:rsidRDefault="00275D2A" w:rsidP="008B262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75D2A" w:rsidRDefault="00275D2A" w:rsidP="003A69CB">
    <w:pPr>
      <w:pStyle w:val="Header"/>
      <w:tabs>
        <w:tab w:val="clear" w:pos="8640"/>
        <w:tab w:val="right" w:pos="8646"/>
      </w:tabs>
      <w:ind w:right="360"/>
    </w:pPr>
    <w:r>
      <w:rPr>
        <w:lang w:val="sr-Cyrl-CS"/>
      </w:rPr>
      <w:t>[Tip teksta]</w:t>
    </w:r>
    <w:r>
      <w:tab/>
    </w:r>
    <w:r>
      <w:rPr>
        <w:lang w:val="sr-Cyrl-CS"/>
      </w:rPr>
      <w:t>[Tip teksta]</w:t>
    </w:r>
    <w:r>
      <w:tab/>
    </w:r>
    <w:r>
      <w:rPr>
        <w:lang w:val="sr-Cyrl-CS"/>
      </w:rPr>
      <w:t>[Tip teksta]</w:t>
    </w:r>
  </w:p>
  <w:p w:rsidR="00275D2A" w:rsidRDefault="00275D2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D2A" w:rsidRDefault="00275D2A" w:rsidP="008B262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rsidR="00275D2A" w:rsidRPr="00736D64" w:rsidRDefault="00275D2A" w:rsidP="00CC0B6B">
    <w:pPr>
      <w:pStyle w:val="Header"/>
      <w:ind w:right="360"/>
      <w:rPr>
        <w:sz w:val="18"/>
        <w:szCs w:val="18"/>
        <w:lang w:val="hr-HR"/>
      </w:rPr>
    </w:pPr>
    <w:r>
      <w:rPr>
        <w:sz w:val="18"/>
        <w:szCs w:val="18"/>
        <w:lang w:val="hr-HR"/>
      </w:rPr>
      <w:t>Slavko Vukić</w:t>
    </w:r>
    <w:r w:rsidRPr="00736D64">
      <w:rPr>
        <w:sz w:val="18"/>
        <w:szCs w:val="18"/>
        <w:lang w:val="hr-HR"/>
      </w:rPr>
      <w:t xml:space="preserve">: </w:t>
    </w:r>
    <w:r>
      <w:rPr>
        <w:sz w:val="18"/>
        <w:szCs w:val="18"/>
        <w:lang w:val="hr-HR"/>
      </w:rPr>
      <w:t xml:space="preserve">DVOSTRUKI DEFICIT  - FISKALNI EKONOMSKI PROBLEMI BOSNE I HERCEGOVINE, </w:t>
    </w:r>
    <w:r w:rsidRPr="00736D64">
      <w:rPr>
        <w:sz w:val="18"/>
        <w:szCs w:val="18"/>
        <w:lang w:val="hr-HR"/>
      </w:rPr>
      <w:t>„TRANSITION/TRANZICIJA“,  201</w:t>
    </w:r>
    <w:r>
      <w:rPr>
        <w:sz w:val="18"/>
        <w:szCs w:val="18"/>
        <w:lang w:val="hr-HR"/>
      </w:rPr>
      <w:t>8, Vol. X</w:t>
    </w:r>
    <w:r w:rsidRPr="00736D64">
      <w:rPr>
        <w:sz w:val="18"/>
        <w:szCs w:val="18"/>
        <w:lang w:val="hr-HR"/>
      </w:rPr>
      <w:t>X</w:t>
    </w:r>
    <w:r>
      <w:rPr>
        <w:sz w:val="18"/>
        <w:szCs w:val="18"/>
        <w:lang w:val="hr-HR"/>
      </w:rPr>
      <w:t>, No. 41</w:t>
    </w:r>
  </w:p>
  <w:p w:rsidR="00275D2A" w:rsidRDefault="00275D2A" w:rsidP="00CC0B6B">
    <w:pPr>
      <w:pStyle w:val="Header"/>
      <w:ind w:right="360"/>
    </w:pPr>
    <w:r>
      <w:rPr>
        <w:sz w:val="16"/>
        <w:szCs w:val="16"/>
        <w:lang w:val="hr-HR"/>
      </w:rPr>
      <w:t>______________________________________________________________________________________________________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233EE"/>
    <w:multiLevelType w:val="hybridMultilevel"/>
    <w:tmpl w:val="A5A41D00"/>
    <w:lvl w:ilvl="0" w:tplc="DC0C3FD4">
      <w:start w:val="1"/>
      <w:numFmt w:val="decimal"/>
      <w:lvlText w:val="%1."/>
      <w:lvlJc w:val="left"/>
      <w:pPr>
        <w:ind w:left="720" w:hanging="360"/>
      </w:pPr>
      <w:rPr>
        <w:rFonts w:cs="Times New Roman"/>
      </w:rPr>
    </w:lvl>
    <w:lvl w:ilvl="1" w:tplc="40CA0446" w:tentative="1">
      <w:start w:val="1"/>
      <w:numFmt w:val="lowerLetter"/>
      <w:lvlText w:val="%2."/>
      <w:lvlJc w:val="left"/>
      <w:pPr>
        <w:ind w:left="1440" w:hanging="360"/>
      </w:pPr>
      <w:rPr>
        <w:rFonts w:cs="Times New Roman"/>
      </w:rPr>
    </w:lvl>
    <w:lvl w:ilvl="2" w:tplc="5C7C6CB6" w:tentative="1">
      <w:start w:val="1"/>
      <w:numFmt w:val="lowerRoman"/>
      <w:lvlText w:val="%3."/>
      <w:lvlJc w:val="right"/>
      <w:pPr>
        <w:ind w:left="2160" w:hanging="180"/>
      </w:pPr>
      <w:rPr>
        <w:rFonts w:cs="Times New Roman"/>
      </w:rPr>
    </w:lvl>
    <w:lvl w:ilvl="3" w:tplc="0D8042D6" w:tentative="1">
      <w:start w:val="1"/>
      <w:numFmt w:val="decimal"/>
      <w:lvlText w:val="%4."/>
      <w:lvlJc w:val="left"/>
      <w:pPr>
        <w:ind w:left="2880" w:hanging="360"/>
      </w:pPr>
      <w:rPr>
        <w:rFonts w:cs="Times New Roman"/>
      </w:rPr>
    </w:lvl>
    <w:lvl w:ilvl="4" w:tplc="766A5D24" w:tentative="1">
      <w:start w:val="1"/>
      <w:numFmt w:val="lowerLetter"/>
      <w:lvlText w:val="%5."/>
      <w:lvlJc w:val="left"/>
      <w:pPr>
        <w:ind w:left="3600" w:hanging="360"/>
      </w:pPr>
      <w:rPr>
        <w:rFonts w:cs="Times New Roman"/>
      </w:rPr>
    </w:lvl>
    <w:lvl w:ilvl="5" w:tplc="9A8EC9FC" w:tentative="1">
      <w:start w:val="1"/>
      <w:numFmt w:val="lowerRoman"/>
      <w:lvlText w:val="%6."/>
      <w:lvlJc w:val="right"/>
      <w:pPr>
        <w:ind w:left="4320" w:hanging="180"/>
      </w:pPr>
      <w:rPr>
        <w:rFonts w:cs="Times New Roman"/>
      </w:rPr>
    </w:lvl>
    <w:lvl w:ilvl="6" w:tplc="4D9858BE" w:tentative="1">
      <w:start w:val="1"/>
      <w:numFmt w:val="decimal"/>
      <w:lvlText w:val="%7."/>
      <w:lvlJc w:val="left"/>
      <w:pPr>
        <w:ind w:left="5040" w:hanging="360"/>
      </w:pPr>
      <w:rPr>
        <w:rFonts w:cs="Times New Roman"/>
      </w:rPr>
    </w:lvl>
    <w:lvl w:ilvl="7" w:tplc="0E02BC12" w:tentative="1">
      <w:start w:val="1"/>
      <w:numFmt w:val="lowerLetter"/>
      <w:lvlText w:val="%8."/>
      <w:lvlJc w:val="left"/>
      <w:pPr>
        <w:ind w:left="5760" w:hanging="360"/>
      </w:pPr>
      <w:rPr>
        <w:rFonts w:cs="Times New Roman"/>
      </w:rPr>
    </w:lvl>
    <w:lvl w:ilvl="8" w:tplc="862A6DCE" w:tentative="1">
      <w:start w:val="1"/>
      <w:numFmt w:val="lowerRoman"/>
      <w:lvlText w:val="%9."/>
      <w:lvlJc w:val="right"/>
      <w:pPr>
        <w:ind w:left="6480" w:hanging="180"/>
      </w:pPr>
      <w:rPr>
        <w:rFonts w:cs="Times New Roman"/>
      </w:rPr>
    </w:lvl>
  </w:abstractNum>
  <w:abstractNum w:abstractNumId="1">
    <w:nsid w:val="050E1807"/>
    <w:multiLevelType w:val="hybridMultilevel"/>
    <w:tmpl w:val="31C471EC"/>
    <w:lvl w:ilvl="0" w:tplc="141A000F">
      <w:start w:val="1"/>
      <w:numFmt w:val="decimal"/>
      <w:lvlText w:val="%1."/>
      <w:lvlJc w:val="left"/>
      <w:pPr>
        <w:ind w:left="720" w:hanging="360"/>
      </w:pPr>
      <w:rPr>
        <w:rFonts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2">
    <w:nsid w:val="10565DCB"/>
    <w:multiLevelType w:val="multilevel"/>
    <w:tmpl w:val="F2FC630C"/>
    <w:lvl w:ilvl="0">
      <w:start w:val="1"/>
      <w:numFmt w:val="decimal"/>
      <w:lvlText w:val="%1.0"/>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
    <w:nsid w:val="1118004A"/>
    <w:multiLevelType w:val="hybridMultilevel"/>
    <w:tmpl w:val="7ECAB038"/>
    <w:lvl w:ilvl="0" w:tplc="141A000F">
      <w:start w:val="12"/>
      <w:numFmt w:val="decimal"/>
      <w:lvlText w:val="%1."/>
      <w:lvlJc w:val="left"/>
      <w:pPr>
        <w:ind w:left="720" w:hanging="360"/>
      </w:pPr>
      <w:rPr>
        <w:rFonts w:eastAsia="Times New Roman"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4">
    <w:nsid w:val="157D1328"/>
    <w:multiLevelType w:val="hybridMultilevel"/>
    <w:tmpl w:val="22FA1D0A"/>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5">
    <w:nsid w:val="1AF15530"/>
    <w:multiLevelType w:val="multilevel"/>
    <w:tmpl w:val="B5983330"/>
    <w:lvl w:ilvl="0">
      <w:start w:val="2"/>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6">
    <w:nsid w:val="21F43B9B"/>
    <w:multiLevelType w:val="hybridMultilevel"/>
    <w:tmpl w:val="68D07682"/>
    <w:lvl w:ilvl="0" w:tplc="7AD2492A">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1D56545"/>
    <w:multiLevelType w:val="hybridMultilevel"/>
    <w:tmpl w:val="31C471EC"/>
    <w:lvl w:ilvl="0" w:tplc="141A000F">
      <w:start w:val="1"/>
      <w:numFmt w:val="decimal"/>
      <w:lvlText w:val="%1."/>
      <w:lvlJc w:val="left"/>
      <w:pPr>
        <w:ind w:left="720" w:hanging="360"/>
      </w:pPr>
      <w:rPr>
        <w:rFonts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8">
    <w:nsid w:val="50CD03BB"/>
    <w:multiLevelType w:val="hybridMultilevel"/>
    <w:tmpl w:val="C62E62A0"/>
    <w:lvl w:ilvl="0" w:tplc="EF66DB04">
      <w:start w:val="3"/>
      <w:numFmt w:val="bullet"/>
      <w:lvlText w:val="-"/>
      <w:lvlJc w:val="left"/>
      <w:pPr>
        <w:ind w:left="720" w:hanging="360"/>
      </w:pPr>
      <w:rPr>
        <w:rFonts w:ascii="Times New Roman" w:eastAsia="Times New Roman" w:hAnsi="Times New Roman" w:hint="default"/>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hint="default"/>
      </w:rPr>
    </w:lvl>
    <w:lvl w:ilvl="8" w:tplc="041A0005">
      <w:start w:val="1"/>
      <w:numFmt w:val="bullet"/>
      <w:lvlText w:val=""/>
      <w:lvlJc w:val="left"/>
      <w:pPr>
        <w:ind w:left="6480" w:hanging="360"/>
      </w:pPr>
      <w:rPr>
        <w:rFonts w:ascii="Wingdings" w:hAnsi="Wingdings" w:hint="default"/>
      </w:rPr>
    </w:lvl>
  </w:abstractNum>
  <w:abstractNum w:abstractNumId="9">
    <w:nsid w:val="58C37DE5"/>
    <w:multiLevelType w:val="hybridMultilevel"/>
    <w:tmpl w:val="BA887196"/>
    <w:lvl w:ilvl="0" w:tplc="1A78E3B4">
      <w:start w:val="1"/>
      <w:numFmt w:val="decimal"/>
      <w:lvlText w:val="%1."/>
      <w:lvlJc w:val="left"/>
      <w:pPr>
        <w:ind w:left="720" w:hanging="360"/>
      </w:pPr>
      <w:rPr>
        <w:rFonts w:cs="Times New Roman"/>
      </w:rPr>
    </w:lvl>
    <w:lvl w:ilvl="1" w:tplc="36D84882" w:tentative="1">
      <w:start w:val="1"/>
      <w:numFmt w:val="lowerLetter"/>
      <w:lvlText w:val="%2."/>
      <w:lvlJc w:val="left"/>
      <w:pPr>
        <w:ind w:left="1440" w:hanging="360"/>
      </w:pPr>
      <w:rPr>
        <w:rFonts w:cs="Times New Roman"/>
      </w:rPr>
    </w:lvl>
    <w:lvl w:ilvl="2" w:tplc="01F20560" w:tentative="1">
      <w:start w:val="1"/>
      <w:numFmt w:val="lowerRoman"/>
      <w:lvlText w:val="%3."/>
      <w:lvlJc w:val="right"/>
      <w:pPr>
        <w:ind w:left="2160" w:hanging="180"/>
      </w:pPr>
      <w:rPr>
        <w:rFonts w:cs="Times New Roman"/>
      </w:rPr>
    </w:lvl>
    <w:lvl w:ilvl="3" w:tplc="7CCAF19C" w:tentative="1">
      <w:start w:val="1"/>
      <w:numFmt w:val="decimal"/>
      <w:lvlText w:val="%4."/>
      <w:lvlJc w:val="left"/>
      <w:pPr>
        <w:ind w:left="2880" w:hanging="360"/>
      </w:pPr>
      <w:rPr>
        <w:rFonts w:cs="Times New Roman"/>
      </w:rPr>
    </w:lvl>
    <w:lvl w:ilvl="4" w:tplc="6C8CCF02" w:tentative="1">
      <w:start w:val="1"/>
      <w:numFmt w:val="lowerLetter"/>
      <w:lvlText w:val="%5."/>
      <w:lvlJc w:val="left"/>
      <w:pPr>
        <w:ind w:left="3600" w:hanging="360"/>
      </w:pPr>
      <w:rPr>
        <w:rFonts w:cs="Times New Roman"/>
      </w:rPr>
    </w:lvl>
    <w:lvl w:ilvl="5" w:tplc="169470D6" w:tentative="1">
      <w:start w:val="1"/>
      <w:numFmt w:val="lowerRoman"/>
      <w:lvlText w:val="%6."/>
      <w:lvlJc w:val="right"/>
      <w:pPr>
        <w:ind w:left="4320" w:hanging="180"/>
      </w:pPr>
      <w:rPr>
        <w:rFonts w:cs="Times New Roman"/>
      </w:rPr>
    </w:lvl>
    <w:lvl w:ilvl="6" w:tplc="51FECC86" w:tentative="1">
      <w:start w:val="1"/>
      <w:numFmt w:val="decimal"/>
      <w:lvlText w:val="%7."/>
      <w:lvlJc w:val="left"/>
      <w:pPr>
        <w:ind w:left="5040" w:hanging="360"/>
      </w:pPr>
      <w:rPr>
        <w:rFonts w:cs="Times New Roman"/>
      </w:rPr>
    </w:lvl>
    <w:lvl w:ilvl="7" w:tplc="BFEE9A20" w:tentative="1">
      <w:start w:val="1"/>
      <w:numFmt w:val="lowerLetter"/>
      <w:lvlText w:val="%8."/>
      <w:lvlJc w:val="left"/>
      <w:pPr>
        <w:ind w:left="5760" w:hanging="360"/>
      </w:pPr>
      <w:rPr>
        <w:rFonts w:cs="Times New Roman"/>
      </w:rPr>
    </w:lvl>
    <w:lvl w:ilvl="8" w:tplc="6392734E" w:tentative="1">
      <w:start w:val="1"/>
      <w:numFmt w:val="lowerRoman"/>
      <w:lvlText w:val="%9."/>
      <w:lvlJc w:val="right"/>
      <w:pPr>
        <w:ind w:left="6480" w:hanging="180"/>
      </w:pPr>
      <w:rPr>
        <w:rFonts w:cs="Times New Roman"/>
      </w:rPr>
    </w:lvl>
  </w:abstractNum>
  <w:abstractNum w:abstractNumId="10">
    <w:nsid w:val="5C5A2216"/>
    <w:multiLevelType w:val="hybridMultilevel"/>
    <w:tmpl w:val="089CA738"/>
    <w:lvl w:ilvl="0" w:tplc="595EF12E">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DAA0014"/>
    <w:multiLevelType w:val="multilevel"/>
    <w:tmpl w:val="AD725CCA"/>
    <w:lvl w:ilvl="0">
      <w:start w:val="1"/>
      <w:numFmt w:val="decimal"/>
      <w:lvlText w:val="%1."/>
      <w:lvlJc w:val="left"/>
      <w:pPr>
        <w:ind w:left="1065" w:hanging="705"/>
      </w:pPr>
      <w:rPr>
        <w:rFonts w:cs="Times New Roman"/>
        <w:color w:val="auto"/>
      </w:rPr>
    </w:lvl>
    <w:lvl w:ilvl="1">
      <w:start w:val="2"/>
      <w:numFmt w:val="decimal"/>
      <w:isLgl/>
      <w:lvlText w:val="%1.%2."/>
      <w:lvlJc w:val="left"/>
      <w:pPr>
        <w:ind w:left="840" w:hanging="48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2">
    <w:nsid w:val="68682007"/>
    <w:multiLevelType w:val="hybridMultilevel"/>
    <w:tmpl w:val="73088CF0"/>
    <w:lvl w:ilvl="0" w:tplc="3578A4EA">
      <w:start w:val="1"/>
      <w:numFmt w:val="decimal"/>
      <w:lvlText w:val="%1."/>
      <w:lvlJc w:val="left"/>
      <w:pPr>
        <w:ind w:left="720" w:hanging="360"/>
      </w:pPr>
      <w:rPr>
        <w:rFonts w:ascii="Times New Roman" w:eastAsia="Times New Roman" w:hAnsi="Times New Roman" w:cs="Times New Roman"/>
        <w:b w:val="0"/>
        <w:sz w:val="18"/>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13">
    <w:nsid w:val="788B49A2"/>
    <w:multiLevelType w:val="hybridMultilevel"/>
    <w:tmpl w:val="AE7C5A92"/>
    <w:lvl w:ilvl="0" w:tplc="EA02F85C">
      <w:start w:val="1"/>
      <w:numFmt w:val="decimal"/>
      <w:lvlText w:val="%1."/>
      <w:lvlJc w:val="left"/>
      <w:pPr>
        <w:ind w:left="720" w:hanging="360"/>
      </w:pPr>
      <w:rPr>
        <w:rFonts w:cs="Times New Roman" w:hint="default"/>
        <w:b/>
        <w:i w:val="0"/>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14">
    <w:nsid w:val="7E4D1612"/>
    <w:multiLevelType w:val="hybridMultilevel"/>
    <w:tmpl w:val="B44C37BE"/>
    <w:lvl w:ilvl="0" w:tplc="141A000F">
      <w:start w:val="1"/>
      <w:numFmt w:val="decimal"/>
      <w:lvlText w:val="%1."/>
      <w:lvlJc w:val="left"/>
      <w:pPr>
        <w:ind w:left="720" w:hanging="360"/>
      </w:pPr>
      <w:rPr>
        <w:rFonts w:eastAsia="Times New Roman"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num w:numId="1">
    <w:abstractNumId w:val="0"/>
  </w:num>
  <w:num w:numId="2">
    <w:abstractNumId w:val="9"/>
  </w:num>
  <w:num w:numId="3">
    <w:abstractNumId w:val="9"/>
  </w:num>
  <w:num w:numId="4">
    <w:abstractNumId w:val="2"/>
  </w:num>
  <w:num w:numId="5">
    <w:abstractNumId w:val="14"/>
  </w:num>
  <w:num w:numId="6">
    <w:abstractNumId w:val="3"/>
  </w:num>
  <w:num w:numId="7">
    <w:abstractNumId w:val="5"/>
  </w:num>
  <w:num w:numId="8">
    <w:abstractNumId w:val="6"/>
  </w:num>
  <w:num w:numId="9">
    <w:abstractNumId w:val="10"/>
  </w:num>
  <w:num w:numId="10">
    <w:abstractNumId w:val="1"/>
  </w:num>
  <w:num w:numId="11">
    <w:abstractNumId w:val="7"/>
  </w:num>
  <w:num w:numId="1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4"/>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231E"/>
    <w:rsid w:val="00005040"/>
    <w:rsid w:val="00006D19"/>
    <w:rsid w:val="00017415"/>
    <w:rsid w:val="000177FD"/>
    <w:rsid w:val="00024918"/>
    <w:rsid w:val="0003098F"/>
    <w:rsid w:val="00034090"/>
    <w:rsid w:val="00045D09"/>
    <w:rsid w:val="00065702"/>
    <w:rsid w:val="000740DF"/>
    <w:rsid w:val="00087AAF"/>
    <w:rsid w:val="0009154C"/>
    <w:rsid w:val="00095750"/>
    <w:rsid w:val="000D5D7C"/>
    <w:rsid w:val="000E0D53"/>
    <w:rsid w:val="000F0A75"/>
    <w:rsid w:val="000F28FD"/>
    <w:rsid w:val="000F7BB1"/>
    <w:rsid w:val="00101117"/>
    <w:rsid w:val="00102BC8"/>
    <w:rsid w:val="00106CC7"/>
    <w:rsid w:val="00107A85"/>
    <w:rsid w:val="001154EE"/>
    <w:rsid w:val="001158A4"/>
    <w:rsid w:val="00122C71"/>
    <w:rsid w:val="00135F40"/>
    <w:rsid w:val="00143E4D"/>
    <w:rsid w:val="00152A0A"/>
    <w:rsid w:val="00155E30"/>
    <w:rsid w:val="00163B34"/>
    <w:rsid w:val="001653EA"/>
    <w:rsid w:val="0016647B"/>
    <w:rsid w:val="001703AC"/>
    <w:rsid w:val="00170A47"/>
    <w:rsid w:val="00172985"/>
    <w:rsid w:val="001872D2"/>
    <w:rsid w:val="00191840"/>
    <w:rsid w:val="0019677B"/>
    <w:rsid w:val="001A04D5"/>
    <w:rsid w:val="001A2966"/>
    <w:rsid w:val="001B0BFB"/>
    <w:rsid w:val="001B383D"/>
    <w:rsid w:val="001C562A"/>
    <w:rsid w:val="001D2F5E"/>
    <w:rsid w:val="001E00CF"/>
    <w:rsid w:val="001E32DC"/>
    <w:rsid w:val="002223FF"/>
    <w:rsid w:val="00224F4B"/>
    <w:rsid w:val="0023309B"/>
    <w:rsid w:val="00241240"/>
    <w:rsid w:val="00243A5B"/>
    <w:rsid w:val="00246B53"/>
    <w:rsid w:val="00246D56"/>
    <w:rsid w:val="00250ED2"/>
    <w:rsid w:val="00261DDA"/>
    <w:rsid w:val="0026510A"/>
    <w:rsid w:val="00267AD3"/>
    <w:rsid w:val="00272307"/>
    <w:rsid w:val="00275D2A"/>
    <w:rsid w:val="00277681"/>
    <w:rsid w:val="002815D3"/>
    <w:rsid w:val="002844E1"/>
    <w:rsid w:val="0028562E"/>
    <w:rsid w:val="00294CBC"/>
    <w:rsid w:val="002962D2"/>
    <w:rsid w:val="002A0B82"/>
    <w:rsid w:val="002B105D"/>
    <w:rsid w:val="002C2A0F"/>
    <w:rsid w:val="002E5E01"/>
    <w:rsid w:val="00301183"/>
    <w:rsid w:val="00301969"/>
    <w:rsid w:val="00314BEF"/>
    <w:rsid w:val="00320BCB"/>
    <w:rsid w:val="00321752"/>
    <w:rsid w:val="00322ED3"/>
    <w:rsid w:val="00326CFA"/>
    <w:rsid w:val="0034089C"/>
    <w:rsid w:val="003459BC"/>
    <w:rsid w:val="00350D5A"/>
    <w:rsid w:val="00363034"/>
    <w:rsid w:val="00370FE1"/>
    <w:rsid w:val="00371515"/>
    <w:rsid w:val="00373F21"/>
    <w:rsid w:val="00381B59"/>
    <w:rsid w:val="00386178"/>
    <w:rsid w:val="003A3685"/>
    <w:rsid w:val="003A69CB"/>
    <w:rsid w:val="003A7962"/>
    <w:rsid w:val="003B46C0"/>
    <w:rsid w:val="003B6218"/>
    <w:rsid w:val="003D0620"/>
    <w:rsid w:val="003D2629"/>
    <w:rsid w:val="003E0BC9"/>
    <w:rsid w:val="003E1192"/>
    <w:rsid w:val="003E3B8A"/>
    <w:rsid w:val="003F7029"/>
    <w:rsid w:val="00400F6A"/>
    <w:rsid w:val="00427C29"/>
    <w:rsid w:val="00430955"/>
    <w:rsid w:val="00451C87"/>
    <w:rsid w:val="004553C1"/>
    <w:rsid w:val="004560BB"/>
    <w:rsid w:val="0045798B"/>
    <w:rsid w:val="004744FD"/>
    <w:rsid w:val="00475139"/>
    <w:rsid w:val="0048382D"/>
    <w:rsid w:val="004956C5"/>
    <w:rsid w:val="004A6511"/>
    <w:rsid w:val="004A6B6A"/>
    <w:rsid w:val="004D1E5D"/>
    <w:rsid w:val="004D334D"/>
    <w:rsid w:val="004D5178"/>
    <w:rsid w:val="004D707D"/>
    <w:rsid w:val="004F6DBB"/>
    <w:rsid w:val="00510FF3"/>
    <w:rsid w:val="00520B39"/>
    <w:rsid w:val="005315AB"/>
    <w:rsid w:val="00537797"/>
    <w:rsid w:val="005441C4"/>
    <w:rsid w:val="00547EF1"/>
    <w:rsid w:val="0055314E"/>
    <w:rsid w:val="0055799A"/>
    <w:rsid w:val="005836E1"/>
    <w:rsid w:val="005A3295"/>
    <w:rsid w:val="005A66D5"/>
    <w:rsid w:val="005C0A8A"/>
    <w:rsid w:val="005D01DA"/>
    <w:rsid w:val="005D236A"/>
    <w:rsid w:val="005D329E"/>
    <w:rsid w:val="005E35C0"/>
    <w:rsid w:val="005F24A5"/>
    <w:rsid w:val="006139FB"/>
    <w:rsid w:val="00625640"/>
    <w:rsid w:val="0063040A"/>
    <w:rsid w:val="006369D2"/>
    <w:rsid w:val="00644BA4"/>
    <w:rsid w:val="00647B13"/>
    <w:rsid w:val="00655178"/>
    <w:rsid w:val="006557D8"/>
    <w:rsid w:val="0067290A"/>
    <w:rsid w:val="006735AC"/>
    <w:rsid w:val="006809C1"/>
    <w:rsid w:val="00687D90"/>
    <w:rsid w:val="00694010"/>
    <w:rsid w:val="006A0F21"/>
    <w:rsid w:val="006A689F"/>
    <w:rsid w:val="006B3E95"/>
    <w:rsid w:val="006D797B"/>
    <w:rsid w:val="006E68B3"/>
    <w:rsid w:val="006E79C8"/>
    <w:rsid w:val="006E7C83"/>
    <w:rsid w:val="00703769"/>
    <w:rsid w:val="00705F2F"/>
    <w:rsid w:val="00732F73"/>
    <w:rsid w:val="00736D64"/>
    <w:rsid w:val="0074164D"/>
    <w:rsid w:val="007509C7"/>
    <w:rsid w:val="007739CC"/>
    <w:rsid w:val="00775A75"/>
    <w:rsid w:val="00787665"/>
    <w:rsid w:val="0079481A"/>
    <w:rsid w:val="00796CEF"/>
    <w:rsid w:val="007A04DD"/>
    <w:rsid w:val="007A3EFC"/>
    <w:rsid w:val="007A7198"/>
    <w:rsid w:val="007A79A5"/>
    <w:rsid w:val="007D7C29"/>
    <w:rsid w:val="007E6C67"/>
    <w:rsid w:val="007F4074"/>
    <w:rsid w:val="007F449C"/>
    <w:rsid w:val="007F4EE3"/>
    <w:rsid w:val="00804BA9"/>
    <w:rsid w:val="0083709C"/>
    <w:rsid w:val="0084264E"/>
    <w:rsid w:val="00843D1E"/>
    <w:rsid w:val="008663F3"/>
    <w:rsid w:val="008734B5"/>
    <w:rsid w:val="0088076D"/>
    <w:rsid w:val="00886FDA"/>
    <w:rsid w:val="008A2B8A"/>
    <w:rsid w:val="008A3B9A"/>
    <w:rsid w:val="008A518F"/>
    <w:rsid w:val="008B2625"/>
    <w:rsid w:val="008B3196"/>
    <w:rsid w:val="008B4EC6"/>
    <w:rsid w:val="008B7B75"/>
    <w:rsid w:val="008C7EF3"/>
    <w:rsid w:val="008E5F6A"/>
    <w:rsid w:val="008E678F"/>
    <w:rsid w:val="008E6FC9"/>
    <w:rsid w:val="008F126B"/>
    <w:rsid w:val="00905873"/>
    <w:rsid w:val="00923202"/>
    <w:rsid w:val="0092447D"/>
    <w:rsid w:val="0094511E"/>
    <w:rsid w:val="00963A44"/>
    <w:rsid w:val="0096748B"/>
    <w:rsid w:val="009910BE"/>
    <w:rsid w:val="009A14AE"/>
    <w:rsid w:val="009B0F67"/>
    <w:rsid w:val="009B18A4"/>
    <w:rsid w:val="009B443B"/>
    <w:rsid w:val="009C0ED5"/>
    <w:rsid w:val="009E7DD5"/>
    <w:rsid w:val="00A346C6"/>
    <w:rsid w:val="00A47DB2"/>
    <w:rsid w:val="00A5168D"/>
    <w:rsid w:val="00A5560D"/>
    <w:rsid w:val="00A55DED"/>
    <w:rsid w:val="00A60DAC"/>
    <w:rsid w:val="00A71D82"/>
    <w:rsid w:val="00A732CB"/>
    <w:rsid w:val="00A91470"/>
    <w:rsid w:val="00AA322D"/>
    <w:rsid w:val="00AB3C48"/>
    <w:rsid w:val="00AB6B4A"/>
    <w:rsid w:val="00AC2355"/>
    <w:rsid w:val="00AC323C"/>
    <w:rsid w:val="00AC4683"/>
    <w:rsid w:val="00AC4C47"/>
    <w:rsid w:val="00AD1B65"/>
    <w:rsid w:val="00AE0170"/>
    <w:rsid w:val="00AE7EE3"/>
    <w:rsid w:val="00AF14AD"/>
    <w:rsid w:val="00AF50F6"/>
    <w:rsid w:val="00B2529C"/>
    <w:rsid w:val="00B31EE0"/>
    <w:rsid w:val="00B32AB3"/>
    <w:rsid w:val="00B45292"/>
    <w:rsid w:val="00B46E8E"/>
    <w:rsid w:val="00B53F42"/>
    <w:rsid w:val="00B5471D"/>
    <w:rsid w:val="00B656D6"/>
    <w:rsid w:val="00B65CFE"/>
    <w:rsid w:val="00B730DD"/>
    <w:rsid w:val="00B75789"/>
    <w:rsid w:val="00B8023E"/>
    <w:rsid w:val="00B82C22"/>
    <w:rsid w:val="00B85EFA"/>
    <w:rsid w:val="00BA5DC1"/>
    <w:rsid w:val="00BB1875"/>
    <w:rsid w:val="00BC0214"/>
    <w:rsid w:val="00BC4477"/>
    <w:rsid w:val="00BC7217"/>
    <w:rsid w:val="00BE3E3D"/>
    <w:rsid w:val="00BE7E04"/>
    <w:rsid w:val="00C00EFF"/>
    <w:rsid w:val="00C016E9"/>
    <w:rsid w:val="00C078DE"/>
    <w:rsid w:val="00C21AF9"/>
    <w:rsid w:val="00C316FD"/>
    <w:rsid w:val="00C3763D"/>
    <w:rsid w:val="00C53457"/>
    <w:rsid w:val="00C5661A"/>
    <w:rsid w:val="00C6633F"/>
    <w:rsid w:val="00C90135"/>
    <w:rsid w:val="00C93474"/>
    <w:rsid w:val="00CB7248"/>
    <w:rsid w:val="00CC0169"/>
    <w:rsid w:val="00CC0313"/>
    <w:rsid w:val="00CC0B6B"/>
    <w:rsid w:val="00CC6A2E"/>
    <w:rsid w:val="00CD57C2"/>
    <w:rsid w:val="00CD5909"/>
    <w:rsid w:val="00CD5DCB"/>
    <w:rsid w:val="00CD6F9C"/>
    <w:rsid w:val="00CE4788"/>
    <w:rsid w:val="00D01040"/>
    <w:rsid w:val="00D3231E"/>
    <w:rsid w:val="00D36B2E"/>
    <w:rsid w:val="00D5245D"/>
    <w:rsid w:val="00D5778A"/>
    <w:rsid w:val="00D778A3"/>
    <w:rsid w:val="00D85BE4"/>
    <w:rsid w:val="00D91956"/>
    <w:rsid w:val="00D977A1"/>
    <w:rsid w:val="00DA0E8D"/>
    <w:rsid w:val="00DA101E"/>
    <w:rsid w:val="00DA5B93"/>
    <w:rsid w:val="00DA635F"/>
    <w:rsid w:val="00DB5700"/>
    <w:rsid w:val="00DC0189"/>
    <w:rsid w:val="00DC51DD"/>
    <w:rsid w:val="00DD47B0"/>
    <w:rsid w:val="00DD6216"/>
    <w:rsid w:val="00DF27D4"/>
    <w:rsid w:val="00E05ED5"/>
    <w:rsid w:val="00E2479B"/>
    <w:rsid w:val="00E248F4"/>
    <w:rsid w:val="00E41C65"/>
    <w:rsid w:val="00E43CC3"/>
    <w:rsid w:val="00E445C2"/>
    <w:rsid w:val="00E47316"/>
    <w:rsid w:val="00E625A8"/>
    <w:rsid w:val="00E64819"/>
    <w:rsid w:val="00E704A1"/>
    <w:rsid w:val="00E709EC"/>
    <w:rsid w:val="00E866CA"/>
    <w:rsid w:val="00E90F14"/>
    <w:rsid w:val="00E952C2"/>
    <w:rsid w:val="00EC05B0"/>
    <w:rsid w:val="00EC0F7B"/>
    <w:rsid w:val="00EC1921"/>
    <w:rsid w:val="00EC3DD1"/>
    <w:rsid w:val="00EC5E2F"/>
    <w:rsid w:val="00EE3017"/>
    <w:rsid w:val="00EE5F56"/>
    <w:rsid w:val="00EF4F79"/>
    <w:rsid w:val="00EF71D7"/>
    <w:rsid w:val="00F116F4"/>
    <w:rsid w:val="00F164AE"/>
    <w:rsid w:val="00F16B26"/>
    <w:rsid w:val="00F176C2"/>
    <w:rsid w:val="00F428FB"/>
    <w:rsid w:val="00F439F9"/>
    <w:rsid w:val="00F5082C"/>
    <w:rsid w:val="00F60C59"/>
    <w:rsid w:val="00F62BEE"/>
    <w:rsid w:val="00F71316"/>
    <w:rsid w:val="00F75B01"/>
    <w:rsid w:val="00F84344"/>
    <w:rsid w:val="00F9552F"/>
    <w:rsid w:val="00FA0282"/>
    <w:rsid w:val="00FA4CB2"/>
    <w:rsid w:val="00FB427A"/>
    <w:rsid w:val="00FB451C"/>
    <w:rsid w:val="00FC2D5C"/>
    <w:rsid w:val="00FD0C5E"/>
    <w:rsid w:val="00FD24B8"/>
  </w:rsids>
  <m:mathPr>
    <m:mathFont m:val="Cambria Math"/>
    <m:brkBin m:val="before"/>
    <m:brkBinSub m:val="--"/>
    <m:smallFrac m:val="off"/>
    <m:dispDef/>
    <m:lMargin m:val="0"/>
    <m:rMargin m:val="0"/>
    <m:defJc m:val="centerGroup"/>
    <m:wrapIndent m:val="1440"/>
    <m:intLim m:val="subSup"/>
    <m:naryLim m:val="undOvr"/>
  </m:mathPr>
  <w:uiCompat97To2003/>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sz w:val="22"/>
        <w:szCs w:val="22"/>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Body Text 3"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240"/>
      <w:jc w:val="both"/>
    </w:pPr>
    <w:rPr>
      <w:rFonts w:ascii="Times New Roman" w:hAnsi="Times New Roman"/>
      <w:sz w:val="24"/>
      <w:szCs w:val="24"/>
      <w:lang w:val="en-GB" w:eastAsia="en-US"/>
    </w:rPr>
  </w:style>
  <w:style w:type="paragraph" w:styleId="Heading1">
    <w:name w:val="heading 1"/>
    <w:basedOn w:val="Normal"/>
    <w:next w:val="Normal"/>
    <w:link w:val="Heading1Char"/>
    <w:uiPriority w:val="99"/>
    <w:qFormat/>
    <w:pPr>
      <w:keepNext/>
      <w:keepLines/>
      <w:spacing w:before="480" w:after="240"/>
      <w:ind w:left="360" w:hanging="360"/>
      <w:jc w:val="left"/>
      <w:outlineLvl w:val="0"/>
    </w:pPr>
    <w:rPr>
      <w:rFonts w:ascii="Cambria" w:hAnsi="Cambria"/>
      <w:b/>
      <w:bCs/>
      <w:lang w:val="en-US"/>
    </w:rPr>
  </w:style>
  <w:style w:type="paragraph" w:styleId="Heading2">
    <w:name w:val="heading 2"/>
    <w:basedOn w:val="Normal"/>
    <w:next w:val="Normal"/>
    <w:link w:val="Heading2Char"/>
    <w:autoRedefine/>
    <w:uiPriority w:val="99"/>
    <w:qFormat/>
    <w:rsid w:val="00B46E8E"/>
    <w:pPr>
      <w:keepNext/>
      <w:keepLines/>
      <w:spacing w:before="200"/>
      <w:ind w:left="360"/>
      <w:jc w:val="right"/>
      <w:outlineLvl w:val="1"/>
    </w:pPr>
    <w:rPr>
      <w:bCs/>
      <w:i/>
      <w:szCs w:val="26"/>
    </w:rPr>
  </w:style>
  <w:style w:type="paragraph" w:styleId="Heading8">
    <w:name w:val="heading 8"/>
    <w:basedOn w:val="Normal"/>
    <w:next w:val="Normal"/>
    <w:link w:val="Heading8Char"/>
    <w:uiPriority w:val="99"/>
    <w:qFormat/>
    <w:rsid w:val="00F9552F"/>
    <w:pPr>
      <w:spacing w:after="60"/>
      <w:jc w:val="left"/>
      <w:outlineLvl w:val="7"/>
    </w:pPr>
    <w:rPr>
      <w:i/>
      <w:iCs/>
      <w:lang w:val="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eastAsia="Times New Roman" w:cs="Times New Roman"/>
      <w:b/>
      <w:bCs/>
    </w:rPr>
  </w:style>
  <w:style w:type="character" w:customStyle="1" w:styleId="Heading2Char">
    <w:name w:val="Heading 2 Char"/>
    <w:basedOn w:val="DefaultParagraphFont"/>
    <w:link w:val="Heading2"/>
    <w:uiPriority w:val="99"/>
    <w:locked/>
    <w:rsid w:val="00B46E8E"/>
    <w:rPr>
      <w:rFonts w:ascii="Times New Roman" w:hAnsi="Times New Roman" w:cs="Times New Roman"/>
      <w:bCs/>
      <w:i/>
      <w:sz w:val="26"/>
      <w:szCs w:val="26"/>
      <w:lang w:val="en-GB"/>
    </w:rPr>
  </w:style>
  <w:style w:type="character" w:customStyle="1" w:styleId="Heading8Char">
    <w:name w:val="Heading 8 Char"/>
    <w:basedOn w:val="DefaultParagraphFont"/>
    <w:link w:val="Heading8"/>
    <w:uiPriority w:val="99"/>
    <w:semiHidden/>
    <w:locked/>
    <w:rsid w:val="00F9552F"/>
    <w:rPr>
      <w:rFonts w:ascii="Times New Roman" w:hAnsi="Times New Roman" w:cs="Times New Roman"/>
      <w:i/>
      <w:iCs/>
    </w:rPr>
  </w:style>
  <w:style w:type="paragraph" w:customStyle="1" w:styleId="Paragraph">
    <w:name w:val="Paragraph"/>
    <w:basedOn w:val="Normal"/>
    <w:next w:val="Normal"/>
    <w:uiPriority w:val="99"/>
    <w:rPr>
      <w:lang w:val="en-US"/>
    </w:rPr>
  </w:style>
  <w:style w:type="paragraph" w:customStyle="1" w:styleId="IndentedQuote">
    <w:name w:val="Indented Quote"/>
    <w:basedOn w:val="Normal"/>
    <w:uiPriority w:val="99"/>
    <w:pPr>
      <w:widowControl w:val="0"/>
      <w:autoSpaceDE w:val="0"/>
      <w:autoSpaceDN w:val="0"/>
      <w:adjustRightInd w:val="0"/>
      <w:ind w:left="720"/>
      <w:jc w:val="left"/>
    </w:pPr>
    <w:rPr>
      <w:lang w:val="en-US"/>
    </w:rPr>
  </w:style>
  <w:style w:type="paragraph" w:styleId="ListParagraph">
    <w:name w:val="List Paragraph"/>
    <w:basedOn w:val="Normal"/>
    <w:uiPriority w:val="99"/>
    <w:qFormat/>
    <w:pPr>
      <w:ind w:left="720"/>
      <w:contextualSpacing/>
      <w:jc w:val="left"/>
    </w:pPr>
    <w:rPr>
      <w:lang w:val="en-US"/>
    </w:rPr>
  </w:style>
  <w:style w:type="paragraph" w:styleId="Quote">
    <w:name w:val="Quote"/>
    <w:basedOn w:val="Normal"/>
    <w:next w:val="Normal"/>
    <w:link w:val="QuoteChar"/>
    <w:autoRedefine/>
    <w:uiPriority w:val="99"/>
    <w:qFormat/>
    <w:rsid w:val="007A3EFC"/>
    <w:pPr>
      <w:ind w:left="720"/>
    </w:pPr>
    <w:rPr>
      <w:iCs/>
      <w:color w:val="000000"/>
      <w:sz w:val="22"/>
      <w:lang w:val="en-US"/>
    </w:rPr>
  </w:style>
  <w:style w:type="character" w:customStyle="1" w:styleId="QuoteChar">
    <w:name w:val="Quote Char"/>
    <w:basedOn w:val="DefaultParagraphFont"/>
    <w:link w:val="Quote"/>
    <w:uiPriority w:val="99"/>
    <w:locked/>
    <w:rsid w:val="007A3EFC"/>
    <w:rPr>
      <w:rFonts w:ascii="Times New Roman" w:hAnsi="Times New Roman" w:cs="Times New Roman"/>
      <w:iCs/>
      <w:color w:val="000000"/>
      <w:sz w:val="22"/>
    </w:rPr>
  </w:style>
  <w:style w:type="paragraph" w:styleId="Header">
    <w:name w:val="header"/>
    <w:basedOn w:val="Normal"/>
    <w:link w:val="HeaderChar"/>
    <w:uiPriority w:val="99"/>
    <w:pPr>
      <w:tabs>
        <w:tab w:val="center" w:pos="4320"/>
        <w:tab w:val="right" w:pos="8640"/>
      </w:tabs>
      <w:spacing w:before="0"/>
    </w:pPr>
  </w:style>
  <w:style w:type="character" w:customStyle="1" w:styleId="HeaderChar">
    <w:name w:val="Header Char"/>
    <w:basedOn w:val="DefaultParagraphFont"/>
    <w:link w:val="Header"/>
    <w:uiPriority w:val="99"/>
    <w:locked/>
    <w:rPr>
      <w:rFonts w:ascii="Times New Roman" w:hAnsi="Times New Roman" w:cs="Times New Roman"/>
      <w:lang w:val="en-GB"/>
    </w:rPr>
  </w:style>
  <w:style w:type="paragraph" w:styleId="Footer">
    <w:name w:val="footer"/>
    <w:basedOn w:val="Normal"/>
    <w:link w:val="FooterChar"/>
    <w:uiPriority w:val="99"/>
    <w:pPr>
      <w:tabs>
        <w:tab w:val="center" w:pos="4320"/>
        <w:tab w:val="right" w:pos="8640"/>
      </w:tabs>
      <w:spacing w:before="0"/>
    </w:pPr>
  </w:style>
  <w:style w:type="character" w:customStyle="1" w:styleId="FooterChar">
    <w:name w:val="Footer Char"/>
    <w:basedOn w:val="DefaultParagraphFont"/>
    <w:link w:val="Footer"/>
    <w:uiPriority w:val="99"/>
    <w:locked/>
    <w:rPr>
      <w:rFonts w:ascii="Times New Roman" w:hAnsi="Times New Roman" w:cs="Times New Roman"/>
      <w:lang w:val="en-GB"/>
    </w:rPr>
  </w:style>
  <w:style w:type="character" w:styleId="PageNumber">
    <w:name w:val="page number"/>
    <w:basedOn w:val="DefaultParagraphFont"/>
    <w:uiPriority w:val="99"/>
    <w:semiHidden/>
    <w:rPr>
      <w:rFonts w:cs="Times New Roman"/>
    </w:rPr>
  </w:style>
  <w:style w:type="paragraph" w:styleId="TOC1">
    <w:name w:val="toc 1"/>
    <w:basedOn w:val="Normal"/>
    <w:next w:val="Normal"/>
    <w:autoRedefine/>
    <w:uiPriority w:val="99"/>
  </w:style>
  <w:style w:type="paragraph" w:styleId="TOC2">
    <w:name w:val="toc 2"/>
    <w:basedOn w:val="Normal"/>
    <w:next w:val="Normal"/>
    <w:autoRedefine/>
    <w:uiPriority w:val="99"/>
    <w:pPr>
      <w:ind w:left="240"/>
    </w:pPr>
  </w:style>
  <w:style w:type="paragraph" w:styleId="TOC3">
    <w:name w:val="toc 3"/>
    <w:basedOn w:val="Normal"/>
    <w:next w:val="Normal"/>
    <w:autoRedefine/>
    <w:uiPriority w:val="99"/>
    <w:pPr>
      <w:ind w:left="480"/>
    </w:pPr>
  </w:style>
  <w:style w:type="paragraph" w:styleId="TOC4">
    <w:name w:val="toc 4"/>
    <w:basedOn w:val="Normal"/>
    <w:next w:val="Normal"/>
    <w:autoRedefine/>
    <w:uiPriority w:val="99"/>
    <w:pPr>
      <w:ind w:left="720"/>
    </w:pPr>
  </w:style>
  <w:style w:type="paragraph" w:styleId="TOC5">
    <w:name w:val="toc 5"/>
    <w:basedOn w:val="Normal"/>
    <w:next w:val="Normal"/>
    <w:autoRedefine/>
    <w:uiPriority w:val="99"/>
    <w:pPr>
      <w:ind w:left="960"/>
    </w:pPr>
  </w:style>
  <w:style w:type="paragraph" w:styleId="TOC6">
    <w:name w:val="toc 6"/>
    <w:basedOn w:val="Normal"/>
    <w:next w:val="Normal"/>
    <w:autoRedefine/>
    <w:uiPriority w:val="99"/>
    <w:pPr>
      <w:ind w:left="1200"/>
    </w:pPr>
  </w:style>
  <w:style w:type="paragraph" w:styleId="TOC7">
    <w:name w:val="toc 7"/>
    <w:basedOn w:val="Normal"/>
    <w:next w:val="Normal"/>
    <w:autoRedefine/>
    <w:uiPriority w:val="99"/>
    <w:pPr>
      <w:ind w:left="1440"/>
    </w:pPr>
  </w:style>
  <w:style w:type="paragraph" w:styleId="TOC8">
    <w:name w:val="toc 8"/>
    <w:basedOn w:val="Normal"/>
    <w:next w:val="Normal"/>
    <w:autoRedefine/>
    <w:uiPriority w:val="99"/>
    <w:pPr>
      <w:ind w:left="1680"/>
    </w:pPr>
  </w:style>
  <w:style w:type="paragraph" w:styleId="TOC9">
    <w:name w:val="toc 9"/>
    <w:basedOn w:val="Normal"/>
    <w:next w:val="Normal"/>
    <w:autoRedefine/>
    <w:uiPriority w:val="99"/>
    <w:pPr>
      <w:ind w:left="1920"/>
    </w:pPr>
  </w:style>
  <w:style w:type="paragraph" w:styleId="BodyText">
    <w:name w:val="Body Text"/>
    <w:basedOn w:val="Normal"/>
    <w:link w:val="BodyTextChar"/>
    <w:uiPriority w:val="99"/>
    <w:rsid w:val="00267AD3"/>
    <w:pPr>
      <w:spacing w:before="0"/>
    </w:pPr>
    <w:rPr>
      <w:szCs w:val="20"/>
      <w:lang w:val="sr-Latn-CS"/>
    </w:rPr>
  </w:style>
  <w:style w:type="character" w:customStyle="1" w:styleId="BodyTextChar">
    <w:name w:val="Body Text Char"/>
    <w:basedOn w:val="DefaultParagraphFont"/>
    <w:link w:val="BodyText"/>
    <w:uiPriority w:val="99"/>
    <w:locked/>
    <w:rsid w:val="00267AD3"/>
    <w:rPr>
      <w:rFonts w:ascii="Times New Roman" w:hAnsi="Times New Roman" w:cs="Times New Roman"/>
      <w:sz w:val="20"/>
      <w:szCs w:val="20"/>
      <w:lang w:val="sr-Latn-CS"/>
    </w:rPr>
  </w:style>
  <w:style w:type="character" w:styleId="FootnoteReference">
    <w:name w:val="footnote reference"/>
    <w:basedOn w:val="DefaultParagraphFont"/>
    <w:uiPriority w:val="99"/>
    <w:semiHidden/>
    <w:rsid w:val="00267AD3"/>
    <w:rPr>
      <w:rFonts w:cs="Times New Roman"/>
      <w:vertAlign w:val="superscript"/>
    </w:rPr>
  </w:style>
  <w:style w:type="paragraph" w:styleId="NoSpacing">
    <w:name w:val="No Spacing"/>
    <w:basedOn w:val="Heading1"/>
    <w:link w:val="NoSpacingChar"/>
    <w:uiPriority w:val="99"/>
    <w:qFormat/>
    <w:rsid w:val="002E5E01"/>
    <w:rPr>
      <w:sz w:val="20"/>
      <w:szCs w:val="20"/>
      <w:lang w:val="hr-HR" w:eastAsia="hr-HR"/>
    </w:rPr>
  </w:style>
  <w:style w:type="paragraph" w:styleId="FootnoteText">
    <w:name w:val="footnote text"/>
    <w:basedOn w:val="Normal"/>
    <w:link w:val="FootnoteTextChar"/>
    <w:uiPriority w:val="99"/>
    <w:semiHidden/>
    <w:rsid w:val="00AF50F6"/>
    <w:pPr>
      <w:spacing w:before="0"/>
      <w:jc w:val="left"/>
    </w:pPr>
    <w:rPr>
      <w:sz w:val="20"/>
      <w:szCs w:val="20"/>
      <w:lang w:val="en-US"/>
    </w:rPr>
  </w:style>
  <w:style w:type="character" w:customStyle="1" w:styleId="FootnoteTextChar">
    <w:name w:val="Footnote Text Char"/>
    <w:basedOn w:val="DefaultParagraphFont"/>
    <w:link w:val="FootnoteText"/>
    <w:uiPriority w:val="99"/>
    <w:semiHidden/>
    <w:locked/>
    <w:rsid w:val="00AF50F6"/>
    <w:rPr>
      <w:rFonts w:ascii="Times New Roman" w:hAnsi="Times New Roman" w:cs="Times New Roman"/>
      <w:sz w:val="20"/>
      <w:szCs w:val="20"/>
    </w:rPr>
  </w:style>
  <w:style w:type="character" w:styleId="Hyperlink">
    <w:name w:val="Hyperlink"/>
    <w:basedOn w:val="DefaultParagraphFont"/>
    <w:uiPriority w:val="99"/>
    <w:rsid w:val="00AF50F6"/>
    <w:rPr>
      <w:rFonts w:cs="Times New Roman"/>
      <w:color w:val="0000FF"/>
      <w:u w:val="single"/>
    </w:rPr>
  </w:style>
  <w:style w:type="table" w:styleId="TableGrid">
    <w:name w:val="Table Grid"/>
    <w:basedOn w:val="TableNormal"/>
    <w:uiPriority w:val="99"/>
    <w:rsid w:val="00AF50F6"/>
    <w:rPr>
      <w:lang w:val="bs-Latn-B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uiPriority w:val="99"/>
    <w:rsid w:val="00AF50F6"/>
    <w:rPr>
      <w:rFonts w:cs="Times New Roman"/>
    </w:rPr>
  </w:style>
  <w:style w:type="character" w:customStyle="1" w:styleId="BodyText2Char">
    <w:name w:val="Body Text 2 Char"/>
    <w:basedOn w:val="DefaultParagraphFont"/>
    <w:link w:val="BodyText2"/>
    <w:uiPriority w:val="99"/>
    <w:semiHidden/>
    <w:locked/>
    <w:rsid w:val="00F9552F"/>
    <w:rPr>
      <w:rFonts w:ascii="Times New Roman" w:hAnsi="Times New Roman" w:cs="Times New Roman"/>
    </w:rPr>
  </w:style>
  <w:style w:type="paragraph" w:styleId="BodyText2">
    <w:name w:val="Body Text 2"/>
    <w:basedOn w:val="Normal"/>
    <w:link w:val="BodyText2Char"/>
    <w:uiPriority w:val="99"/>
    <w:semiHidden/>
    <w:rsid w:val="00F9552F"/>
    <w:pPr>
      <w:spacing w:before="0" w:after="120" w:line="480" w:lineRule="auto"/>
      <w:jc w:val="left"/>
    </w:pPr>
    <w:rPr>
      <w:lang w:val="en-US"/>
    </w:rPr>
  </w:style>
  <w:style w:type="character" w:customStyle="1" w:styleId="BodyText2Char1">
    <w:name w:val="Body Text 2 Char1"/>
    <w:basedOn w:val="DefaultParagraphFont"/>
    <w:link w:val="BodyText2"/>
    <w:uiPriority w:val="99"/>
    <w:semiHidden/>
    <w:rsid w:val="00BD1AF9"/>
    <w:rPr>
      <w:rFonts w:ascii="Times New Roman" w:hAnsi="Times New Roman"/>
      <w:sz w:val="24"/>
      <w:szCs w:val="24"/>
      <w:lang w:val="en-GB" w:eastAsia="en-US"/>
    </w:rPr>
  </w:style>
  <w:style w:type="character" w:customStyle="1" w:styleId="BodyText3Char">
    <w:name w:val="Body Text 3 Char"/>
    <w:basedOn w:val="DefaultParagraphFont"/>
    <w:link w:val="BodyText3"/>
    <w:uiPriority w:val="99"/>
    <w:semiHidden/>
    <w:locked/>
    <w:rsid w:val="00F9552F"/>
    <w:rPr>
      <w:rFonts w:ascii="Times New Roman" w:hAnsi="Times New Roman" w:cs="Times New Roman"/>
      <w:sz w:val="20"/>
      <w:szCs w:val="20"/>
      <w:lang w:val="bs-Latn-BA" w:eastAsia="bs-Latn-BA"/>
    </w:rPr>
  </w:style>
  <w:style w:type="paragraph" w:styleId="BodyText3">
    <w:name w:val="Body Text 3"/>
    <w:basedOn w:val="Normal"/>
    <w:link w:val="BodyText3Char"/>
    <w:uiPriority w:val="99"/>
    <w:semiHidden/>
    <w:rsid w:val="00F9552F"/>
    <w:pPr>
      <w:spacing w:before="0"/>
    </w:pPr>
    <w:rPr>
      <w:sz w:val="20"/>
      <w:szCs w:val="20"/>
      <w:lang w:val="bs-Latn-BA" w:eastAsia="bs-Latn-BA"/>
    </w:rPr>
  </w:style>
  <w:style w:type="character" w:customStyle="1" w:styleId="BodyText3Char1">
    <w:name w:val="Body Text 3 Char1"/>
    <w:basedOn w:val="DefaultParagraphFont"/>
    <w:link w:val="BodyText3"/>
    <w:uiPriority w:val="99"/>
    <w:semiHidden/>
    <w:rsid w:val="00BD1AF9"/>
    <w:rPr>
      <w:rFonts w:ascii="Times New Roman" w:hAnsi="Times New Roman"/>
      <w:sz w:val="16"/>
      <w:szCs w:val="16"/>
      <w:lang w:val="en-GB" w:eastAsia="en-US"/>
    </w:rPr>
  </w:style>
  <w:style w:type="character" w:customStyle="1" w:styleId="BalloonTextChar">
    <w:name w:val="Balloon Text Char"/>
    <w:basedOn w:val="DefaultParagraphFont"/>
    <w:link w:val="BalloonText"/>
    <w:uiPriority w:val="99"/>
    <w:semiHidden/>
    <w:locked/>
    <w:rsid w:val="00F9552F"/>
    <w:rPr>
      <w:rFonts w:ascii="Tahoma" w:hAnsi="Tahoma" w:cs="Times New Roman"/>
      <w:sz w:val="16"/>
      <w:szCs w:val="16"/>
      <w:lang/>
    </w:rPr>
  </w:style>
  <w:style w:type="paragraph" w:styleId="BalloonText">
    <w:name w:val="Balloon Text"/>
    <w:basedOn w:val="Normal"/>
    <w:link w:val="BalloonTextChar"/>
    <w:uiPriority w:val="99"/>
    <w:semiHidden/>
    <w:rsid w:val="00F9552F"/>
    <w:pPr>
      <w:spacing w:before="0"/>
      <w:jc w:val="left"/>
    </w:pPr>
    <w:rPr>
      <w:rFonts w:ascii="Tahoma" w:hAnsi="Tahoma"/>
      <w:sz w:val="16"/>
      <w:szCs w:val="16"/>
      <w:lang w:val="hr-HR" w:eastAsia="hr-HR"/>
    </w:rPr>
  </w:style>
  <w:style w:type="character" w:customStyle="1" w:styleId="BalloonTextChar1">
    <w:name w:val="Balloon Text Char1"/>
    <w:basedOn w:val="DefaultParagraphFont"/>
    <w:link w:val="BalloonText"/>
    <w:uiPriority w:val="99"/>
    <w:semiHidden/>
    <w:rsid w:val="00BD1AF9"/>
    <w:rPr>
      <w:rFonts w:ascii="Times New Roman" w:hAnsi="Times New Roman"/>
      <w:sz w:val="0"/>
      <w:szCs w:val="0"/>
      <w:lang w:val="en-GB" w:eastAsia="en-US"/>
    </w:rPr>
  </w:style>
  <w:style w:type="paragraph" w:styleId="NormalWeb">
    <w:name w:val="Normal (Web)"/>
    <w:basedOn w:val="Normal"/>
    <w:uiPriority w:val="99"/>
    <w:semiHidden/>
    <w:rsid w:val="00AE7EE3"/>
    <w:pPr>
      <w:spacing w:before="100" w:beforeAutospacing="1" w:after="100" w:afterAutospacing="1"/>
      <w:jc w:val="left"/>
    </w:pPr>
    <w:rPr>
      <w:lang w:val="bs-Latn-BA" w:eastAsia="bs-Latn-BA"/>
    </w:rPr>
  </w:style>
  <w:style w:type="character" w:customStyle="1" w:styleId="NoSpacingChar">
    <w:name w:val="No Spacing Char"/>
    <w:link w:val="NoSpacing"/>
    <w:uiPriority w:val="99"/>
    <w:locked/>
    <w:rsid w:val="002E5E01"/>
    <w:rPr>
      <w:rFonts w:eastAsia="Times New Roman"/>
      <w:b/>
    </w:rPr>
  </w:style>
  <w:style w:type="paragraph" w:customStyle="1" w:styleId="Default">
    <w:name w:val="Default"/>
    <w:uiPriority w:val="99"/>
    <w:rsid w:val="00963A44"/>
    <w:pPr>
      <w:autoSpaceDE w:val="0"/>
      <w:autoSpaceDN w:val="0"/>
      <w:adjustRightInd w:val="0"/>
    </w:pPr>
    <w:rPr>
      <w:rFonts w:ascii="Times New Roman" w:hAnsi="Times New Roman"/>
      <w:color w:val="000000"/>
      <w:sz w:val="24"/>
      <w:szCs w:val="24"/>
    </w:rPr>
  </w:style>
  <w:style w:type="character" w:customStyle="1" w:styleId="apple-converted-space">
    <w:name w:val="apple-converted-space"/>
    <w:basedOn w:val="DefaultParagraphFont"/>
    <w:uiPriority w:val="99"/>
    <w:rsid w:val="00963A44"/>
    <w:rPr>
      <w:rFonts w:cs="Times New Roman"/>
    </w:rPr>
  </w:style>
  <w:style w:type="paragraph" w:styleId="Title">
    <w:name w:val="Title"/>
    <w:basedOn w:val="Normal"/>
    <w:next w:val="Normal"/>
    <w:link w:val="TitleChar"/>
    <w:uiPriority w:val="99"/>
    <w:qFormat/>
    <w:rsid w:val="002E5E01"/>
    <w:pPr>
      <w:spacing w:before="0"/>
      <w:contextualSpacing/>
    </w:pPr>
    <w:rPr>
      <w:rFonts w:ascii="Calibri" w:hAnsi="Calibri"/>
      <w:spacing w:val="-10"/>
      <w:kern w:val="28"/>
      <w:sz w:val="56"/>
      <w:szCs w:val="56"/>
    </w:rPr>
  </w:style>
  <w:style w:type="character" w:customStyle="1" w:styleId="TitleChar">
    <w:name w:val="Title Char"/>
    <w:basedOn w:val="DefaultParagraphFont"/>
    <w:link w:val="Title"/>
    <w:uiPriority w:val="99"/>
    <w:locked/>
    <w:rsid w:val="002E5E01"/>
    <w:rPr>
      <w:rFonts w:ascii="Calibri" w:hAnsi="Calibri" w:cs="Times New Roman"/>
      <w:spacing w:val="-10"/>
      <w:kern w:val="28"/>
      <w:sz w:val="56"/>
      <w:szCs w:val="56"/>
      <w:lang w:val="en-GB"/>
    </w:rPr>
  </w:style>
</w:styles>
</file>

<file path=word/webSettings.xml><?xml version="1.0" encoding="utf-8"?>
<w:webSettings xmlns:r="http://schemas.openxmlformats.org/officeDocument/2006/relationships" xmlns:w="http://schemas.openxmlformats.org/wordprocessingml/2006/main">
  <w:divs>
    <w:div w:id="125053669">
      <w:marLeft w:val="0"/>
      <w:marRight w:val="0"/>
      <w:marTop w:val="0"/>
      <w:marBottom w:val="0"/>
      <w:divBdr>
        <w:top w:val="none" w:sz="0" w:space="0" w:color="auto"/>
        <w:left w:val="none" w:sz="0" w:space="0" w:color="auto"/>
        <w:bottom w:val="none" w:sz="0" w:space="0" w:color="auto"/>
        <w:right w:val="none" w:sz="0" w:space="0" w:color="auto"/>
      </w:divBdr>
    </w:div>
    <w:div w:id="125053673">
      <w:marLeft w:val="0"/>
      <w:marRight w:val="0"/>
      <w:marTop w:val="0"/>
      <w:marBottom w:val="0"/>
      <w:divBdr>
        <w:top w:val="none" w:sz="0" w:space="0" w:color="auto"/>
        <w:left w:val="none" w:sz="0" w:space="0" w:color="auto"/>
        <w:bottom w:val="none" w:sz="0" w:space="0" w:color="auto"/>
        <w:right w:val="none" w:sz="0" w:space="0" w:color="auto"/>
      </w:divBdr>
    </w:div>
    <w:div w:id="125053675">
      <w:marLeft w:val="0"/>
      <w:marRight w:val="0"/>
      <w:marTop w:val="0"/>
      <w:marBottom w:val="0"/>
      <w:divBdr>
        <w:top w:val="none" w:sz="0" w:space="0" w:color="auto"/>
        <w:left w:val="none" w:sz="0" w:space="0" w:color="auto"/>
        <w:bottom w:val="none" w:sz="0" w:space="0" w:color="auto"/>
        <w:right w:val="none" w:sz="0" w:space="0" w:color="auto"/>
      </w:divBdr>
    </w:div>
    <w:div w:id="125053676">
      <w:marLeft w:val="0"/>
      <w:marRight w:val="0"/>
      <w:marTop w:val="0"/>
      <w:marBottom w:val="0"/>
      <w:divBdr>
        <w:top w:val="none" w:sz="0" w:space="0" w:color="auto"/>
        <w:left w:val="none" w:sz="0" w:space="0" w:color="auto"/>
        <w:bottom w:val="none" w:sz="0" w:space="0" w:color="auto"/>
        <w:right w:val="none" w:sz="0" w:space="0" w:color="auto"/>
      </w:divBdr>
      <w:divsChild>
        <w:div w:id="125053680">
          <w:marLeft w:val="0"/>
          <w:marRight w:val="0"/>
          <w:marTop w:val="0"/>
          <w:marBottom w:val="0"/>
          <w:divBdr>
            <w:top w:val="none" w:sz="0" w:space="0" w:color="auto"/>
            <w:left w:val="none" w:sz="0" w:space="0" w:color="auto"/>
            <w:bottom w:val="none" w:sz="0" w:space="0" w:color="auto"/>
            <w:right w:val="none" w:sz="0" w:space="0" w:color="auto"/>
          </w:divBdr>
          <w:divsChild>
            <w:div w:id="125053671">
              <w:marLeft w:val="0"/>
              <w:marRight w:val="0"/>
              <w:marTop w:val="0"/>
              <w:marBottom w:val="0"/>
              <w:divBdr>
                <w:top w:val="none" w:sz="0" w:space="0" w:color="auto"/>
                <w:left w:val="none" w:sz="0" w:space="0" w:color="auto"/>
                <w:bottom w:val="none" w:sz="0" w:space="0" w:color="auto"/>
                <w:right w:val="none" w:sz="0" w:space="0" w:color="auto"/>
              </w:divBdr>
              <w:divsChild>
                <w:div w:id="12505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53677">
      <w:marLeft w:val="0"/>
      <w:marRight w:val="0"/>
      <w:marTop w:val="0"/>
      <w:marBottom w:val="0"/>
      <w:divBdr>
        <w:top w:val="none" w:sz="0" w:space="0" w:color="auto"/>
        <w:left w:val="none" w:sz="0" w:space="0" w:color="auto"/>
        <w:bottom w:val="none" w:sz="0" w:space="0" w:color="auto"/>
        <w:right w:val="none" w:sz="0" w:space="0" w:color="auto"/>
      </w:divBdr>
      <w:divsChild>
        <w:div w:id="125053670">
          <w:marLeft w:val="0"/>
          <w:marRight w:val="0"/>
          <w:marTop w:val="0"/>
          <w:marBottom w:val="0"/>
          <w:divBdr>
            <w:top w:val="none" w:sz="0" w:space="0" w:color="auto"/>
            <w:left w:val="none" w:sz="0" w:space="0" w:color="auto"/>
            <w:bottom w:val="none" w:sz="0" w:space="0" w:color="auto"/>
            <w:right w:val="none" w:sz="0" w:space="0" w:color="auto"/>
          </w:divBdr>
          <w:divsChild>
            <w:div w:id="125053674">
              <w:marLeft w:val="0"/>
              <w:marRight w:val="0"/>
              <w:marTop w:val="0"/>
              <w:marBottom w:val="0"/>
              <w:divBdr>
                <w:top w:val="none" w:sz="0" w:space="0" w:color="auto"/>
                <w:left w:val="none" w:sz="0" w:space="0" w:color="auto"/>
                <w:bottom w:val="none" w:sz="0" w:space="0" w:color="auto"/>
                <w:right w:val="none" w:sz="0" w:space="0" w:color="auto"/>
              </w:divBdr>
              <w:divsChild>
                <w:div w:id="12505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53678">
      <w:marLeft w:val="0"/>
      <w:marRight w:val="0"/>
      <w:marTop w:val="0"/>
      <w:marBottom w:val="0"/>
      <w:divBdr>
        <w:top w:val="none" w:sz="0" w:space="0" w:color="auto"/>
        <w:left w:val="none" w:sz="0" w:space="0" w:color="auto"/>
        <w:bottom w:val="none" w:sz="0" w:space="0" w:color="auto"/>
        <w:right w:val="none" w:sz="0" w:space="0" w:color="auto"/>
      </w:divBdr>
    </w:div>
    <w:div w:id="125053679">
      <w:marLeft w:val="0"/>
      <w:marRight w:val="0"/>
      <w:marTop w:val="0"/>
      <w:marBottom w:val="0"/>
      <w:divBdr>
        <w:top w:val="none" w:sz="0" w:space="0" w:color="auto"/>
        <w:left w:val="none" w:sz="0" w:space="0" w:color="auto"/>
        <w:bottom w:val="none" w:sz="0" w:space="0" w:color="auto"/>
        <w:right w:val="none" w:sz="0" w:space="0" w:color="auto"/>
      </w:divBdr>
    </w:div>
    <w:div w:id="12505368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png"/><Relationship Id="rId18" Type="http://schemas.openxmlformats.org/officeDocument/2006/relationships/oleObject" Target="embeddings/oleObject6.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oleObject" Target="embeddings/oleObject3.bin"/><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oleObject" Target="embeddings/oleObject2.bin"/><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oleObject" Target="embeddings/oleObject4.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14</Pages>
  <Words>5053</Words>
  <Characters>28807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TRANZICIJA/TRANSITION                                                                                                                                                            Časopis za ekonomiju i politiku tranzicije  /  Journal of economic and politi</dc:title>
  <dc:subject/>
  <dc:creator>Joseph Lough</dc:creator>
  <cp:keywords/>
  <dc:description/>
  <cp:lastModifiedBy>Ferhat Cejvanovic</cp:lastModifiedBy>
  <cp:revision>2</cp:revision>
  <dcterms:created xsi:type="dcterms:W3CDTF">2018-09-14T08:51:00Z</dcterms:created>
  <dcterms:modified xsi:type="dcterms:W3CDTF">2018-09-14T08:51:00Z</dcterms:modified>
</cp:coreProperties>
</file>