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13" w:rsidRDefault="00CE1313"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r>
        <w:rPr>
          <w:i/>
        </w:rPr>
        <w:tab/>
      </w:r>
      <w:r>
        <w:rPr>
          <w:i/>
        </w:rPr>
        <w:tab/>
      </w:r>
    </w:p>
    <w:p w:rsidR="00CE1313" w:rsidRPr="00897853" w:rsidRDefault="00CE1313" w:rsidP="002F5E76">
      <w:pPr>
        <w:pStyle w:val="ListParagraph"/>
        <w:ind w:left="360"/>
        <w:jc w:val="right"/>
        <w:rPr>
          <w:i/>
        </w:rPr>
      </w:pPr>
      <w:r w:rsidRPr="00897853">
        <w:rPr>
          <w:i/>
        </w:rPr>
        <w:t>Prethodno priopćenje</w:t>
      </w:r>
    </w:p>
    <w:p w:rsidR="00CE1313" w:rsidRDefault="00CE1313" w:rsidP="001A3FE1">
      <w:pPr>
        <w:pStyle w:val="NoSpacing"/>
        <w:jc w:val="right"/>
        <w:rPr>
          <w:i/>
        </w:rPr>
      </w:pPr>
      <w:r>
        <w:rPr>
          <w:i/>
        </w:rPr>
        <w:t>Preliminary communitacion</w:t>
      </w:r>
    </w:p>
    <w:p w:rsidR="00CE1313" w:rsidRDefault="00CE1313" w:rsidP="001A3FE1">
      <w:pPr>
        <w:pStyle w:val="NoSpacing"/>
        <w:jc w:val="right"/>
        <w:rPr>
          <w:i/>
        </w:rPr>
      </w:pPr>
    </w:p>
    <w:p w:rsidR="00CE1313" w:rsidRPr="001A3FE1" w:rsidRDefault="00CE1313" w:rsidP="001A3FE1">
      <w:pPr>
        <w:pStyle w:val="NoSpacing"/>
        <w:jc w:val="right"/>
        <w:rPr>
          <w:i/>
        </w:rPr>
      </w:pPr>
      <w:r>
        <w:rPr>
          <w:b/>
          <w:i/>
          <w:lang w:val="en-US"/>
        </w:rPr>
        <w:t>JEL Classification</w:t>
      </w:r>
      <w:r>
        <w:rPr>
          <w:i/>
          <w:lang w:val="en-US"/>
        </w:rPr>
        <w:t>:</w:t>
      </w:r>
      <w:r>
        <w:rPr>
          <w:i/>
        </w:rPr>
        <w:t>D</w:t>
      </w:r>
      <w:r w:rsidRPr="0022256D">
        <w:rPr>
          <w:i/>
          <w:sz w:val="22"/>
          <w:szCs w:val="22"/>
        </w:rPr>
        <w:t>22</w:t>
      </w:r>
      <w:r>
        <w:rPr>
          <w:i/>
        </w:rPr>
        <w:t>, D</w:t>
      </w:r>
      <w:r w:rsidRPr="0022256D">
        <w:rPr>
          <w:i/>
          <w:sz w:val="22"/>
          <w:szCs w:val="22"/>
        </w:rPr>
        <w:t>40</w:t>
      </w:r>
      <w:r>
        <w:rPr>
          <w:i/>
        </w:rPr>
        <w:t>, I</w:t>
      </w:r>
      <w:r w:rsidRPr="0022256D">
        <w:rPr>
          <w:i/>
          <w:sz w:val="22"/>
          <w:szCs w:val="22"/>
        </w:rPr>
        <w:t>11</w:t>
      </w:r>
      <w:r>
        <w:rPr>
          <w:i/>
        </w:rPr>
        <w:t>, I</w:t>
      </w:r>
      <w:r w:rsidRPr="0022256D">
        <w:rPr>
          <w:i/>
          <w:sz w:val="22"/>
          <w:szCs w:val="22"/>
        </w:rPr>
        <w:t>12</w:t>
      </w:r>
      <w:r>
        <w:rPr>
          <w:i/>
        </w:rPr>
        <w:t>, M</w:t>
      </w:r>
      <w:r w:rsidRPr="0022256D">
        <w:rPr>
          <w:i/>
          <w:sz w:val="22"/>
          <w:szCs w:val="22"/>
        </w:rPr>
        <w:t>31</w:t>
      </w:r>
    </w:p>
    <w:p w:rsidR="00CE1313" w:rsidRPr="00C56B8A" w:rsidRDefault="00CE1313" w:rsidP="003A0DEF">
      <w:pPr>
        <w:pStyle w:val="Heading1"/>
      </w:pPr>
      <w:r w:rsidRPr="001A3FE1">
        <w:t>Aleksandra Krajnović</w:t>
      </w:r>
      <w:r w:rsidRPr="001A7FAC">
        <w:rPr>
          <w:rStyle w:val="FootnoteReference"/>
          <w:b w:val="0"/>
        </w:rPr>
        <w:t>*</w:t>
      </w:r>
      <w:r w:rsidRPr="001A3FE1">
        <w:rPr>
          <w:sz w:val="28"/>
          <w:szCs w:val="28"/>
        </w:rPr>
        <w:t xml:space="preserve">• </w:t>
      </w:r>
      <w:r w:rsidRPr="001A3FE1">
        <w:t xml:space="preserve"> Klaudia Gašpić</w:t>
      </w:r>
      <w:r w:rsidRPr="001A7FAC">
        <w:rPr>
          <w:rStyle w:val="FootnoteReference"/>
          <w:b w:val="0"/>
        </w:rPr>
        <w:t>**</w:t>
      </w:r>
      <w:r w:rsidRPr="001A7FAC">
        <w:t xml:space="preserve"> •</w:t>
      </w:r>
      <w:r w:rsidRPr="001A3FE1">
        <w:t>Ivan Stipanov</w:t>
      </w:r>
      <w:r w:rsidRPr="001A7FAC">
        <w:rPr>
          <w:rStyle w:val="FootnoteReference"/>
          <w:b w:val="0"/>
        </w:rPr>
        <w:footnoteReference w:customMarkFollows="1" w:id="2"/>
        <w:t>***</w:t>
      </w:r>
    </w:p>
    <w:p w:rsidR="00CE1313" w:rsidRPr="00B11AD5" w:rsidRDefault="00CE1313" w:rsidP="00B11AD5">
      <w:pPr>
        <w:jc w:val="center"/>
        <w:rPr>
          <w:b/>
          <w:sz w:val="32"/>
          <w:szCs w:val="32"/>
        </w:rPr>
      </w:pPr>
      <w:r w:rsidRPr="00B11AD5">
        <w:rPr>
          <w:b/>
          <w:sz w:val="32"/>
          <w:szCs w:val="32"/>
        </w:rPr>
        <w:t xml:space="preserve">SIGURNOST HRANE </w:t>
      </w:r>
      <w:r>
        <w:rPr>
          <w:b/>
          <w:sz w:val="32"/>
          <w:szCs w:val="32"/>
        </w:rPr>
        <w:t>I PERCEPCIJA POTROŠ</w:t>
      </w:r>
      <w:r w:rsidRPr="00B11AD5">
        <w:rPr>
          <w:b/>
          <w:sz w:val="32"/>
          <w:szCs w:val="32"/>
        </w:rPr>
        <w:t>AČA O SIGURNOSTI HRANE U EUROPSKOJ UNIJI I REPUBLICI HRVATSKOJ</w:t>
      </w:r>
    </w:p>
    <w:p w:rsidR="00CE1313" w:rsidRPr="004C360A" w:rsidRDefault="00CE1313" w:rsidP="004C360A">
      <w:pPr>
        <w:pStyle w:val="ListParagraph"/>
        <w:ind w:left="360"/>
        <w:jc w:val="center"/>
        <w:rPr>
          <w:b/>
          <w:sz w:val="32"/>
          <w:szCs w:val="32"/>
        </w:rPr>
      </w:pPr>
      <w:r w:rsidRPr="004C360A">
        <w:rPr>
          <w:b/>
          <w:color w:val="000000"/>
          <w:sz w:val="32"/>
          <w:szCs w:val="32"/>
        </w:rPr>
        <w:t>FOOD SAFETY AND CONSUMER PERCEPTION OF FOOD SAFETY THE EUROPEAN UNION AND THE REPUBLIC OF CROATIA</w:t>
      </w:r>
    </w:p>
    <w:p w:rsidR="00CE1313" w:rsidRPr="00BE7E04" w:rsidRDefault="00CE1313" w:rsidP="003D0620">
      <w:pPr>
        <w:pStyle w:val="NoSpacing"/>
        <w:rPr>
          <w:b/>
        </w:rPr>
      </w:pPr>
    </w:p>
    <w:p w:rsidR="00CE1313" w:rsidRDefault="00CE1313" w:rsidP="002F5E76">
      <w:r w:rsidRPr="0015206D">
        <w:rPr>
          <w:b/>
          <w:i/>
        </w:rPr>
        <w:t>Sažetak:</w:t>
      </w:r>
    </w:p>
    <w:p w:rsidR="00CE1313" w:rsidRPr="00B11AD5" w:rsidRDefault="00CE1313" w:rsidP="00B11AD5">
      <w:pPr>
        <w:ind w:left="720"/>
        <w:rPr>
          <w:i/>
        </w:rPr>
      </w:pPr>
      <w:r w:rsidRPr="00B11AD5">
        <w:rPr>
          <w:i/>
          <w:color w:val="000000"/>
        </w:rPr>
        <w:t>Ovaj rad bavi se istraživanjem zaštite potrošača i sigurnosti hrane u prehrambenoj industriji u EU i Republici Hrvatskoj. Cilj istraživanja jest povećati spoznaju o odlukama i položaju potrošača na tržištu kroz upoznavanje s teorijskim okvirima iz područja zaštite potrošača u prehrambenoj industriji te funkcioniranja zakonodavnog okvira E</w:t>
      </w:r>
      <w:r>
        <w:rPr>
          <w:i/>
          <w:color w:val="000000"/>
        </w:rPr>
        <w:t>U</w:t>
      </w:r>
      <w:r w:rsidRPr="00B11AD5">
        <w:rPr>
          <w:i/>
          <w:color w:val="000000"/>
        </w:rPr>
        <w:t>. U radu su prikazani i rezultati primarnog istraživanja o upoznatosti potrošača s njihovim pravima u RH te je izvršena komparacija s istraživanjem koje je proveo Flash Eurobaremeter o percepciji stanovnika E</w:t>
      </w:r>
      <w:r>
        <w:rPr>
          <w:i/>
          <w:color w:val="000000"/>
        </w:rPr>
        <w:t>U</w:t>
      </w:r>
      <w:r w:rsidRPr="00B11AD5">
        <w:rPr>
          <w:i/>
          <w:color w:val="000000"/>
        </w:rPr>
        <w:t xml:space="preserve"> o sigurnosti hrane. Svrha istraživanja jest ukazati na važnost zaštite potrošača u prehrambenoj industriji i problematizirati otvorena pitanja na ovom području. Upravo ovo i dokazuje istraživanje provedeno u ovom radu i njegova komparativna analiza s provedenim istraživanjima u EU – potrošači hrane u EU ni RH ne osjećaju se ni dovoljno sigurnim ni dovoljno obavještenima kada je riječ o zaštiti njihovih prava kao potrošača hrane i sigurnosti hrane koju svakodnevno koriste.</w:t>
      </w:r>
      <w:r w:rsidRPr="00B11AD5">
        <w:rPr>
          <w:i/>
        </w:rPr>
        <w:tab/>
      </w:r>
      <w:r w:rsidRPr="00B11AD5">
        <w:rPr>
          <w:b/>
          <w:i/>
        </w:rPr>
        <w:t>Ključne riječi:</w:t>
      </w:r>
      <w:r>
        <w:rPr>
          <w:i/>
        </w:rPr>
        <w:t xml:space="preserve"> zaštita potrošača</w:t>
      </w:r>
      <w:r w:rsidRPr="00B11AD5">
        <w:rPr>
          <w:i/>
        </w:rPr>
        <w:t>, politika sigurnosti hrane E</w:t>
      </w:r>
      <w:r>
        <w:rPr>
          <w:i/>
        </w:rPr>
        <w:t>U</w:t>
      </w:r>
      <w:r w:rsidRPr="00B11AD5">
        <w:rPr>
          <w:i/>
        </w:rPr>
        <w:t>, označavanje hrane, sigurnost hrane, percepcija potrošače o sigurnosti hrane.</w:t>
      </w:r>
    </w:p>
    <w:p w:rsidR="00CE1313" w:rsidRPr="00B11AD5" w:rsidRDefault="00CE1313" w:rsidP="002F5E76">
      <w:pPr>
        <w:rPr>
          <w:b/>
          <w:i/>
        </w:rPr>
      </w:pPr>
      <w:r>
        <w:rPr>
          <w:b/>
          <w:i/>
        </w:rPr>
        <w:t>Abstract</w:t>
      </w:r>
    </w:p>
    <w:p w:rsidR="00CE1313" w:rsidRPr="00B11AD5" w:rsidRDefault="00CE1313" w:rsidP="00B11AD5">
      <w:pPr>
        <w:ind w:left="720"/>
        <w:rPr>
          <w:i/>
        </w:rPr>
      </w:pPr>
      <w:r w:rsidRPr="00B11AD5">
        <w:rPr>
          <w:i/>
        </w:rPr>
        <w:t>This paper deals with consumer protection and food safety in the food industry in EU and Republic of Croatia. The aim of this research is to expand the knowledge of decisions and position of consumers in the market by introducing theoretical framework from the field of consumer protection in the food industry and the functioning of the EU legislativein this area. The paper also presents the results of the primary research on consumer awareness of their rights in Republic of Croatia and compares it with the research carried out by Flash Eurobaremeter on the perception of EU residents on food safety. The purpose of this research is to emphasize the importance of consumer protection in the food industryand problematize open issues in this area. Precisely this thesis proves the research carried out in this paper and its comparative analysis with the EU research conducted - food consumers in the EU and the Republic of Croatia are not feeling sufficiently secure or sufficiently informed when it comes to protecting their rights as food consumers and the food safety they use every day.</w:t>
      </w:r>
      <w:r w:rsidRPr="0015206D">
        <w:rPr>
          <w:b/>
          <w:i/>
        </w:rPr>
        <w:t>Keywords</w:t>
      </w:r>
      <w:r w:rsidRPr="00B11AD5">
        <w:rPr>
          <w:b/>
          <w:i/>
        </w:rPr>
        <w:t xml:space="preserve">: </w:t>
      </w:r>
      <w:r>
        <w:rPr>
          <w:i/>
        </w:rPr>
        <w:t>consumer protection</w:t>
      </w:r>
      <w:r w:rsidRPr="00B11AD5">
        <w:rPr>
          <w:i/>
        </w:rPr>
        <w:t>, food safety policy of the E</w:t>
      </w:r>
      <w:r>
        <w:rPr>
          <w:i/>
        </w:rPr>
        <w:t>U</w:t>
      </w:r>
      <w:r w:rsidRPr="00B11AD5">
        <w:rPr>
          <w:i/>
        </w:rPr>
        <w:t>, food labeling, food safety, consumer perception of food safety.</w:t>
      </w:r>
    </w:p>
    <w:p w:rsidR="00CE1313" w:rsidRPr="0015206D" w:rsidRDefault="00CE1313" w:rsidP="002F5E76"/>
    <w:p w:rsidR="00CE1313" w:rsidRPr="003A0DEF" w:rsidRDefault="00CE1313" w:rsidP="00C01796">
      <w:pPr>
        <w:spacing w:before="0"/>
        <w:jc w:val="left"/>
        <w:rPr>
          <w:b/>
        </w:rPr>
      </w:pPr>
      <w:r w:rsidRPr="003A0DEF">
        <w:rPr>
          <w:b/>
        </w:rPr>
        <w:t>UVOD</w:t>
      </w:r>
    </w:p>
    <w:p w:rsidR="00CE1313" w:rsidRPr="0015206D" w:rsidRDefault="00CE1313" w:rsidP="00C01796">
      <w:pPr>
        <w:ind w:firstLine="720"/>
      </w:pPr>
      <w:r w:rsidRPr="0015206D">
        <w:t>Predmet istraživanja rada jest prikazati utjecaj potrošača na kretanje roba i usluga, prava potrošača</w:t>
      </w:r>
      <w:r>
        <w:t>,</w:t>
      </w:r>
      <w:r w:rsidRPr="0015206D">
        <w:t xml:space="preserve"> te područja zaštite potrošača u prehrambenoj industriji. </w:t>
      </w:r>
      <w:r>
        <w:t>U uvjetima globalizacije</w:t>
      </w:r>
      <w:r w:rsidRPr="0015206D">
        <w:t xml:space="preserve">važna </w:t>
      </w:r>
      <w:r>
        <w:t xml:space="preserve">je </w:t>
      </w:r>
      <w:r w:rsidRPr="0015206D">
        <w:t>informiranost potrošača</w:t>
      </w:r>
      <w:r>
        <w:t>,</w:t>
      </w:r>
      <w:r w:rsidRPr="0015206D">
        <w:t xml:space="preserve"> te pristup ispravnoj i zdravoj hrani. Zaštita potrošača obuhvaća pravo na zaštitu ekonomskih interesa potrošača, pravo na zaštitu od opasnosti za život, zdravlje i imovinu, pravo na pravnu zaštitu potrošača</w:t>
      </w:r>
      <w:r>
        <w:t>,</w:t>
      </w:r>
      <w:r w:rsidRPr="0015206D">
        <w:t xml:space="preserve"> te pravo na informiranje i izobrazbu potrošača. </w:t>
      </w:r>
      <w:r>
        <w:t>H</w:t>
      </w:r>
      <w:r w:rsidRPr="0015206D">
        <w:t xml:space="preserve">rana </w:t>
      </w:r>
      <w:r>
        <w:t xml:space="preserve">je </w:t>
      </w:r>
      <w:r w:rsidRPr="0015206D">
        <w:t>primarna ljudska potreba</w:t>
      </w:r>
      <w:r>
        <w:t>, pa je prehrambena industrija je</w:t>
      </w:r>
      <w:r w:rsidRPr="0015206D">
        <w:t xml:space="preserve"> određena kao strateška gospodarska grana u gotovo svim zemljama svijeta. </w:t>
      </w:r>
      <w:r>
        <w:tab/>
      </w:r>
      <w:r>
        <w:tab/>
      </w:r>
      <w:r w:rsidRPr="0015206D">
        <w:t>Zaštita potrošača u prehrambenoj industriji danas je, u uvjetima globalizacije i tehnološkog napretka, postala glavna tema u javnosti. Aktualnost teme proizlazi iz sve češćih indikacija kako potrošači u zemljama članicama E</w:t>
      </w:r>
      <w:r>
        <w:t>U</w:t>
      </w:r>
      <w:r w:rsidRPr="0015206D">
        <w:t xml:space="preserve"> ne uživaju jednaka prava koja su im osigurana zakonskim regulativama. S obzirom na to da je područje zaštite potrošača u prehrambenoj industriji kompleksno zbog stalnih promjena zakonske regulative i poslovnog okruženja, predmet je istraživanja brojnih autora.Primjena europskih standarda zaštite potrošača omogućuje da hrvatski potrošači uživaju jednaka</w:t>
      </w:r>
      <w:r>
        <w:t xml:space="preserve"> prava kao i ostali građani EU</w:t>
      </w:r>
      <w:r w:rsidRPr="0015206D">
        <w:t xml:space="preserve">. Etiketiranje, identificiranje, reklamiranje, proizvodnja i prezentiranje hrane predstavljaju važne oblike komunikacije subjekata u poslovanju hranom s krajnjim potrošačem te spadaju među najsloženija zakonom uređena područja. </w:t>
      </w:r>
      <w:r>
        <w:tab/>
      </w:r>
      <w:r>
        <w:tab/>
      </w:r>
      <w:r>
        <w:tab/>
      </w:r>
      <w:r>
        <w:tab/>
      </w:r>
      <w:r w:rsidRPr="0015206D">
        <w:t>Cilj istraživanja ovoga rada jest povećati spoznaju o odlukama i položaju potrošača u prehrambenoj industriji. Svrha istraživanja jest ukazati na važnost zaštite potro</w:t>
      </w:r>
      <w:r>
        <w:t>šača u prehrambenoj industriji. K</w:t>
      </w:r>
      <w:r w:rsidRPr="0015206D">
        <w:t xml:space="preserve">orištene </w:t>
      </w:r>
      <w:r>
        <w:t xml:space="preserve">su </w:t>
      </w:r>
      <w:r w:rsidRPr="0015206D">
        <w:t>metode kompilacije i dostupne literature kao i multidisciplinarni pristup, analiza relevantne zakonske regulative, komparativna analiza primarnog istraživanja autora i sekundarnog istraživanja (</w:t>
      </w:r>
      <w:r w:rsidRPr="0037067A">
        <w:rPr>
          <w:i/>
        </w:rPr>
        <w:t>EU Flash Eurobarometer</w:t>
      </w:r>
      <w:r w:rsidRPr="0015206D">
        <w:t>)</w:t>
      </w:r>
      <w:r>
        <w:t>,</w:t>
      </w:r>
      <w:r w:rsidRPr="0015206D">
        <w:t xml:space="preserve"> te kritička analiza opisane problematike. </w:t>
      </w:r>
    </w:p>
    <w:p w:rsidR="00CE1313" w:rsidRPr="003A0DEF" w:rsidRDefault="00CE1313" w:rsidP="00D77C7F">
      <w:pPr>
        <w:pStyle w:val="ListParagraph"/>
        <w:spacing w:before="0"/>
        <w:ind w:left="360"/>
        <w:jc w:val="both"/>
        <w:rPr>
          <w:b/>
        </w:rPr>
      </w:pPr>
    </w:p>
    <w:p w:rsidR="00CE1313" w:rsidRPr="003A0DEF" w:rsidRDefault="00CE1313" w:rsidP="00C01796">
      <w:pPr>
        <w:spacing w:before="0"/>
        <w:rPr>
          <w:b/>
        </w:rPr>
      </w:pPr>
      <w:r w:rsidRPr="003A0DEF">
        <w:rPr>
          <w:b/>
        </w:rPr>
        <w:t>POLAZNA RAZMATRANJA U SIGURNOSTI HRANE</w:t>
      </w:r>
    </w:p>
    <w:p w:rsidR="00CE1313" w:rsidRPr="0015206D" w:rsidRDefault="00CE1313" w:rsidP="00C01796">
      <w:pPr>
        <w:ind w:firstLine="720"/>
      </w:pPr>
      <w:r w:rsidRPr="0015206D">
        <w:t>Hrana je važno područje potrošnje od iznimnog značaja za svakog potrošača. Također, potrošačima, napretkom znanosti i tehnologije, omogućena je dostupnost hrane na mnogo lakši i jedn</w:t>
      </w:r>
      <w:r>
        <w:t>ostavniji način. S</w:t>
      </w:r>
      <w:r w:rsidRPr="0015206D">
        <w:t>vi postupci prerade i razni dodaci prerađenoj hrani, mogu u velikoj mjeri predstavljati opasnost za zdravlje onih koji konzumiraju takvu hranu (Nefat &amp; Pamić, 2008).Za proizvođače hrane i krajnjeg potrošača u prehrambenom lancu jednu od najvažnijih stvari predstavlja sigurnost hrane. Proizvodnja i prodaja hrane s odgovarajućom kvalitetom temeljni su elementi dobivanja povjerenja potrošača na svim tržištima. Prijetnja sigurnosti hrane proizlazi iz činjenice da se međunarodna trgovina prehrambenim proizvodima povećava, stoga predstavlja novi izvor potencijalnih rizika u opskrbnom lancu hrane (Erceg, 2015)</w:t>
      </w:r>
      <w:r>
        <w:t xml:space="preserve">. </w:t>
      </w:r>
      <w:r w:rsidRPr="0015206D">
        <w:t>Poimanje sigurne hrane veže se uz stajališta svih sudionika od potrošača, zakonodavnih tijela, znanstvenika, industrije do posebnih interesnih skupina poput udruga, što ukazuje na činjenicu da je koncepcija sustava sigurnosti hrane vrlo složena (Bažok, 2014).</w:t>
      </w:r>
      <w:r w:rsidRPr="0015206D">
        <w:rPr>
          <w:i/>
        </w:rPr>
        <w:t>Svjetska zdravstvena organizacija</w:t>
      </w:r>
      <w:r w:rsidRPr="0015206D">
        <w:t xml:space="preserve"> definira pristup sigurnosti hrane kao zajedničku odgovornost vlade, prehrambene ind</w:t>
      </w:r>
      <w:r>
        <w:t>ustrije, potrošača i znanosti</w:t>
      </w:r>
      <w:r w:rsidRPr="0015206D">
        <w:t xml:space="preserve">. Usvajanje zakonskih </w:t>
      </w:r>
      <w:r>
        <w:t>regulative,</w:t>
      </w:r>
      <w:r w:rsidRPr="0015206D">
        <w:t xml:space="preserve"> te njihovo transparentno provođenje predstavlja glavnu ulogu vlada. Potrošači isto tako trebaju uvidjeti svoju odgovornost u uspostavljanju sustava sigurnosti hrane, odnosno rukovanje u skladu sa specifikacijama proizvođača. Primarnu ulogu u edukaciji, ali i implementaciji znanosti u struku, imaju znanstvene institucije radi poboljšavanja efektivnosti i efikasnosti provođenja sustava sigurnosti hrane. Zdravstveno ispravnu hranu moguće je proizvesti uz osiguranje primjerenih higijenskih mjera u proizvodnom pogonu te uz sveobuhvatan nadzor proizvodnog procesa (Bažok, 2014).Kako bi se mogla ostvariti sigurnost hrane tijekom cijelog lanca proizvodnje </w:t>
      </w:r>
      <w:r>
        <w:t xml:space="preserve">važno je </w:t>
      </w:r>
      <w:r w:rsidRPr="0015206D">
        <w:t>uspostavljanje i održavanje efikasne komunikacije između svih sudionika u procesu, odnosno poslovanju hranom, dakle od zakonodavnih tijela pa do konačnog potrošača (Dumičić &amp; Gajdić, 2011).Nakon automobilske i kemijske industrije, prehrambena industrija je najjače zakonski regulira</w:t>
      </w:r>
      <w:r>
        <w:t>na industrijska grana u EU,</w:t>
      </w:r>
      <w:r w:rsidRPr="0015206D">
        <w:t xml:space="preserve"> te time podliježe definiranim i strogim standardima (Novaković et al., 2015). Dakle, hrana koja je stavljena na tržište treba biti dobre kvalitete, sigurna za konzumaciju te zdravstveno ispravna. Također, prevencija postaje sve važnija tijekom upravljanja opskrbnim lancem čime proizvođači hrane preuzimaju ključnu odgovornost uz stalno unaprjeđenje i pridržavanje normi tijekom poslovnih procesa (Knežević, 2013).</w:t>
      </w:r>
    </w:p>
    <w:p w:rsidR="00CE1313" w:rsidRDefault="00CE1313" w:rsidP="00C01796">
      <w:pPr>
        <w:spacing w:before="0"/>
        <w:rPr>
          <w:b/>
        </w:rPr>
      </w:pPr>
    </w:p>
    <w:p w:rsidR="00CE1313" w:rsidRPr="003A0DEF" w:rsidRDefault="00CE1313" w:rsidP="00C01796">
      <w:pPr>
        <w:spacing w:before="0"/>
        <w:rPr>
          <w:b/>
        </w:rPr>
      </w:pPr>
      <w:r w:rsidRPr="003A0DEF">
        <w:rPr>
          <w:b/>
        </w:rPr>
        <w:t>PODRUČJE ZAŠTITE POTROŠAČA UPREHRAMBENOJ INDUSTRIJI</w:t>
      </w:r>
    </w:p>
    <w:p w:rsidR="00CE1313" w:rsidRPr="0015206D" w:rsidRDefault="00CE1313" w:rsidP="00C01796">
      <w:pPr>
        <w:ind w:firstLine="360"/>
      </w:pPr>
      <w:r w:rsidRPr="0015206D">
        <w:t>Zaštita potrošača važna je za učinkovito funkcioniranje tržišta, omogućuje razvoj gospodarstva, predstavlja područje od javnog interesa i kao takva osnova je svakog djelotvornog i konku</w:t>
      </w:r>
      <w:r>
        <w:t xml:space="preserve">rentnog društva (Salai, 2010). </w:t>
      </w:r>
    </w:p>
    <w:p w:rsidR="00CE1313" w:rsidRDefault="00CE1313" w:rsidP="00D77C7F">
      <w:pPr>
        <w:pStyle w:val="ListParagraph"/>
        <w:spacing w:before="0"/>
        <w:ind w:left="360"/>
        <w:jc w:val="both"/>
        <w:rPr>
          <w:b/>
        </w:rPr>
      </w:pPr>
    </w:p>
    <w:p w:rsidR="00CE1313" w:rsidRPr="00406C96" w:rsidRDefault="00CE1313" w:rsidP="00406C96">
      <w:pPr>
        <w:spacing w:before="0"/>
        <w:rPr>
          <w:b/>
        </w:rPr>
      </w:pPr>
      <w:r w:rsidRPr="00406C96">
        <w:rPr>
          <w:b/>
        </w:rPr>
        <w:t>Politika sigurnosti hrane Europske unije</w:t>
      </w:r>
    </w:p>
    <w:p w:rsidR="00CE1313" w:rsidRPr="00096EF7" w:rsidRDefault="00CE1313" w:rsidP="00476A9B">
      <w:pPr>
        <w:ind w:firstLine="720"/>
      </w:pPr>
      <w:r w:rsidRPr="0015206D">
        <w:t>Od samih svojih početaka E</w:t>
      </w:r>
      <w:r>
        <w:t>U</w:t>
      </w:r>
      <w:r w:rsidRPr="0015206D">
        <w:t xml:space="preserve"> posvetila je velik dio svoje pozornosti poljoprivredi. Razlog tome bili su želja za stjecanjem samodostatnosti i podrška ruralnim područjima i njihovom stanovništvu (Van der Meulen, 2013).U E</w:t>
      </w:r>
      <w:r>
        <w:t>U</w:t>
      </w:r>
      <w:r w:rsidRPr="0015206D">
        <w:t xml:space="preserve"> poljoprivredno-prehrambeni sektor ima veliku važnost u gospodarstvu (Čačić et al., 2007). Zakonodavstvo je značajan dio područja zaštite potrošača i sigurnosti hrane, obuhvaća u potpunosti proizvodni lanac „od polja do stola“ što znači da obuhvaća farme na kojima se životinje uzgajaju, preradu i proizvodnju hrane, skladištenje te distribuciju gotovog prehrambenog proizvoda do krajnjeg potrošača (Novaković et al., 2015).Glavni cilj politike sigurnosti hrane E</w:t>
      </w:r>
      <w:r>
        <w:t>U</w:t>
      </w:r>
      <w:r w:rsidRPr="0015206D">
        <w:t xml:space="preserve"> jest osigurati da se njezini građani hrane sigurnim i hranjivim prehrambenim proizvodima proizvedenih od zdravih biljaka i životinja (Europska komisija).  Nestajanjem granica između članica E</w:t>
      </w:r>
      <w:r>
        <w:t>U</w:t>
      </w:r>
      <w:r w:rsidRPr="0015206D">
        <w:t xml:space="preserve"> zaštita potrošača u prehrambenoj industriji postaje sve veći prioritet (Comodo &amp; Bonaccorsi, 2012).Prema službenim stranicama </w:t>
      </w:r>
      <w:r>
        <w:t>EU</w:t>
      </w:r>
      <w:r w:rsidRPr="0015206D">
        <w:t>, politika E</w:t>
      </w:r>
      <w:r>
        <w:t>U</w:t>
      </w:r>
      <w:r w:rsidRPr="0015206D">
        <w:t xml:space="preserve"> za sigurnost hrane odnosi se na hranu u lancu od poljoprivrednoga gospodarstva do t</w:t>
      </w:r>
      <w:r>
        <w:t xml:space="preserve">anjura. Njome se želi osigurati (1) </w:t>
      </w:r>
      <w:r w:rsidRPr="00096EF7">
        <w:t>sigurna i hranjiva hrana te hrana za životinje,</w:t>
      </w:r>
      <w:r>
        <w:t xml:space="preserve"> (2) </w:t>
      </w:r>
      <w:r w:rsidRPr="00096EF7">
        <w:t>visoki standardi zdravlja i dobro</w:t>
      </w:r>
      <w:r>
        <w:t xml:space="preserve">biti životinja te zaštite bilja te (3) </w:t>
      </w:r>
      <w:r w:rsidRPr="00096EF7">
        <w:t>jasne informacije o podrijetlu, sadržaju/ozna</w:t>
      </w:r>
      <w:r>
        <w:t xml:space="preserve">čavanju i uporabi hrane. </w:t>
      </w:r>
      <w:r>
        <w:tab/>
      </w:r>
      <w:r>
        <w:tab/>
      </w:r>
      <w:r>
        <w:tab/>
      </w:r>
      <w:r>
        <w:tab/>
      </w:r>
      <w:r>
        <w:tab/>
      </w:r>
      <w:r>
        <w:tab/>
      </w:r>
      <w:r w:rsidRPr="0015206D">
        <w:t>Politika E</w:t>
      </w:r>
      <w:r>
        <w:t xml:space="preserve">U-a za sigurnost hrane obuhvaća </w:t>
      </w:r>
      <w:r w:rsidRPr="00096EF7">
        <w:t>sveobuhvatno zakonodavstvo o sigurnosti hrane i hrane za životinje te higijeni hrane,donošenje odluka na temelju vjerodostojnih znanstvenih mišljenja,</w:t>
      </w:r>
      <w:r>
        <w:t xml:space="preserve"> kao i provedbu i preglede. </w:t>
      </w:r>
      <w:r w:rsidRPr="0015206D">
        <w:t>U slučajevima kada je potrebna posebna zaštita potrošača pr</w:t>
      </w:r>
      <w:r>
        <w:t xml:space="preserve">imjenjuju se posebna pravila o: (1) </w:t>
      </w:r>
      <w:r w:rsidRPr="0015206D">
        <w:t>upotrebi pesticida, dodataka prehrani, bojila, antibiotika ili hormona,</w:t>
      </w:r>
      <w:r>
        <w:t xml:space="preserve"> (2) </w:t>
      </w:r>
      <w:r w:rsidRPr="0015206D">
        <w:t>prehrambenim aditivima kao što su konzervansi i arome,</w:t>
      </w:r>
      <w:r>
        <w:t xml:space="preserve"> (3) </w:t>
      </w:r>
      <w:r w:rsidRPr="0015206D">
        <w:t>tvarima u doticaju s hranom, primjerice plastična ambalaža,</w:t>
      </w:r>
      <w:r>
        <w:t xml:space="preserve"> (4) </w:t>
      </w:r>
      <w:r w:rsidRPr="00476A9B">
        <w:t>označavanju sastojaka koji mogu izazvati alergije,</w:t>
      </w:r>
      <w:r>
        <w:t xml:space="preserve"> (5</w:t>
      </w:r>
      <w:r w:rsidRPr="00476A9B">
        <w:t>) uporabi zdravstvenih tvrdnji kao što su „s niskim udjelom masti” ili „bogat vlaknima“.</w:t>
      </w:r>
      <w:r>
        <w:tab/>
      </w:r>
      <w:r>
        <w:tab/>
      </w:r>
      <w:r>
        <w:tab/>
      </w:r>
      <w:r>
        <w:tab/>
      </w:r>
      <w:r>
        <w:tab/>
      </w:r>
      <w:r>
        <w:tab/>
      </w:r>
      <w:r w:rsidRPr="0015206D">
        <w:t>Politika sigurnosti hrane u E</w:t>
      </w:r>
      <w:r>
        <w:t>U</w:t>
      </w:r>
      <w:r w:rsidRPr="0015206D">
        <w:t xml:space="preserve"> uvelike je uznapredovala, naročito po pitanjima prehrane, zdravlja i kvalitete hrane. Jedno od glavnih načela u politici E</w:t>
      </w:r>
      <w:r>
        <w:t>U</w:t>
      </w:r>
      <w:r w:rsidRPr="0015206D">
        <w:t xml:space="preserve"> o hrani je osigurati slobodu kretanja prehrambenih proizvoda na unutarnjem tržištu. Podizanje razine zaštite potrošača i prava potrošača čvrsto su ukorijenjene u politiku E</w:t>
      </w:r>
      <w:r>
        <w:t>U</w:t>
      </w:r>
      <w:r w:rsidRPr="0015206D">
        <w:t xml:space="preserve"> o sigurnosti hrane (Paul et al., 2008). Sve zemlje članice svojim djelovanjem izravno participiraju i sudjeluju u kreiranju i provođenju zakonodavstva na području hrane te neizravno reguliranjem unutarnjeg tržišta (Bažok et al., 2014).  Zakonodavstvo se može uglavnom grupirati u jednu od tri kategorije: zakonodavstvo o proizvodu, zakonodavstvo o procesu, zakonodavstvo o predstavljanju prehrambenih proizvoda (Van der Meulen, 2013).</w:t>
      </w:r>
      <w:r>
        <w:tab/>
      </w:r>
      <w:r>
        <w:tab/>
      </w:r>
      <w:r>
        <w:tab/>
      </w:r>
      <w:r>
        <w:tab/>
      </w:r>
      <w:r w:rsidRPr="0015206D">
        <w:t>C</w:t>
      </w:r>
      <w:r>
        <w:t>ijela struktura zakonodavstva EU ugrađena je u opća načela. N</w:t>
      </w:r>
      <w:r w:rsidRPr="0015206D">
        <w:t xml:space="preserve">a vrhu </w:t>
      </w:r>
      <w:r>
        <w:t xml:space="preserve">su </w:t>
      </w:r>
      <w:r w:rsidRPr="0015206D">
        <w:t xml:space="preserve">načela europskog zakonodavstva o hrani, </w:t>
      </w:r>
      <w:r>
        <w:t xml:space="preserve">a strukturiraju se na </w:t>
      </w:r>
      <w:r w:rsidRPr="0015206D">
        <w:t xml:space="preserve">odredbe </w:t>
      </w:r>
      <w:r>
        <w:t xml:space="preserve">koje se odnose na javne ovlasti i </w:t>
      </w:r>
      <w:r w:rsidRPr="0015206D">
        <w:t>odredbe koje se odnose na poduzeć</w:t>
      </w:r>
      <w:r>
        <w:t>a. Važan aspekt zakonodavstva EU</w:t>
      </w:r>
      <w:r w:rsidRPr="0015206D">
        <w:t xml:space="preserve"> o hrani, a koji nije prikazan na ovoj slici, sastoji se od institucionalnih odredbi (npr. stvaranje specijaliziranih tijela za rješavanje problema vezanih uz hranu). Zakonodavstvo E</w:t>
      </w:r>
      <w:r>
        <w:t>U</w:t>
      </w:r>
      <w:r w:rsidRPr="0015206D">
        <w:t xml:space="preserve"> o hrani usmjerava se na državne vlasti, poduzeća i potrošače. Ključ sigurnosti hrane je u rukama poduzeća u prehrambenoj indust</w:t>
      </w:r>
      <w:r>
        <w:t>riji</w:t>
      </w:r>
      <w:r w:rsidRPr="0015206D">
        <w:t>. Obv</w:t>
      </w:r>
      <w:r>
        <w:t xml:space="preserve">eze državnih vlasti </w:t>
      </w:r>
      <w:r w:rsidRPr="0015206D">
        <w:t>su sekundarne u odnosu na obveze poduzeća. Državne vlasti moraju osigurati da se poduz</w:t>
      </w:r>
      <w:r>
        <w:t>eća pridržavaju zakonodavstva EU</w:t>
      </w:r>
      <w:r w:rsidRPr="0015206D">
        <w:t xml:space="preserve"> kao i nositi se sa situacijama sankcioniranja zbog nepridržavanja zakona od strane poduzeća (Van der Meulen, 2013).Institucije i tijela za sigurnost hrane E</w:t>
      </w:r>
      <w:r>
        <w:t>U</w:t>
      </w:r>
      <w:r w:rsidRPr="0015206D">
        <w:t xml:space="preserve"> su</w:t>
      </w:r>
      <w:r>
        <w:t xml:space="preserve"> (1) </w:t>
      </w:r>
      <w:r w:rsidRPr="00096EF7">
        <w:t>europska komisija,</w:t>
      </w:r>
      <w:r>
        <w:t xml:space="preserve"> (2) </w:t>
      </w:r>
      <w:r w:rsidRPr="00096EF7">
        <w:t>europski parlament,</w:t>
      </w:r>
      <w:r>
        <w:t xml:space="preserve"> (3) </w:t>
      </w:r>
      <w:r w:rsidRPr="00096EF7">
        <w:t>vijeće europske unije,</w:t>
      </w:r>
      <w:r>
        <w:t xml:space="preserve"> (4) </w:t>
      </w:r>
      <w:r w:rsidRPr="00096EF7">
        <w:t>europski gospodarski i socijalni odbor,</w:t>
      </w:r>
      <w:r>
        <w:t xml:space="preserve"> (5) odbor regija te (6) agencije EU-a</w:t>
      </w:r>
      <w:r w:rsidRPr="00096EF7">
        <w:t>.</w:t>
      </w:r>
    </w:p>
    <w:p w:rsidR="00CE1313" w:rsidRPr="003A0DEF" w:rsidRDefault="00CE1313" w:rsidP="00C01796">
      <w:pPr>
        <w:spacing w:before="0"/>
        <w:rPr>
          <w:b/>
          <w:lang w:val="de-DE"/>
        </w:rPr>
      </w:pPr>
      <w:r w:rsidRPr="003A0DEF">
        <w:rPr>
          <w:b/>
          <w:lang w:val="de-DE"/>
        </w:rPr>
        <w:t>STAVOVI STANOVNIKA ČLANICA EU O SIGURNOSTI HRANE</w:t>
      </w:r>
    </w:p>
    <w:p w:rsidR="00CE1313" w:rsidRDefault="00CE1313" w:rsidP="00BE1FC6">
      <w:pPr>
        <w:ind w:firstLine="720"/>
        <w:rPr>
          <w:lang w:val="de-DE"/>
        </w:rPr>
      </w:pPr>
      <w:r w:rsidRPr="00F021A8">
        <w:rPr>
          <w:lang w:val="de-DE"/>
        </w:rPr>
        <w:t xml:space="preserve">Prema službenim stranicama EU, </w:t>
      </w:r>
      <w:r w:rsidRPr="00F021A8">
        <w:rPr>
          <w:i/>
          <w:lang w:val="de-DE"/>
        </w:rPr>
        <w:t>Flash Eurobarometer</w:t>
      </w:r>
      <w:r w:rsidRPr="00F021A8">
        <w:rPr>
          <w:lang w:val="de-DE"/>
        </w:rPr>
        <w:t xml:space="preserve"> obavlja istraživanja koja objavljuje dva puta godišnje. Istraživanjima omogućava svim članicama EU, Europskoj komisiji i drugim institucijama EU uvid u javno mišljenje glede određenih aktualnih problema. Posebni izvještaji </w:t>
      </w:r>
      <w:r w:rsidRPr="00F021A8">
        <w:rPr>
          <w:i/>
          <w:lang w:val="de-DE"/>
        </w:rPr>
        <w:t>Eurobarometra</w:t>
      </w:r>
      <w:r w:rsidRPr="00F021A8">
        <w:rPr>
          <w:lang w:val="de-DE"/>
        </w:rPr>
        <w:t xml:space="preserve"> temelje se na temeljitim tematskim studijama provedenim za različite službe Europske komisije i drugih institucija. Dijelom izvršenog istraživanja koje je provedeno obuhvaćena je i percepcija stanovnika o sigurnosti hrane i informiranosti potrošača. Istraživanje je pokazalo da je broj građana koji smatra da je većina prehrambenih proizvoda siguran smanjen u odnosu na prethodna istraživanja.</w:t>
      </w:r>
      <w:r w:rsidRPr="00F021A8">
        <w:rPr>
          <w:noProof/>
          <w:lang w:val="de-DE"/>
        </w:rPr>
        <w:tab/>
      </w:r>
      <w:r w:rsidRPr="00F021A8">
        <w:rPr>
          <w:lang w:val="de-DE"/>
        </w:rPr>
        <w:t>U Rumunjskoj, 56% ispitanika smatra da je značajan broj prehrambenih proizvoda nesiguran, kao i 47% ispitanika u Litvi, 46% u Grčkoj i 38% u Bugarskoj. Međutim, relativno malo ljudi smatra da je značajan broj prehrambenih proizvoda nesiguran, u Finskoj (3%), Velikoj Britaniji (9%), Malti (11%), Irskoj (10%) i Nizozemskoj (13%). Finska (39%) ima najveći udio ispitanika koji smatraju da su svi prehrambeni proizvodi sigurni, a slijede Irska (33%) i Velika Britanija (31%). Norveška (38%) također ima veliki udio ispitanika koji smatraju da su svi prehrambeni proizvodi sigurni. Međutim, u Bugarskoj i Rumunjskoj samo 4% ljudi misli da su u osnovi svi prehrambeni proizvodi sigurni, kao i 6% u Grčkoj, Češkoj i Litvi.</w:t>
      </w:r>
      <w:r w:rsidRPr="00F021A8">
        <w:rPr>
          <w:lang w:val="de-DE"/>
        </w:rPr>
        <w:tab/>
      </w:r>
      <w:r w:rsidRPr="00F021A8">
        <w:rPr>
          <w:lang w:val="de-DE"/>
        </w:rPr>
        <w:tab/>
      </w:r>
      <w:r w:rsidRPr="00F021A8">
        <w:rPr>
          <w:lang w:val="de-DE"/>
        </w:rPr>
        <w:tab/>
      </w:r>
      <w:r w:rsidRPr="00F021A8">
        <w:rPr>
          <w:lang w:val="de-DE"/>
        </w:rPr>
        <w:tab/>
      </w:r>
      <w:r w:rsidRPr="00F021A8">
        <w:rPr>
          <w:lang w:val="de-DE"/>
        </w:rPr>
        <w:tab/>
      </w:r>
      <w:r w:rsidRPr="00F021A8">
        <w:rPr>
          <w:lang w:val="de-DE"/>
        </w:rPr>
        <w:tab/>
      </w:r>
      <w:r>
        <w:rPr>
          <w:lang w:val="de-DE"/>
        </w:rPr>
        <w:tab/>
        <w:t>V</w:t>
      </w:r>
      <w:r w:rsidRPr="00F021A8">
        <w:rPr>
          <w:lang w:val="de-DE"/>
        </w:rPr>
        <w:t>ećina ljudi u Švedskoj (65%), Češkoj (61%), Mađarskoj (61%) i Austriji (61%) vjeruje da je samo mali broj prehrambenih proizvoda nesiguran. Međutim, samo 38% ljudi u Rumunjskoj to misli, kao i 44% ispitanika u Litvi i 45% u Grčkoj.</w:t>
      </w:r>
      <w:r>
        <w:rPr>
          <w:lang w:val="de-DE"/>
        </w:rPr>
        <w:t>Na temelju provedene ankete (t</w:t>
      </w:r>
      <w:r w:rsidRPr="00F021A8">
        <w:rPr>
          <w:lang w:val="de-DE"/>
        </w:rPr>
        <w:t xml:space="preserve">ablica 1) s obzirom na dob i spol može se zaključiti da: </w:t>
      </w:r>
      <w:r>
        <w:rPr>
          <w:lang w:val="de-DE"/>
        </w:rPr>
        <w:t xml:space="preserve">(1) </w:t>
      </w:r>
      <w:r w:rsidRPr="00F021A8">
        <w:rPr>
          <w:lang w:val="de-DE"/>
        </w:rPr>
        <w:t>Veći broj muškaraca od žena (19% naspram 15%) misli da su u osnovi svi prehrambeni proizvodi sigurni. Veći broj žena od muškaraca (28% naspram 22%) smatra da je značajan broj pr</w:t>
      </w:r>
      <w:r>
        <w:rPr>
          <w:lang w:val="de-DE"/>
        </w:rPr>
        <w:t xml:space="preserve">ehrambenih proizvoda nesiguran; (2) </w:t>
      </w:r>
      <w:r w:rsidRPr="00F021A8">
        <w:rPr>
          <w:lang w:val="de-DE"/>
        </w:rPr>
        <w:t xml:space="preserve">Mlađi ispitanici smatraju da su u osnovi svi prehrambeni proizvodi sigurni (21% ispitanika od 15 do 24 godina u usporedbi sa 15% ispitanika od 55 i više godina). </w:t>
      </w:r>
      <w:r>
        <w:rPr>
          <w:lang w:val="de-DE"/>
        </w:rPr>
        <w:t>Za n</w:t>
      </w:r>
      <w:r w:rsidRPr="00F021A8">
        <w:rPr>
          <w:lang w:val="de-DE"/>
        </w:rPr>
        <w:t>ajstariji ispitani</w:t>
      </w:r>
      <w:r>
        <w:rPr>
          <w:lang w:val="de-DE"/>
        </w:rPr>
        <w:t xml:space="preserve">ke </w:t>
      </w:r>
      <w:r w:rsidRPr="00F021A8">
        <w:rPr>
          <w:lang w:val="de-DE"/>
        </w:rPr>
        <w:t>je značajan broj prehrambenih proizvoda nesiguran (26% ispitanika od 55 i više godine naspram 20% ispitanika od 15 do 24 godina starosti).</w:t>
      </w:r>
    </w:p>
    <w:p w:rsidR="00CE1313" w:rsidRPr="00BE1FC6" w:rsidRDefault="00CE1313" w:rsidP="00BE1FC6">
      <w:pPr>
        <w:rPr>
          <w:i/>
          <w:sz w:val="22"/>
          <w:szCs w:val="22"/>
          <w:lang w:val="de-DE"/>
        </w:rPr>
      </w:pPr>
      <w:r w:rsidRPr="00BE1FC6">
        <w:rPr>
          <w:i/>
          <w:sz w:val="22"/>
          <w:szCs w:val="22"/>
          <w:lang w:val="de-DE"/>
        </w:rPr>
        <w:t>Tablica 1. Percepcija stanovnika zemalja članica EU o sigurnosti hrane s obzirom na dob i spol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8"/>
        <w:gridCol w:w="1755"/>
        <w:gridCol w:w="1804"/>
        <w:gridCol w:w="2010"/>
        <w:gridCol w:w="1255"/>
        <w:gridCol w:w="750"/>
      </w:tblGrid>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p>
        </w:tc>
        <w:tc>
          <w:tcPr>
            <w:tcW w:w="990" w:type="pct"/>
            <w:shd w:val="clear" w:color="auto" w:fill="DAEEF3"/>
            <w:vAlign w:val="center"/>
          </w:tcPr>
          <w:p w:rsidR="00CE1313" w:rsidRPr="00370B40" w:rsidRDefault="00CE1313" w:rsidP="00370B40">
            <w:pPr>
              <w:pStyle w:val="Heading3"/>
              <w:jc w:val="center"/>
              <w:rPr>
                <w:rFonts w:ascii="Times New Roman" w:hAnsi="Times New Roman"/>
                <w:b/>
                <w:color w:val="auto"/>
                <w:sz w:val="18"/>
                <w:szCs w:val="18"/>
              </w:rPr>
            </w:pPr>
            <w:r w:rsidRPr="00370B40">
              <w:rPr>
                <w:rFonts w:ascii="Times New Roman" w:hAnsi="Times New Roman"/>
                <w:b/>
                <w:color w:val="auto"/>
                <w:sz w:val="18"/>
                <w:szCs w:val="18"/>
              </w:rPr>
              <w:t>Značajan broj prehr. proizvoda je siguran</w:t>
            </w:r>
          </w:p>
        </w:tc>
        <w:tc>
          <w:tcPr>
            <w:tcW w:w="1018" w:type="pct"/>
            <w:shd w:val="clear" w:color="auto" w:fill="DAEEF3"/>
            <w:vAlign w:val="center"/>
          </w:tcPr>
          <w:p w:rsidR="00CE1313" w:rsidRPr="00370B40" w:rsidRDefault="00CE1313" w:rsidP="00370B40">
            <w:pPr>
              <w:pStyle w:val="Heading3"/>
              <w:jc w:val="center"/>
              <w:rPr>
                <w:rFonts w:ascii="Times New Roman" w:hAnsi="Times New Roman"/>
                <w:b/>
                <w:color w:val="auto"/>
                <w:sz w:val="18"/>
                <w:szCs w:val="18"/>
              </w:rPr>
            </w:pPr>
            <w:r w:rsidRPr="00370B40">
              <w:rPr>
                <w:rFonts w:ascii="Times New Roman" w:hAnsi="Times New Roman"/>
                <w:b/>
                <w:color w:val="auto"/>
                <w:sz w:val="18"/>
                <w:szCs w:val="18"/>
              </w:rPr>
              <w:t>Mali broj prehr.proizvoda je nesiguran</w:t>
            </w:r>
          </w:p>
        </w:tc>
        <w:tc>
          <w:tcPr>
            <w:tcW w:w="1134" w:type="pct"/>
            <w:shd w:val="clear" w:color="auto" w:fill="DAEEF3"/>
            <w:vAlign w:val="center"/>
          </w:tcPr>
          <w:p w:rsidR="00CE1313" w:rsidRPr="00370B40" w:rsidRDefault="00CE1313" w:rsidP="00370B40">
            <w:pPr>
              <w:pStyle w:val="Heading3"/>
              <w:jc w:val="center"/>
              <w:rPr>
                <w:rFonts w:ascii="Times New Roman" w:hAnsi="Times New Roman"/>
                <w:b/>
                <w:color w:val="auto"/>
                <w:sz w:val="18"/>
                <w:szCs w:val="18"/>
              </w:rPr>
            </w:pPr>
            <w:r w:rsidRPr="00370B40">
              <w:rPr>
                <w:rFonts w:ascii="Times New Roman" w:hAnsi="Times New Roman"/>
                <w:b/>
                <w:color w:val="auto"/>
                <w:sz w:val="18"/>
                <w:szCs w:val="18"/>
              </w:rPr>
              <w:t>Značajan broj prehr. proizvoda je nesiguran</w:t>
            </w:r>
          </w:p>
        </w:tc>
        <w:tc>
          <w:tcPr>
            <w:tcW w:w="708" w:type="pct"/>
            <w:shd w:val="clear" w:color="auto" w:fill="DAEEF3"/>
            <w:vAlign w:val="center"/>
          </w:tcPr>
          <w:p w:rsidR="00CE1313" w:rsidRPr="00370B40" w:rsidRDefault="00CE1313" w:rsidP="00370B40">
            <w:pPr>
              <w:pStyle w:val="Heading3"/>
              <w:jc w:val="center"/>
              <w:rPr>
                <w:rFonts w:ascii="Times New Roman" w:hAnsi="Times New Roman"/>
                <w:b/>
                <w:color w:val="auto"/>
                <w:sz w:val="18"/>
                <w:szCs w:val="18"/>
              </w:rPr>
            </w:pPr>
            <w:r w:rsidRPr="00370B40">
              <w:rPr>
                <w:rFonts w:ascii="Times New Roman" w:hAnsi="Times New Roman"/>
                <w:b/>
                <w:color w:val="auto"/>
                <w:sz w:val="18"/>
                <w:szCs w:val="18"/>
              </w:rPr>
              <w:t>To ovisi o proizvodu</w:t>
            </w:r>
          </w:p>
        </w:tc>
        <w:tc>
          <w:tcPr>
            <w:tcW w:w="423" w:type="pct"/>
            <w:shd w:val="clear" w:color="auto" w:fill="DAEEF3"/>
            <w:vAlign w:val="center"/>
          </w:tcPr>
          <w:p w:rsidR="00CE1313" w:rsidRPr="00370B40" w:rsidRDefault="00CE1313" w:rsidP="00370B40">
            <w:pPr>
              <w:pStyle w:val="Heading3"/>
              <w:jc w:val="center"/>
              <w:rPr>
                <w:rFonts w:ascii="Times New Roman" w:hAnsi="Times New Roman"/>
                <w:b/>
                <w:color w:val="auto"/>
                <w:sz w:val="18"/>
                <w:szCs w:val="18"/>
              </w:rPr>
            </w:pPr>
            <w:r w:rsidRPr="00370B40">
              <w:rPr>
                <w:rFonts w:ascii="Times New Roman" w:hAnsi="Times New Roman"/>
                <w:b/>
                <w:color w:val="auto"/>
                <w:sz w:val="18"/>
                <w:szCs w:val="18"/>
              </w:rPr>
              <w:t>Ne znam</w:t>
            </w:r>
          </w:p>
        </w:tc>
      </w:tr>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EU27</w:t>
            </w:r>
          </w:p>
        </w:tc>
        <w:tc>
          <w:tcPr>
            <w:tcW w:w="990"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17%</w:t>
            </w:r>
          </w:p>
        </w:tc>
        <w:tc>
          <w:tcPr>
            <w:tcW w:w="101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56%</w:t>
            </w:r>
          </w:p>
        </w:tc>
        <w:tc>
          <w:tcPr>
            <w:tcW w:w="1134"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24%</w:t>
            </w:r>
          </w:p>
        </w:tc>
        <w:tc>
          <w:tcPr>
            <w:tcW w:w="70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w:t>
            </w:r>
          </w:p>
        </w:tc>
        <w:tc>
          <w:tcPr>
            <w:tcW w:w="423"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r>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Spol: Muško</w:t>
            </w:r>
          </w:p>
        </w:tc>
        <w:tc>
          <w:tcPr>
            <w:tcW w:w="990"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19%</w:t>
            </w:r>
          </w:p>
        </w:tc>
        <w:tc>
          <w:tcPr>
            <w:tcW w:w="101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57%</w:t>
            </w:r>
          </w:p>
        </w:tc>
        <w:tc>
          <w:tcPr>
            <w:tcW w:w="1134"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22%</w:t>
            </w:r>
          </w:p>
        </w:tc>
        <w:tc>
          <w:tcPr>
            <w:tcW w:w="70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c>
          <w:tcPr>
            <w:tcW w:w="423"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r>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Spol: Žensko</w:t>
            </w:r>
          </w:p>
        </w:tc>
        <w:tc>
          <w:tcPr>
            <w:tcW w:w="990"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15%</w:t>
            </w:r>
          </w:p>
        </w:tc>
        <w:tc>
          <w:tcPr>
            <w:tcW w:w="101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54%</w:t>
            </w:r>
          </w:p>
        </w:tc>
        <w:tc>
          <w:tcPr>
            <w:tcW w:w="1134"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28%</w:t>
            </w:r>
          </w:p>
        </w:tc>
        <w:tc>
          <w:tcPr>
            <w:tcW w:w="70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w:t>
            </w:r>
          </w:p>
        </w:tc>
        <w:tc>
          <w:tcPr>
            <w:tcW w:w="423"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r>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Dob: 15 – 24</w:t>
            </w:r>
          </w:p>
        </w:tc>
        <w:tc>
          <w:tcPr>
            <w:tcW w:w="990"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21%</w:t>
            </w:r>
          </w:p>
        </w:tc>
        <w:tc>
          <w:tcPr>
            <w:tcW w:w="101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57%</w:t>
            </w:r>
          </w:p>
        </w:tc>
        <w:tc>
          <w:tcPr>
            <w:tcW w:w="1134"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20%</w:t>
            </w:r>
          </w:p>
        </w:tc>
        <w:tc>
          <w:tcPr>
            <w:tcW w:w="70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w:t>
            </w:r>
          </w:p>
        </w:tc>
        <w:tc>
          <w:tcPr>
            <w:tcW w:w="423"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0%</w:t>
            </w:r>
          </w:p>
        </w:tc>
      </w:tr>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Dob: 25 – 39</w:t>
            </w:r>
          </w:p>
        </w:tc>
        <w:tc>
          <w:tcPr>
            <w:tcW w:w="990"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18%</w:t>
            </w:r>
          </w:p>
        </w:tc>
        <w:tc>
          <w:tcPr>
            <w:tcW w:w="101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56%</w:t>
            </w:r>
          </w:p>
        </w:tc>
        <w:tc>
          <w:tcPr>
            <w:tcW w:w="1134"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24%</w:t>
            </w:r>
          </w:p>
        </w:tc>
        <w:tc>
          <w:tcPr>
            <w:tcW w:w="70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c>
          <w:tcPr>
            <w:tcW w:w="423"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r>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Dob: 40 – 54</w:t>
            </w:r>
          </w:p>
        </w:tc>
        <w:tc>
          <w:tcPr>
            <w:tcW w:w="990"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17%</w:t>
            </w:r>
          </w:p>
        </w:tc>
        <w:tc>
          <w:tcPr>
            <w:tcW w:w="101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55%</w:t>
            </w:r>
          </w:p>
        </w:tc>
        <w:tc>
          <w:tcPr>
            <w:tcW w:w="1134"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26%</w:t>
            </w:r>
          </w:p>
        </w:tc>
        <w:tc>
          <w:tcPr>
            <w:tcW w:w="70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c>
          <w:tcPr>
            <w:tcW w:w="423"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w:t>
            </w:r>
          </w:p>
        </w:tc>
      </w:tr>
      <w:tr w:rsidR="00CE1313" w:rsidRPr="00370B40" w:rsidTr="00370B40">
        <w:trPr>
          <w:jc w:val="center"/>
        </w:trPr>
        <w:tc>
          <w:tcPr>
            <w:tcW w:w="727"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Dob: &gt;55</w:t>
            </w:r>
          </w:p>
        </w:tc>
        <w:tc>
          <w:tcPr>
            <w:tcW w:w="990"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15%</w:t>
            </w:r>
          </w:p>
        </w:tc>
        <w:tc>
          <w:tcPr>
            <w:tcW w:w="101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55%</w:t>
            </w:r>
          </w:p>
        </w:tc>
        <w:tc>
          <w:tcPr>
            <w:tcW w:w="1134"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26%</w:t>
            </w:r>
          </w:p>
        </w:tc>
        <w:tc>
          <w:tcPr>
            <w:tcW w:w="708"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w:t>
            </w:r>
          </w:p>
        </w:tc>
        <w:tc>
          <w:tcPr>
            <w:tcW w:w="423" w:type="pct"/>
            <w:vAlign w:val="center"/>
          </w:tcPr>
          <w:p w:rsidR="00CE1313" w:rsidRPr="00370B40" w:rsidRDefault="00CE1313" w:rsidP="00785E34">
            <w:pPr>
              <w:pStyle w:val="Heading3"/>
              <w:rPr>
                <w:rFonts w:ascii="Times New Roman" w:hAnsi="Times New Roman"/>
                <w:color w:val="auto"/>
                <w:sz w:val="18"/>
                <w:szCs w:val="18"/>
              </w:rPr>
            </w:pPr>
            <w:r w:rsidRPr="00370B40">
              <w:rPr>
                <w:rFonts w:ascii="Times New Roman" w:hAnsi="Times New Roman"/>
                <w:color w:val="auto"/>
                <w:sz w:val="18"/>
                <w:szCs w:val="18"/>
              </w:rPr>
              <w:t>2%</w:t>
            </w:r>
          </w:p>
        </w:tc>
      </w:tr>
    </w:tbl>
    <w:p w:rsidR="00CE1313" w:rsidRPr="00AF472B" w:rsidRDefault="00CE1313" w:rsidP="007C0EB4">
      <w:pPr>
        <w:pStyle w:val="Heading3"/>
        <w:rPr>
          <w:rFonts w:ascii="Times New Roman" w:hAnsi="Times New Roman"/>
          <w:i/>
          <w:color w:val="auto"/>
          <w:sz w:val="18"/>
          <w:szCs w:val="18"/>
        </w:rPr>
      </w:pPr>
      <w:r w:rsidRPr="00AF472B">
        <w:rPr>
          <w:rFonts w:ascii="Times New Roman" w:hAnsi="Times New Roman"/>
          <w:i/>
          <w:color w:val="auto"/>
          <w:sz w:val="18"/>
          <w:szCs w:val="18"/>
        </w:rPr>
        <w:t xml:space="preserve">Izvor: </w:t>
      </w:r>
      <w:hyperlink r:id="rId7" w:history="1">
        <w:r w:rsidRPr="00AF472B">
          <w:rPr>
            <w:rStyle w:val="Hyperlink"/>
            <w:rFonts w:ascii="Times New Roman" w:hAnsi="Times New Roman"/>
            <w:i/>
            <w:color w:val="auto"/>
            <w:sz w:val="18"/>
            <w:szCs w:val="18"/>
            <w:u w:val="none"/>
          </w:rPr>
          <w:t>http://ec.europa.eu/commfrontoffice/publicopinion/flash/fl_358_en.pdf</w:t>
        </w:r>
      </w:hyperlink>
    </w:p>
    <w:p w:rsidR="00CE1313" w:rsidRPr="00F021A8" w:rsidRDefault="00CE1313" w:rsidP="007C0EB4">
      <w:pPr>
        <w:spacing w:before="0"/>
        <w:rPr>
          <w:lang w:val="de-DE"/>
        </w:rPr>
      </w:pPr>
    </w:p>
    <w:p w:rsidR="00CE1313" w:rsidRPr="00F021A8" w:rsidRDefault="00CE1313" w:rsidP="007C0EB4">
      <w:pPr>
        <w:spacing w:before="0"/>
        <w:ind w:firstLine="720"/>
        <w:rPr>
          <w:lang w:val="de-DE"/>
        </w:rPr>
      </w:pPr>
      <w:r w:rsidRPr="00F021A8">
        <w:rPr>
          <w:lang w:val="de-DE"/>
        </w:rPr>
        <w:t xml:space="preserve">Većina potrošača uvjerena je da su njihova prava zaštićena. Naime, nešto više od sedam od deset europskih potrošača uvjereno je da trgovci i pružatelji usluga poštuju njihova prava kao potrošača (71%), što ujedno predstavlja i najvišu razinu od početka istraživanja u području </w:t>
      </w:r>
      <w:r>
        <w:rPr>
          <w:lang w:val="de-DE"/>
        </w:rPr>
        <w:t>sigurnosti hrane od 2006.</w:t>
      </w:r>
      <w:r w:rsidRPr="00F021A8">
        <w:rPr>
          <w:lang w:val="de-DE"/>
        </w:rPr>
        <w:t xml:space="preserve"> (povećanje za 9 postotnih bodova). Većina potrošača vjeruje nevladinim organizacijama da štite njihova prava kao potrošača (62%). Međutim, ovo je smanjenje od 12 </w:t>
      </w:r>
      <w:r>
        <w:rPr>
          <w:lang w:val="de-DE"/>
        </w:rPr>
        <w:t>postotnih bodova od 2012.</w:t>
      </w:r>
      <w:r w:rsidRPr="00F021A8">
        <w:rPr>
          <w:lang w:val="de-DE"/>
        </w:rPr>
        <w:t xml:space="preserve"> i predstavlja najnižu razinu povjerenja od početka istraživanja u području </w:t>
      </w:r>
      <w:r>
        <w:rPr>
          <w:lang w:val="de-DE"/>
        </w:rPr>
        <w:t>sigurnosti hrane od 2006</w:t>
      </w:r>
      <w:r w:rsidRPr="00F021A8">
        <w:rPr>
          <w:lang w:val="de-DE"/>
        </w:rPr>
        <w:t xml:space="preserve">. Najmanje šest od deset potrošača vjeruje državnim tijelima da štite njihova prava kao potrošača (61%). Povjerenje u državne vlasti </w:t>
      </w:r>
      <w:r>
        <w:rPr>
          <w:lang w:val="de-DE"/>
        </w:rPr>
        <w:t>blago je poraslo od 2012.</w:t>
      </w:r>
      <w:r w:rsidRPr="00F021A8">
        <w:rPr>
          <w:lang w:val="de-DE"/>
        </w:rPr>
        <w:t xml:space="preserve"> za 2%.</w:t>
      </w:r>
    </w:p>
    <w:p w:rsidR="00CE1313" w:rsidRPr="00F021A8" w:rsidRDefault="00CE1313" w:rsidP="007C0EB4">
      <w:pPr>
        <w:spacing w:before="0"/>
        <w:ind w:firstLine="720"/>
        <w:rPr>
          <w:lang w:val="de-DE"/>
        </w:rPr>
      </w:pPr>
    </w:p>
    <w:p w:rsidR="00CE1313" w:rsidRPr="00F63838" w:rsidRDefault="00CE1313" w:rsidP="007C0EB4">
      <w:pPr>
        <w:spacing w:before="0"/>
        <w:rPr>
          <w:b/>
          <w:lang w:val="de-DE"/>
        </w:rPr>
      </w:pPr>
      <w:r w:rsidRPr="00F63838">
        <w:rPr>
          <w:b/>
          <w:lang w:val="de-DE"/>
        </w:rPr>
        <w:t>Rezultati primarnog istraživanja i komparativna analiza</w:t>
      </w:r>
    </w:p>
    <w:p w:rsidR="00CE1313" w:rsidRDefault="00CE1313" w:rsidP="00F65125">
      <w:pPr>
        <w:ind w:firstLine="720"/>
        <w:rPr>
          <w:color w:val="000000"/>
        </w:rPr>
      </w:pPr>
      <w:r w:rsidRPr="00F63838">
        <w:rPr>
          <w:color w:val="000000"/>
          <w:lang w:val="de-DE"/>
        </w:rPr>
        <w:t xml:space="preserve">Autori su formirali anketni upitnik na temelju znanstvenih pretpostavki definiranih istraživanjem predodređenih tvrdnji i pitanja kojima su ispitanici izrazili svoje stajalište. Istraživanje je provedeno anonimnim standardiziranim online upitnikom koji je nastao putem </w:t>
      </w:r>
      <w:r w:rsidRPr="00F63838">
        <w:rPr>
          <w:i/>
          <w:color w:val="000000"/>
          <w:lang w:val="de-DE"/>
        </w:rPr>
        <w:t>web</w:t>
      </w:r>
      <w:r w:rsidRPr="00F63838">
        <w:rPr>
          <w:color w:val="000000"/>
          <w:lang w:val="de-DE"/>
        </w:rPr>
        <w:t xml:space="preserve"> stranice „Google Forms“. </w:t>
      </w:r>
      <w:r w:rsidRPr="00F63838">
        <w:rPr>
          <w:color w:val="000000"/>
          <w:lang w:val="de-DE"/>
        </w:rPr>
        <w:tab/>
      </w:r>
      <w:r w:rsidRPr="00F63838">
        <w:rPr>
          <w:color w:val="000000"/>
          <w:lang w:val="de-DE"/>
        </w:rPr>
        <w:tab/>
      </w:r>
      <w:r w:rsidRPr="00F63838">
        <w:rPr>
          <w:color w:val="000000"/>
          <w:lang w:val="de-DE"/>
        </w:rPr>
        <w:tab/>
      </w:r>
      <w:r w:rsidRPr="00F63838">
        <w:rPr>
          <w:color w:val="000000"/>
          <w:lang w:val="de-DE"/>
        </w:rPr>
        <w:tab/>
      </w:r>
      <w:r w:rsidRPr="00F63838">
        <w:rPr>
          <w:color w:val="000000"/>
          <w:lang w:val="de-DE"/>
        </w:rPr>
        <w:tab/>
      </w:r>
      <w:r w:rsidRPr="00F63838">
        <w:rPr>
          <w:color w:val="000000"/>
          <w:lang w:val="de-DE"/>
        </w:rPr>
        <w:tab/>
      </w:r>
      <w:r w:rsidRPr="00F63838">
        <w:rPr>
          <w:color w:val="000000"/>
          <w:lang w:val="de-DE"/>
        </w:rPr>
        <w:tab/>
        <w:t xml:space="preserve">Ciljevi primarnog istraživanja i skupine pitanja koja je ova anketa imala uključuju percepciju potrošača u vezi sigurnosti hrane, njihove svjesnosti, informiranosti i korištenju potrošačkih prava, važnosti i procjene u vezi postojećih deklaracija koje se nalaze na prehrambenim proizvodima, upoznatosti i informiranosti o GMO-u, zatim u vezi s osjećajem zaštićenosti potrošača, kao i percepcije potrošača u pogledu nejednakosti u kvaliteti prehrambenih proizvoda članica Europske unije koje plasiraju na tržišta. Isto tako, razmatra se odnos između stavova potrošača, njihova znanja i ponašanja u pogledu sigurnosti hrane s obzirom na dob, spol i razinu obrazovanja. Uzorak je bio ograničen na stanovništvo Republike Hrvatske. Istraživanje je uključivalo 672 ispitanika, odgovori su iskazani prema spolu, dobi i obrazovnoj strukturi, a podaci su prikupljeni u periodu od 27. veljače 2017. do 11. svibnja 2017. U istraživanju je najzastupljenija skupina ispitanika od 26 do 35 godina (36,3%), zatim slijedi dobna skupina od 18 do 25 godina (32,4%), zatim skupina od 36 do 45 godina (19,8%), dobna skupina od 46 do 55 godina (6,5%) te dobna skupina s više od 56 godina (4,9%). Najmanje zastupljene skupine ispitanika uključuju one koje imaju višu stručnu spremu (7,1%), one koje pohađaju poslijediplomski studij (3%), i na kraju one koji imaju osnovnu školu (1,8%). Prema razini obrazovanja, najveća skupina ispitanika ima srednju stručnu spremu (34,8%), a zatim slijedi skupina ispitanika s visokom stručnom spremom (23,7%). Nadalje, treća po redu najzastupljenija skupina ispitanika je na preddiplomskom studiju (18%), a slijedi ju skupina ispitanika koja polazi diplomski studij (11,6%). Nadalje, u nastavku uspoređuju se dobiveni odgovori s onima istraživanja </w:t>
      </w:r>
      <w:r w:rsidRPr="00F63838">
        <w:rPr>
          <w:i/>
          <w:color w:val="000000"/>
          <w:lang w:val="de-DE"/>
        </w:rPr>
        <w:t>Flash Eurobarometer-a</w:t>
      </w:r>
      <w:r w:rsidRPr="00F63838">
        <w:rPr>
          <w:color w:val="000000"/>
          <w:lang w:val="de-DE"/>
        </w:rPr>
        <w:t xml:space="preserve"> koje je opisano u prethodnom dijelu rada. Primjer anketnog upitnika nalazi se u privitku rada. Ograničavajući čimbenik ovog istraživanja jest taj da broj muških (12,6%) i ženskih (87,4%) ispitanika nije razmjeran, kao ni broj ispitanika s obzirom na životnu dob.Pri istraživanju postavljene su sljedeće istraživačke hipoteze:</w:t>
      </w:r>
      <w:r>
        <w:rPr>
          <w:color w:val="000000"/>
          <w:lang w:val="de-DE"/>
        </w:rPr>
        <w:tab/>
      </w:r>
      <w:r>
        <w:rPr>
          <w:color w:val="000000"/>
          <w:lang w:val="de-DE"/>
        </w:rPr>
        <w:tab/>
      </w:r>
      <w:r w:rsidRPr="00F63838">
        <w:rPr>
          <w:i/>
          <w:sz w:val="22"/>
          <w:szCs w:val="22"/>
          <w:lang w:val="de-DE"/>
        </w:rPr>
        <w:t>H1:</w:t>
      </w:r>
      <w:r w:rsidRPr="00F63838">
        <w:rPr>
          <w:sz w:val="22"/>
          <w:szCs w:val="22"/>
          <w:lang w:val="de-DE"/>
        </w:rPr>
        <w:t xml:space="preserve"> Potrošači prehrambenih proizvoda su neinformirani o svojim pravima potrošača</w:t>
      </w:r>
      <w:r w:rsidRPr="00F63838">
        <w:rPr>
          <w:sz w:val="22"/>
          <w:szCs w:val="22"/>
          <w:lang w:val="de-DE"/>
        </w:rPr>
        <w:tab/>
      </w:r>
      <w:r w:rsidRPr="00F63838">
        <w:rPr>
          <w:i/>
          <w:sz w:val="22"/>
          <w:szCs w:val="22"/>
          <w:lang w:val="de-DE"/>
        </w:rPr>
        <w:t>H2:</w:t>
      </w:r>
      <w:r w:rsidRPr="00F63838">
        <w:rPr>
          <w:sz w:val="22"/>
          <w:szCs w:val="22"/>
          <w:lang w:val="de-DE"/>
        </w:rPr>
        <w:t xml:space="preserve"> Potrošači prehrambenih proizvoda nisu dovoljno educirani o svojim pravima potrošača</w:t>
      </w:r>
      <w:r w:rsidRPr="00F63838">
        <w:rPr>
          <w:sz w:val="22"/>
          <w:szCs w:val="22"/>
          <w:lang w:val="de-DE"/>
        </w:rPr>
        <w:tab/>
      </w:r>
      <w:r w:rsidRPr="00F63838">
        <w:rPr>
          <w:i/>
          <w:sz w:val="22"/>
          <w:szCs w:val="22"/>
          <w:lang w:val="de-DE"/>
        </w:rPr>
        <w:t>H3:</w:t>
      </w:r>
      <w:r w:rsidRPr="00F63838">
        <w:rPr>
          <w:sz w:val="22"/>
          <w:szCs w:val="22"/>
          <w:lang w:val="de-DE"/>
        </w:rPr>
        <w:t xml:space="preserve"> Hrvatski potrošači prehrambenih proizvoda smatraju da ne uživaju jednaka prava kao i potrošači u EU</w:t>
      </w:r>
      <w:r w:rsidRPr="00F63838">
        <w:rPr>
          <w:sz w:val="22"/>
          <w:szCs w:val="22"/>
          <w:lang w:val="de-DE"/>
        </w:rPr>
        <w:tab/>
        <w:t>.</w:t>
      </w:r>
      <w:r w:rsidRPr="00F63838">
        <w:rPr>
          <w:sz w:val="22"/>
          <w:szCs w:val="22"/>
          <w:lang w:val="de-DE"/>
        </w:rPr>
        <w:tab/>
      </w:r>
      <w:r w:rsidRPr="00F63838">
        <w:rPr>
          <w:sz w:val="22"/>
          <w:szCs w:val="22"/>
          <w:lang w:val="de-DE"/>
        </w:rPr>
        <w:tab/>
      </w:r>
      <w:r w:rsidRPr="00F63838">
        <w:rPr>
          <w:sz w:val="22"/>
          <w:szCs w:val="22"/>
          <w:lang w:val="de-DE"/>
        </w:rPr>
        <w:tab/>
      </w:r>
      <w:r w:rsidRPr="00F63838">
        <w:rPr>
          <w:sz w:val="22"/>
          <w:szCs w:val="22"/>
          <w:lang w:val="de-DE"/>
        </w:rPr>
        <w:tab/>
      </w:r>
      <w:r w:rsidRPr="00F63838">
        <w:rPr>
          <w:sz w:val="22"/>
          <w:szCs w:val="22"/>
          <w:lang w:val="de-DE"/>
        </w:rPr>
        <w:tab/>
      </w:r>
      <w:r w:rsidRPr="00F63838">
        <w:rPr>
          <w:sz w:val="22"/>
          <w:szCs w:val="22"/>
          <w:lang w:val="de-DE"/>
        </w:rPr>
        <w:tab/>
      </w:r>
      <w:r w:rsidRPr="00F63838">
        <w:rPr>
          <w:sz w:val="22"/>
          <w:szCs w:val="22"/>
          <w:lang w:val="de-DE"/>
        </w:rPr>
        <w:tab/>
      </w:r>
      <w:r w:rsidRPr="00F63838">
        <w:rPr>
          <w:sz w:val="22"/>
          <w:szCs w:val="22"/>
          <w:lang w:val="de-DE"/>
        </w:rPr>
        <w:tab/>
      </w:r>
      <w:r w:rsidRPr="00F63838">
        <w:rPr>
          <w:sz w:val="22"/>
          <w:szCs w:val="22"/>
          <w:lang w:val="de-DE"/>
        </w:rPr>
        <w:tab/>
      </w:r>
      <w:r w:rsidRPr="00F63838">
        <w:rPr>
          <w:sz w:val="22"/>
          <w:szCs w:val="22"/>
          <w:lang w:val="de-DE"/>
        </w:rPr>
        <w:tab/>
      </w:r>
      <w:r w:rsidRPr="00F63838">
        <w:rPr>
          <w:color w:val="000000"/>
          <w:lang w:val="de-DE"/>
        </w:rPr>
        <w:t>Na pitanje „</w:t>
      </w:r>
      <w:r w:rsidRPr="00F63838">
        <w:rPr>
          <w:i/>
          <w:color w:val="000000"/>
          <w:lang w:val="de-DE"/>
        </w:rPr>
        <w:t>Što se tiče svih prehrambenih proizvoda koji su trenutno na hrvatskom tržištu, smatrate li da</w:t>
      </w:r>
      <w:r w:rsidRPr="00F63838">
        <w:rPr>
          <w:color w:val="000000"/>
          <w:lang w:val="de-DE"/>
        </w:rPr>
        <w:t xml:space="preserve">…“ </w:t>
      </w:r>
      <w:r>
        <w:rPr>
          <w:color w:val="000000"/>
        </w:rPr>
        <w:t>(t</w:t>
      </w:r>
      <w:r w:rsidRPr="0015206D">
        <w:rPr>
          <w:color w:val="000000"/>
        </w:rPr>
        <w:t xml:space="preserve">ablica 2) 42,56% ispitanika smatra kako je značajan broj prehrambenih proizvoda nesiguran. 4,76% ispitanika mišljenja je kako su u osnovi svi prehrambeni proizvodi sigurni. 15,92% ispitanika smatra kako je mali broj prehrambenih proizvoda nesiguran, dok 30,06% ispitanika je mišljenja kako to ovisi o proizvodu. Odgovor „Ne znam“ odabralo je 6,07% ispitanika. </w:t>
      </w:r>
      <w:r>
        <w:rPr>
          <w:color w:val="000000"/>
        </w:rPr>
        <w:t>Uočava se da</w:t>
      </w:r>
      <w:r w:rsidRPr="0015206D">
        <w:rPr>
          <w:color w:val="000000"/>
        </w:rPr>
        <w:t xml:space="preserve"> ispitanici od 36 do 45 godina imaju najveću sumnju u sigurnost prehrambenih proizvoda na hrvatskom tržištu, i to njih 51,88%. Ovisno o razini obrazovanja, signifikantan broj ispitanika u sku</w:t>
      </w:r>
      <w:r>
        <w:rPr>
          <w:color w:val="000000"/>
        </w:rPr>
        <w:t>pinama koji imaju osnovnu i</w:t>
      </w:r>
      <w:r w:rsidRPr="0015206D">
        <w:rPr>
          <w:color w:val="000000"/>
        </w:rPr>
        <w:t xml:space="preserve"> srednju školu, višu stručnu spremu i oni koji su završili poslijediplomski studij smatra kako je značajanbroj prehrambenih proizvoda nesiguran. </w:t>
      </w:r>
      <w:r>
        <w:rPr>
          <w:color w:val="000000"/>
        </w:rPr>
        <w:t>Zaključujemo da</w:t>
      </w:r>
      <w:r w:rsidRPr="0015206D">
        <w:rPr>
          <w:color w:val="000000"/>
        </w:rPr>
        <w:t xml:space="preserve"> ispitanici koji pripadaju skupinama koje imaju visoku stručnu spremu i koje su završile preddiplomski studij, kao i diplomski studij, imaju podijeljena mišljenja. </w:t>
      </w:r>
      <w:r>
        <w:rPr>
          <w:color w:val="000000"/>
        </w:rPr>
        <w:tab/>
      </w:r>
      <w:r>
        <w:rPr>
          <w:color w:val="000000"/>
        </w:rPr>
        <w:tab/>
      </w:r>
      <w:r w:rsidRPr="0015206D">
        <w:rPr>
          <w:color w:val="000000"/>
        </w:rPr>
        <w:t xml:space="preserve">Komparacijom dobivenih rezultata provedene ankete i ankete koju je proveo </w:t>
      </w:r>
      <w:r w:rsidRPr="0015206D">
        <w:rPr>
          <w:i/>
          <w:color w:val="000000"/>
        </w:rPr>
        <w:t xml:space="preserve">Flash Eurobarometer </w:t>
      </w:r>
      <w:r w:rsidRPr="0015206D">
        <w:rPr>
          <w:color w:val="000000"/>
        </w:rPr>
        <w:t xml:space="preserve">uviđa se da je percepcija ispitanika o sigurnosti hrane na tržištu slična rezultatima ispitanika iz Rumunjske i Bugarske koje su imale najmanji postotak, svega 4% ispitanika misli da su u osnovi svi prehrambeni proizvodi sigurni, a najveći postotak stanovnika koji misli da su u osnovi svi prehrambeni proizvodi su sigurni ima Finska, čak 33%. Nadalje, mogu se usporediti rezultati dobiveni istraživanjem o percepciji potrošača glede nesigurnosti prehrambenih proizvoda, naime u Švedskoj 65%ispitanika smatra da je mali broj prehrambenih proizvoda nesiguran, a rezultati provedene ankete u Republici Hrvatskoj ukazuju da 15,92% smatra da je mali broj prehrambenih proizvoda nesiguran. </w:t>
      </w:r>
    </w:p>
    <w:p w:rsidR="00CE1313" w:rsidRPr="00E433C6" w:rsidRDefault="00CE1313" w:rsidP="00E433C6">
      <w:pPr>
        <w:rPr>
          <w:i/>
          <w:color w:val="000000"/>
          <w:sz w:val="22"/>
          <w:szCs w:val="22"/>
        </w:rPr>
      </w:pPr>
      <w:r w:rsidRPr="00E433C6">
        <w:rPr>
          <w:i/>
          <w:color w:val="000000"/>
          <w:sz w:val="22"/>
          <w:szCs w:val="22"/>
        </w:rPr>
        <w:t xml:space="preserve">Tablica </w:t>
      </w:r>
      <w:r w:rsidRPr="00E433C6">
        <w:rPr>
          <w:color w:val="000000"/>
          <w:sz w:val="22"/>
          <w:szCs w:val="22"/>
        </w:rPr>
        <w:t>2.</w:t>
      </w:r>
      <w:r w:rsidRPr="00E433C6">
        <w:rPr>
          <w:i/>
          <w:color w:val="000000"/>
          <w:sz w:val="22"/>
          <w:szCs w:val="22"/>
        </w:rPr>
        <w:t xml:space="preserve"> Analitički prikaz izjave ispitanika „Što se tiče svih prehrambenih proizvoda koji su trenutno na hrvatskom tržištu, smatrate li 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4"/>
        <w:gridCol w:w="1891"/>
        <w:gridCol w:w="1746"/>
        <w:gridCol w:w="1803"/>
        <w:gridCol w:w="1200"/>
        <w:gridCol w:w="918"/>
      </w:tblGrid>
      <w:tr w:rsidR="00CE1313" w:rsidRPr="00370B40" w:rsidTr="00370B40">
        <w:trPr>
          <w:jc w:val="center"/>
        </w:trPr>
        <w:tc>
          <w:tcPr>
            <w:tcW w:w="736" w:type="pct"/>
            <w:shd w:val="clear" w:color="auto" w:fill="DBE5F1"/>
            <w:vAlign w:val="center"/>
          </w:tcPr>
          <w:p w:rsidR="00CE1313" w:rsidRPr="00370B40" w:rsidRDefault="00CE1313" w:rsidP="00D92E1C">
            <w:pPr>
              <w:pStyle w:val="NoSpacing"/>
              <w:rPr>
                <w:sz w:val="18"/>
                <w:szCs w:val="18"/>
              </w:rPr>
            </w:pPr>
          </w:p>
        </w:tc>
        <w:tc>
          <w:tcPr>
            <w:tcW w:w="1067" w:type="pct"/>
            <w:shd w:val="clear" w:color="auto" w:fill="DBE5F1"/>
            <w:vAlign w:val="center"/>
          </w:tcPr>
          <w:p w:rsidR="00CE1313" w:rsidRPr="00370B40" w:rsidRDefault="00CE1313" w:rsidP="00370B40">
            <w:pPr>
              <w:pStyle w:val="NoSpacing"/>
              <w:jc w:val="left"/>
              <w:rPr>
                <w:b/>
                <w:sz w:val="18"/>
                <w:szCs w:val="18"/>
              </w:rPr>
            </w:pPr>
            <w:r w:rsidRPr="00370B40">
              <w:rPr>
                <w:b/>
                <w:sz w:val="18"/>
                <w:szCs w:val="18"/>
              </w:rPr>
              <w:t>Značajan brprehram. proizvod. je nesiguran</w:t>
            </w:r>
          </w:p>
        </w:tc>
        <w:tc>
          <w:tcPr>
            <w:tcW w:w="985" w:type="pct"/>
            <w:shd w:val="clear" w:color="auto" w:fill="DBE5F1"/>
            <w:vAlign w:val="center"/>
          </w:tcPr>
          <w:p w:rsidR="00CE1313" w:rsidRPr="00370B40" w:rsidRDefault="00CE1313" w:rsidP="00370B40">
            <w:pPr>
              <w:pStyle w:val="NoSpacing"/>
              <w:jc w:val="left"/>
              <w:rPr>
                <w:b/>
                <w:sz w:val="18"/>
                <w:szCs w:val="18"/>
              </w:rPr>
            </w:pPr>
            <w:r w:rsidRPr="00370B40">
              <w:rPr>
                <w:b/>
                <w:sz w:val="18"/>
                <w:szCs w:val="18"/>
              </w:rPr>
              <w:t>U osnovi su svi prehram. proizvodi sigurni</w:t>
            </w:r>
          </w:p>
        </w:tc>
        <w:tc>
          <w:tcPr>
            <w:tcW w:w="1017" w:type="pct"/>
            <w:shd w:val="clear" w:color="auto" w:fill="DBE5F1"/>
            <w:vAlign w:val="center"/>
          </w:tcPr>
          <w:p w:rsidR="00CE1313" w:rsidRPr="00370B40" w:rsidRDefault="00CE1313" w:rsidP="00370B40">
            <w:pPr>
              <w:pStyle w:val="NoSpacing"/>
              <w:jc w:val="left"/>
              <w:rPr>
                <w:b/>
                <w:sz w:val="18"/>
                <w:szCs w:val="18"/>
                <w:lang w:val="de-DE"/>
              </w:rPr>
            </w:pPr>
            <w:r w:rsidRPr="00370B40">
              <w:rPr>
                <w:b/>
                <w:sz w:val="18"/>
                <w:szCs w:val="18"/>
                <w:lang w:val="de-DE"/>
              </w:rPr>
              <w:t>Mali br. prehram. proizvoda je nesiguran</w:t>
            </w:r>
          </w:p>
        </w:tc>
        <w:tc>
          <w:tcPr>
            <w:tcW w:w="677" w:type="pct"/>
            <w:shd w:val="clear" w:color="auto" w:fill="DBE5F1"/>
            <w:vAlign w:val="center"/>
          </w:tcPr>
          <w:p w:rsidR="00CE1313" w:rsidRPr="00370B40" w:rsidRDefault="00CE1313" w:rsidP="00370B40">
            <w:pPr>
              <w:pStyle w:val="NoSpacing"/>
              <w:jc w:val="left"/>
              <w:rPr>
                <w:b/>
                <w:sz w:val="18"/>
                <w:szCs w:val="18"/>
              </w:rPr>
            </w:pPr>
            <w:r w:rsidRPr="00370B40">
              <w:rPr>
                <w:b/>
                <w:sz w:val="18"/>
                <w:szCs w:val="18"/>
              </w:rPr>
              <w:t>To ovisi o proizvodu</w:t>
            </w:r>
          </w:p>
        </w:tc>
        <w:tc>
          <w:tcPr>
            <w:tcW w:w="518" w:type="pct"/>
            <w:shd w:val="clear" w:color="auto" w:fill="DBE5F1"/>
            <w:vAlign w:val="center"/>
          </w:tcPr>
          <w:p w:rsidR="00CE1313" w:rsidRPr="00370B40" w:rsidRDefault="00CE1313" w:rsidP="00370B40">
            <w:pPr>
              <w:pStyle w:val="NoSpacing"/>
              <w:jc w:val="left"/>
              <w:rPr>
                <w:b/>
                <w:sz w:val="18"/>
                <w:szCs w:val="18"/>
              </w:rPr>
            </w:pPr>
            <w:r w:rsidRPr="00370B40">
              <w:rPr>
                <w:b/>
                <w:sz w:val="18"/>
                <w:szCs w:val="18"/>
              </w:rPr>
              <w:t>Ne znam</w:t>
            </w:r>
          </w:p>
        </w:tc>
      </w:tr>
      <w:tr w:rsidR="00CE1313" w:rsidRPr="00370B40" w:rsidTr="00370B40">
        <w:trPr>
          <w:jc w:val="center"/>
        </w:trPr>
        <w:tc>
          <w:tcPr>
            <w:tcW w:w="736" w:type="pct"/>
            <w:vAlign w:val="center"/>
          </w:tcPr>
          <w:p w:rsidR="00CE1313" w:rsidRPr="00370B40" w:rsidRDefault="00CE1313" w:rsidP="00D92E1C">
            <w:pPr>
              <w:pStyle w:val="NoSpacing"/>
              <w:rPr>
                <w:b/>
                <w:sz w:val="18"/>
                <w:szCs w:val="18"/>
              </w:rPr>
            </w:pPr>
            <w:r w:rsidRPr="00370B40">
              <w:rPr>
                <w:b/>
                <w:sz w:val="18"/>
                <w:szCs w:val="18"/>
              </w:rPr>
              <w:t>Ukupno</w:t>
            </w:r>
          </w:p>
        </w:tc>
        <w:tc>
          <w:tcPr>
            <w:tcW w:w="1067" w:type="pct"/>
            <w:vAlign w:val="center"/>
          </w:tcPr>
          <w:p w:rsidR="00CE1313" w:rsidRPr="00370B40" w:rsidRDefault="00CE1313" w:rsidP="00D92E1C">
            <w:pPr>
              <w:pStyle w:val="NoSpacing"/>
              <w:rPr>
                <w:sz w:val="18"/>
                <w:szCs w:val="18"/>
              </w:rPr>
            </w:pPr>
            <w:r w:rsidRPr="00370B40">
              <w:rPr>
                <w:sz w:val="18"/>
                <w:szCs w:val="18"/>
              </w:rPr>
              <w:t>42,56%</w:t>
            </w:r>
          </w:p>
        </w:tc>
        <w:tc>
          <w:tcPr>
            <w:tcW w:w="985" w:type="pct"/>
            <w:vAlign w:val="center"/>
          </w:tcPr>
          <w:p w:rsidR="00CE1313" w:rsidRPr="00370B40" w:rsidRDefault="00CE1313" w:rsidP="00D92E1C">
            <w:pPr>
              <w:pStyle w:val="NoSpacing"/>
              <w:rPr>
                <w:sz w:val="18"/>
                <w:szCs w:val="18"/>
              </w:rPr>
            </w:pPr>
            <w:r w:rsidRPr="00370B40">
              <w:rPr>
                <w:sz w:val="18"/>
                <w:szCs w:val="18"/>
              </w:rPr>
              <w:t>4,76%</w:t>
            </w:r>
          </w:p>
        </w:tc>
        <w:tc>
          <w:tcPr>
            <w:tcW w:w="1017" w:type="pct"/>
            <w:vAlign w:val="center"/>
          </w:tcPr>
          <w:p w:rsidR="00CE1313" w:rsidRPr="00370B40" w:rsidRDefault="00CE1313" w:rsidP="00D92E1C">
            <w:pPr>
              <w:pStyle w:val="NoSpacing"/>
              <w:rPr>
                <w:sz w:val="18"/>
                <w:szCs w:val="18"/>
              </w:rPr>
            </w:pPr>
            <w:r w:rsidRPr="00370B40">
              <w:rPr>
                <w:sz w:val="18"/>
                <w:szCs w:val="18"/>
              </w:rPr>
              <w:t>15,92%</w:t>
            </w:r>
          </w:p>
        </w:tc>
        <w:tc>
          <w:tcPr>
            <w:tcW w:w="677" w:type="pct"/>
            <w:vAlign w:val="center"/>
          </w:tcPr>
          <w:p w:rsidR="00CE1313" w:rsidRPr="00370B40" w:rsidRDefault="00CE1313" w:rsidP="00D92E1C">
            <w:pPr>
              <w:pStyle w:val="NoSpacing"/>
              <w:rPr>
                <w:sz w:val="18"/>
                <w:szCs w:val="18"/>
              </w:rPr>
            </w:pPr>
            <w:r w:rsidRPr="00370B40">
              <w:rPr>
                <w:sz w:val="18"/>
                <w:szCs w:val="18"/>
              </w:rPr>
              <w:t>30,06%</w:t>
            </w:r>
          </w:p>
        </w:tc>
        <w:tc>
          <w:tcPr>
            <w:tcW w:w="518" w:type="pct"/>
            <w:vAlign w:val="center"/>
          </w:tcPr>
          <w:p w:rsidR="00CE1313" w:rsidRPr="00370B40" w:rsidRDefault="00CE1313" w:rsidP="00D92E1C">
            <w:pPr>
              <w:pStyle w:val="NoSpacing"/>
              <w:rPr>
                <w:sz w:val="18"/>
                <w:szCs w:val="18"/>
              </w:rPr>
            </w:pPr>
            <w:r w:rsidRPr="00370B40">
              <w:rPr>
                <w:sz w:val="18"/>
                <w:szCs w:val="18"/>
              </w:rPr>
              <w:t>6,70%</w:t>
            </w:r>
          </w:p>
        </w:tc>
      </w:tr>
      <w:tr w:rsidR="00CE1313" w:rsidRPr="00370B40" w:rsidTr="00370B40">
        <w:trPr>
          <w:jc w:val="center"/>
        </w:trPr>
        <w:tc>
          <w:tcPr>
            <w:tcW w:w="736" w:type="pct"/>
            <w:tcBorders>
              <w:right w:val="nil"/>
            </w:tcBorders>
            <w:vAlign w:val="center"/>
          </w:tcPr>
          <w:p w:rsidR="00CE1313" w:rsidRPr="00370B40" w:rsidRDefault="00CE1313" w:rsidP="00D92E1C">
            <w:pPr>
              <w:pStyle w:val="NoSpacing"/>
              <w:rPr>
                <w:b/>
                <w:sz w:val="18"/>
                <w:szCs w:val="18"/>
              </w:rPr>
            </w:pPr>
            <w:r w:rsidRPr="00370B40">
              <w:rPr>
                <w:b/>
                <w:sz w:val="18"/>
                <w:szCs w:val="18"/>
              </w:rPr>
              <w:t>Spol</w:t>
            </w:r>
          </w:p>
        </w:tc>
        <w:tc>
          <w:tcPr>
            <w:tcW w:w="1067" w:type="pct"/>
            <w:tcBorders>
              <w:left w:val="nil"/>
              <w:right w:val="nil"/>
            </w:tcBorders>
            <w:vAlign w:val="center"/>
          </w:tcPr>
          <w:p w:rsidR="00CE1313" w:rsidRPr="00370B40" w:rsidRDefault="00CE1313" w:rsidP="00370B40">
            <w:pPr>
              <w:pStyle w:val="NoSpacing"/>
              <w:jc w:val="right"/>
              <w:rPr>
                <w:sz w:val="18"/>
                <w:szCs w:val="18"/>
              </w:rPr>
            </w:pPr>
          </w:p>
        </w:tc>
        <w:tc>
          <w:tcPr>
            <w:tcW w:w="985" w:type="pct"/>
            <w:tcBorders>
              <w:left w:val="nil"/>
              <w:right w:val="nil"/>
            </w:tcBorders>
            <w:vAlign w:val="center"/>
          </w:tcPr>
          <w:p w:rsidR="00CE1313" w:rsidRPr="00370B40" w:rsidRDefault="00CE1313" w:rsidP="00370B40">
            <w:pPr>
              <w:pStyle w:val="NoSpacing"/>
              <w:jc w:val="right"/>
              <w:rPr>
                <w:sz w:val="18"/>
                <w:szCs w:val="18"/>
              </w:rPr>
            </w:pPr>
          </w:p>
        </w:tc>
        <w:tc>
          <w:tcPr>
            <w:tcW w:w="1017" w:type="pct"/>
            <w:tcBorders>
              <w:left w:val="nil"/>
              <w:right w:val="nil"/>
            </w:tcBorders>
            <w:vAlign w:val="center"/>
          </w:tcPr>
          <w:p w:rsidR="00CE1313" w:rsidRPr="00370B40" w:rsidRDefault="00CE1313" w:rsidP="00370B40">
            <w:pPr>
              <w:pStyle w:val="NoSpacing"/>
              <w:jc w:val="right"/>
              <w:rPr>
                <w:sz w:val="18"/>
                <w:szCs w:val="18"/>
              </w:rPr>
            </w:pPr>
          </w:p>
        </w:tc>
        <w:tc>
          <w:tcPr>
            <w:tcW w:w="677" w:type="pct"/>
            <w:tcBorders>
              <w:left w:val="nil"/>
              <w:right w:val="nil"/>
            </w:tcBorders>
            <w:vAlign w:val="center"/>
          </w:tcPr>
          <w:p w:rsidR="00CE1313" w:rsidRPr="00370B40" w:rsidRDefault="00CE1313" w:rsidP="00370B40">
            <w:pPr>
              <w:pStyle w:val="NoSpacing"/>
              <w:jc w:val="right"/>
              <w:rPr>
                <w:sz w:val="18"/>
                <w:szCs w:val="18"/>
              </w:rPr>
            </w:pPr>
          </w:p>
        </w:tc>
        <w:tc>
          <w:tcPr>
            <w:tcW w:w="518" w:type="pct"/>
            <w:tcBorders>
              <w:left w:val="nil"/>
            </w:tcBorders>
            <w:vAlign w:val="center"/>
          </w:tcPr>
          <w:p w:rsidR="00CE1313" w:rsidRPr="00370B40" w:rsidRDefault="00CE1313" w:rsidP="00370B40">
            <w:pPr>
              <w:pStyle w:val="NoSpacing"/>
              <w:jc w:val="right"/>
              <w:rPr>
                <w:sz w:val="18"/>
                <w:szCs w:val="18"/>
              </w:rPr>
            </w:pP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Muško</w:t>
            </w:r>
          </w:p>
        </w:tc>
        <w:tc>
          <w:tcPr>
            <w:tcW w:w="1067" w:type="pct"/>
            <w:vAlign w:val="center"/>
          </w:tcPr>
          <w:p w:rsidR="00CE1313" w:rsidRPr="00370B40" w:rsidRDefault="00CE1313" w:rsidP="00370B40">
            <w:pPr>
              <w:pStyle w:val="NoSpacing"/>
              <w:jc w:val="right"/>
              <w:rPr>
                <w:sz w:val="18"/>
                <w:szCs w:val="18"/>
              </w:rPr>
            </w:pPr>
            <w:r w:rsidRPr="00370B40">
              <w:rPr>
                <w:sz w:val="18"/>
                <w:szCs w:val="18"/>
              </w:rPr>
              <w:t>40,00%</w:t>
            </w:r>
          </w:p>
        </w:tc>
        <w:tc>
          <w:tcPr>
            <w:tcW w:w="985" w:type="pct"/>
            <w:vAlign w:val="center"/>
          </w:tcPr>
          <w:p w:rsidR="00CE1313" w:rsidRPr="00370B40" w:rsidRDefault="00CE1313" w:rsidP="00370B40">
            <w:pPr>
              <w:pStyle w:val="NoSpacing"/>
              <w:jc w:val="right"/>
              <w:rPr>
                <w:sz w:val="18"/>
                <w:szCs w:val="18"/>
              </w:rPr>
            </w:pPr>
            <w:r w:rsidRPr="00370B40">
              <w:rPr>
                <w:sz w:val="18"/>
                <w:szCs w:val="18"/>
              </w:rPr>
              <w:t>4,71%</w:t>
            </w:r>
          </w:p>
        </w:tc>
        <w:tc>
          <w:tcPr>
            <w:tcW w:w="1017" w:type="pct"/>
            <w:vAlign w:val="center"/>
          </w:tcPr>
          <w:p w:rsidR="00CE1313" w:rsidRPr="00370B40" w:rsidRDefault="00CE1313" w:rsidP="00370B40">
            <w:pPr>
              <w:pStyle w:val="NoSpacing"/>
              <w:jc w:val="right"/>
              <w:rPr>
                <w:sz w:val="18"/>
                <w:szCs w:val="18"/>
              </w:rPr>
            </w:pPr>
            <w:r w:rsidRPr="00370B40">
              <w:rPr>
                <w:sz w:val="18"/>
                <w:szCs w:val="18"/>
              </w:rPr>
              <w:t>20,00%</w:t>
            </w:r>
          </w:p>
        </w:tc>
        <w:tc>
          <w:tcPr>
            <w:tcW w:w="677" w:type="pct"/>
            <w:vAlign w:val="center"/>
          </w:tcPr>
          <w:p w:rsidR="00CE1313" w:rsidRPr="00370B40" w:rsidRDefault="00CE1313" w:rsidP="00370B40">
            <w:pPr>
              <w:pStyle w:val="NoSpacing"/>
              <w:jc w:val="right"/>
              <w:rPr>
                <w:sz w:val="18"/>
                <w:szCs w:val="18"/>
              </w:rPr>
            </w:pPr>
            <w:r w:rsidRPr="00370B40">
              <w:rPr>
                <w:sz w:val="18"/>
                <w:szCs w:val="18"/>
              </w:rPr>
              <w:t>25,88%</w:t>
            </w:r>
          </w:p>
        </w:tc>
        <w:tc>
          <w:tcPr>
            <w:tcW w:w="518" w:type="pct"/>
            <w:vAlign w:val="center"/>
          </w:tcPr>
          <w:p w:rsidR="00CE1313" w:rsidRPr="00370B40" w:rsidRDefault="00CE1313" w:rsidP="00370B40">
            <w:pPr>
              <w:pStyle w:val="NoSpacing"/>
              <w:jc w:val="right"/>
              <w:rPr>
                <w:sz w:val="18"/>
                <w:szCs w:val="18"/>
              </w:rPr>
            </w:pPr>
            <w:r w:rsidRPr="00370B40">
              <w:rPr>
                <w:sz w:val="18"/>
                <w:szCs w:val="18"/>
              </w:rPr>
              <w:t>9,41%</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Žensko</w:t>
            </w:r>
          </w:p>
        </w:tc>
        <w:tc>
          <w:tcPr>
            <w:tcW w:w="1067" w:type="pct"/>
            <w:vAlign w:val="center"/>
          </w:tcPr>
          <w:p w:rsidR="00CE1313" w:rsidRPr="00370B40" w:rsidRDefault="00CE1313" w:rsidP="00370B40">
            <w:pPr>
              <w:pStyle w:val="NoSpacing"/>
              <w:jc w:val="right"/>
              <w:rPr>
                <w:sz w:val="18"/>
                <w:szCs w:val="18"/>
              </w:rPr>
            </w:pPr>
            <w:r w:rsidRPr="00370B40">
              <w:rPr>
                <w:sz w:val="18"/>
                <w:szCs w:val="18"/>
              </w:rPr>
              <w:t>42,93%</w:t>
            </w:r>
          </w:p>
        </w:tc>
        <w:tc>
          <w:tcPr>
            <w:tcW w:w="985" w:type="pct"/>
            <w:vAlign w:val="center"/>
          </w:tcPr>
          <w:p w:rsidR="00CE1313" w:rsidRPr="00370B40" w:rsidRDefault="00CE1313" w:rsidP="00370B40">
            <w:pPr>
              <w:pStyle w:val="NoSpacing"/>
              <w:jc w:val="right"/>
              <w:rPr>
                <w:sz w:val="18"/>
                <w:szCs w:val="18"/>
              </w:rPr>
            </w:pPr>
            <w:r w:rsidRPr="00370B40">
              <w:rPr>
                <w:sz w:val="18"/>
                <w:szCs w:val="18"/>
              </w:rPr>
              <w:t>4,77%</w:t>
            </w:r>
          </w:p>
        </w:tc>
        <w:tc>
          <w:tcPr>
            <w:tcW w:w="1017" w:type="pct"/>
            <w:vAlign w:val="center"/>
          </w:tcPr>
          <w:p w:rsidR="00CE1313" w:rsidRPr="00370B40" w:rsidRDefault="00CE1313" w:rsidP="00370B40">
            <w:pPr>
              <w:pStyle w:val="NoSpacing"/>
              <w:jc w:val="right"/>
              <w:rPr>
                <w:sz w:val="18"/>
                <w:szCs w:val="18"/>
              </w:rPr>
            </w:pPr>
            <w:r w:rsidRPr="00370B40">
              <w:rPr>
                <w:sz w:val="18"/>
                <w:szCs w:val="18"/>
              </w:rPr>
              <w:t>15,33%</w:t>
            </w:r>
          </w:p>
        </w:tc>
        <w:tc>
          <w:tcPr>
            <w:tcW w:w="677" w:type="pct"/>
            <w:vAlign w:val="center"/>
          </w:tcPr>
          <w:p w:rsidR="00CE1313" w:rsidRPr="00370B40" w:rsidRDefault="00CE1313" w:rsidP="00370B40">
            <w:pPr>
              <w:pStyle w:val="NoSpacing"/>
              <w:jc w:val="right"/>
              <w:rPr>
                <w:sz w:val="18"/>
                <w:szCs w:val="18"/>
              </w:rPr>
            </w:pPr>
            <w:r w:rsidRPr="00370B40">
              <w:rPr>
                <w:sz w:val="18"/>
                <w:szCs w:val="18"/>
              </w:rPr>
              <w:t>30,66%</w:t>
            </w:r>
          </w:p>
        </w:tc>
        <w:tc>
          <w:tcPr>
            <w:tcW w:w="518" w:type="pct"/>
            <w:vAlign w:val="center"/>
          </w:tcPr>
          <w:p w:rsidR="00CE1313" w:rsidRPr="00370B40" w:rsidRDefault="00CE1313" w:rsidP="00370B40">
            <w:pPr>
              <w:pStyle w:val="NoSpacing"/>
              <w:jc w:val="right"/>
              <w:rPr>
                <w:sz w:val="18"/>
                <w:szCs w:val="18"/>
              </w:rPr>
            </w:pPr>
            <w:r w:rsidRPr="00370B40">
              <w:rPr>
                <w:sz w:val="18"/>
                <w:szCs w:val="18"/>
              </w:rPr>
              <w:t>6,30%</w:t>
            </w:r>
          </w:p>
        </w:tc>
      </w:tr>
      <w:tr w:rsidR="00CE1313" w:rsidRPr="00370B40" w:rsidTr="00370B40">
        <w:trPr>
          <w:jc w:val="center"/>
        </w:trPr>
        <w:tc>
          <w:tcPr>
            <w:tcW w:w="736" w:type="pct"/>
            <w:tcBorders>
              <w:right w:val="nil"/>
            </w:tcBorders>
            <w:vAlign w:val="center"/>
          </w:tcPr>
          <w:p w:rsidR="00CE1313" w:rsidRPr="00370B40" w:rsidRDefault="00CE1313" w:rsidP="00D92E1C">
            <w:pPr>
              <w:pStyle w:val="NoSpacing"/>
              <w:rPr>
                <w:b/>
                <w:sz w:val="18"/>
                <w:szCs w:val="18"/>
              </w:rPr>
            </w:pPr>
            <w:r w:rsidRPr="00370B40">
              <w:rPr>
                <w:b/>
                <w:sz w:val="18"/>
                <w:szCs w:val="18"/>
              </w:rPr>
              <w:t>Dob</w:t>
            </w:r>
          </w:p>
        </w:tc>
        <w:tc>
          <w:tcPr>
            <w:tcW w:w="1067" w:type="pct"/>
            <w:tcBorders>
              <w:left w:val="nil"/>
              <w:right w:val="nil"/>
            </w:tcBorders>
            <w:vAlign w:val="center"/>
          </w:tcPr>
          <w:p w:rsidR="00CE1313" w:rsidRPr="00370B40" w:rsidRDefault="00CE1313" w:rsidP="00370B40">
            <w:pPr>
              <w:pStyle w:val="NoSpacing"/>
              <w:jc w:val="right"/>
              <w:rPr>
                <w:sz w:val="18"/>
                <w:szCs w:val="18"/>
              </w:rPr>
            </w:pPr>
          </w:p>
        </w:tc>
        <w:tc>
          <w:tcPr>
            <w:tcW w:w="985" w:type="pct"/>
            <w:tcBorders>
              <w:left w:val="nil"/>
              <w:right w:val="nil"/>
            </w:tcBorders>
            <w:vAlign w:val="center"/>
          </w:tcPr>
          <w:p w:rsidR="00CE1313" w:rsidRPr="00370B40" w:rsidRDefault="00CE1313" w:rsidP="00370B40">
            <w:pPr>
              <w:pStyle w:val="NoSpacing"/>
              <w:jc w:val="right"/>
              <w:rPr>
                <w:sz w:val="18"/>
                <w:szCs w:val="18"/>
              </w:rPr>
            </w:pPr>
          </w:p>
        </w:tc>
        <w:tc>
          <w:tcPr>
            <w:tcW w:w="1017" w:type="pct"/>
            <w:tcBorders>
              <w:left w:val="nil"/>
              <w:right w:val="nil"/>
            </w:tcBorders>
            <w:vAlign w:val="center"/>
          </w:tcPr>
          <w:p w:rsidR="00CE1313" w:rsidRPr="00370B40" w:rsidRDefault="00CE1313" w:rsidP="00370B40">
            <w:pPr>
              <w:pStyle w:val="NoSpacing"/>
              <w:jc w:val="right"/>
              <w:rPr>
                <w:sz w:val="18"/>
                <w:szCs w:val="18"/>
              </w:rPr>
            </w:pPr>
          </w:p>
        </w:tc>
        <w:tc>
          <w:tcPr>
            <w:tcW w:w="677" w:type="pct"/>
            <w:tcBorders>
              <w:left w:val="nil"/>
              <w:right w:val="nil"/>
            </w:tcBorders>
            <w:vAlign w:val="center"/>
          </w:tcPr>
          <w:p w:rsidR="00CE1313" w:rsidRPr="00370B40" w:rsidRDefault="00CE1313" w:rsidP="00370B40">
            <w:pPr>
              <w:pStyle w:val="NoSpacing"/>
              <w:jc w:val="right"/>
              <w:rPr>
                <w:sz w:val="18"/>
                <w:szCs w:val="18"/>
              </w:rPr>
            </w:pPr>
          </w:p>
        </w:tc>
        <w:tc>
          <w:tcPr>
            <w:tcW w:w="518" w:type="pct"/>
            <w:tcBorders>
              <w:left w:val="nil"/>
            </w:tcBorders>
            <w:vAlign w:val="center"/>
          </w:tcPr>
          <w:p w:rsidR="00CE1313" w:rsidRPr="00370B40" w:rsidRDefault="00CE1313" w:rsidP="00370B40">
            <w:pPr>
              <w:pStyle w:val="NoSpacing"/>
              <w:jc w:val="right"/>
              <w:rPr>
                <w:sz w:val="18"/>
                <w:szCs w:val="18"/>
              </w:rPr>
            </w:pP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18 – 25</w:t>
            </w:r>
          </w:p>
        </w:tc>
        <w:tc>
          <w:tcPr>
            <w:tcW w:w="1067" w:type="pct"/>
            <w:vAlign w:val="center"/>
          </w:tcPr>
          <w:p w:rsidR="00CE1313" w:rsidRPr="00370B40" w:rsidRDefault="00CE1313" w:rsidP="00370B40">
            <w:pPr>
              <w:pStyle w:val="NoSpacing"/>
              <w:jc w:val="right"/>
              <w:rPr>
                <w:sz w:val="18"/>
                <w:szCs w:val="18"/>
              </w:rPr>
            </w:pPr>
            <w:r w:rsidRPr="00370B40">
              <w:rPr>
                <w:sz w:val="18"/>
                <w:szCs w:val="18"/>
              </w:rPr>
              <w:t>36,24%</w:t>
            </w:r>
          </w:p>
        </w:tc>
        <w:tc>
          <w:tcPr>
            <w:tcW w:w="985" w:type="pct"/>
            <w:vAlign w:val="center"/>
          </w:tcPr>
          <w:p w:rsidR="00CE1313" w:rsidRPr="00370B40" w:rsidRDefault="00CE1313" w:rsidP="00370B40">
            <w:pPr>
              <w:pStyle w:val="NoSpacing"/>
              <w:jc w:val="right"/>
              <w:rPr>
                <w:sz w:val="18"/>
                <w:szCs w:val="18"/>
              </w:rPr>
            </w:pPr>
            <w:r w:rsidRPr="00370B40">
              <w:rPr>
                <w:sz w:val="18"/>
                <w:szCs w:val="18"/>
              </w:rPr>
              <w:t>3,67%</w:t>
            </w:r>
          </w:p>
        </w:tc>
        <w:tc>
          <w:tcPr>
            <w:tcW w:w="1017" w:type="pct"/>
            <w:vAlign w:val="center"/>
          </w:tcPr>
          <w:p w:rsidR="00CE1313" w:rsidRPr="00370B40" w:rsidRDefault="00CE1313" w:rsidP="00370B40">
            <w:pPr>
              <w:pStyle w:val="NoSpacing"/>
              <w:jc w:val="right"/>
              <w:rPr>
                <w:sz w:val="18"/>
                <w:szCs w:val="18"/>
              </w:rPr>
            </w:pPr>
            <w:r w:rsidRPr="00370B40">
              <w:rPr>
                <w:sz w:val="18"/>
                <w:szCs w:val="18"/>
              </w:rPr>
              <w:t>16,06%</w:t>
            </w:r>
          </w:p>
        </w:tc>
        <w:tc>
          <w:tcPr>
            <w:tcW w:w="677" w:type="pct"/>
            <w:vAlign w:val="center"/>
          </w:tcPr>
          <w:p w:rsidR="00CE1313" w:rsidRPr="00370B40" w:rsidRDefault="00CE1313" w:rsidP="00370B40">
            <w:pPr>
              <w:pStyle w:val="NoSpacing"/>
              <w:jc w:val="right"/>
              <w:rPr>
                <w:sz w:val="18"/>
                <w:szCs w:val="18"/>
              </w:rPr>
            </w:pPr>
            <w:r w:rsidRPr="00370B40">
              <w:rPr>
                <w:sz w:val="18"/>
                <w:szCs w:val="18"/>
              </w:rPr>
              <w:t>31,65%</w:t>
            </w:r>
          </w:p>
        </w:tc>
        <w:tc>
          <w:tcPr>
            <w:tcW w:w="518" w:type="pct"/>
            <w:vAlign w:val="center"/>
          </w:tcPr>
          <w:p w:rsidR="00CE1313" w:rsidRPr="00370B40" w:rsidRDefault="00CE1313" w:rsidP="00370B40">
            <w:pPr>
              <w:pStyle w:val="NoSpacing"/>
              <w:jc w:val="right"/>
              <w:rPr>
                <w:sz w:val="18"/>
                <w:szCs w:val="18"/>
              </w:rPr>
            </w:pPr>
            <w:r w:rsidRPr="00370B40">
              <w:rPr>
                <w:sz w:val="18"/>
                <w:szCs w:val="18"/>
              </w:rPr>
              <w:t>12,39%</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26 – 35</w:t>
            </w:r>
          </w:p>
        </w:tc>
        <w:tc>
          <w:tcPr>
            <w:tcW w:w="1067" w:type="pct"/>
            <w:vAlign w:val="center"/>
          </w:tcPr>
          <w:p w:rsidR="00CE1313" w:rsidRPr="00370B40" w:rsidRDefault="00CE1313" w:rsidP="00370B40">
            <w:pPr>
              <w:pStyle w:val="NoSpacing"/>
              <w:jc w:val="right"/>
              <w:rPr>
                <w:sz w:val="18"/>
                <w:szCs w:val="18"/>
              </w:rPr>
            </w:pPr>
            <w:r w:rsidRPr="00370B40">
              <w:rPr>
                <w:sz w:val="18"/>
                <w:szCs w:val="18"/>
              </w:rPr>
              <w:t>41,39%</w:t>
            </w:r>
          </w:p>
        </w:tc>
        <w:tc>
          <w:tcPr>
            <w:tcW w:w="985" w:type="pct"/>
            <w:vAlign w:val="center"/>
          </w:tcPr>
          <w:p w:rsidR="00CE1313" w:rsidRPr="00370B40" w:rsidRDefault="00CE1313" w:rsidP="00370B40">
            <w:pPr>
              <w:pStyle w:val="NoSpacing"/>
              <w:jc w:val="right"/>
              <w:rPr>
                <w:sz w:val="18"/>
                <w:szCs w:val="18"/>
              </w:rPr>
            </w:pPr>
            <w:r w:rsidRPr="00370B40">
              <w:rPr>
                <w:sz w:val="18"/>
                <w:szCs w:val="18"/>
              </w:rPr>
              <w:t>6,15%</w:t>
            </w:r>
          </w:p>
        </w:tc>
        <w:tc>
          <w:tcPr>
            <w:tcW w:w="1017" w:type="pct"/>
            <w:vAlign w:val="center"/>
          </w:tcPr>
          <w:p w:rsidR="00CE1313" w:rsidRPr="00370B40" w:rsidRDefault="00CE1313" w:rsidP="00370B40">
            <w:pPr>
              <w:pStyle w:val="NoSpacing"/>
              <w:jc w:val="right"/>
              <w:rPr>
                <w:sz w:val="18"/>
                <w:szCs w:val="18"/>
              </w:rPr>
            </w:pPr>
            <w:r w:rsidRPr="00370B40">
              <w:rPr>
                <w:sz w:val="18"/>
                <w:szCs w:val="18"/>
              </w:rPr>
              <w:t>12,30%</w:t>
            </w:r>
          </w:p>
        </w:tc>
        <w:tc>
          <w:tcPr>
            <w:tcW w:w="677" w:type="pct"/>
            <w:vAlign w:val="center"/>
          </w:tcPr>
          <w:p w:rsidR="00CE1313" w:rsidRPr="00370B40" w:rsidRDefault="00CE1313" w:rsidP="00370B40">
            <w:pPr>
              <w:pStyle w:val="NoSpacing"/>
              <w:jc w:val="right"/>
              <w:rPr>
                <w:sz w:val="18"/>
                <w:szCs w:val="18"/>
              </w:rPr>
            </w:pPr>
            <w:r w:rsidRPr="00370B40">
              <w:rPr>
                <w:sz w:val="18"/>
                <w:szCs w:val="18"/>
              </w:rPr>
              <w:t>37,30%</w:t>
            </w:r>
          </w:p>
        </w:tc>
        <w:tc>
          <w:tcPr>
            <w:tcW w:w="518" w:type="pct"/>
            <w:vAlign w:val="center"/>
          </w:tcPr>
          <w:p w:rsidR="00CE1313" w:rsidRPr="00370B40" w:rsidRDefault="00CE1313" w:rsidP="00370B40">
            <w:pPr>
              <w:pStyle w:val="NoSpacing"/>
              <w:jc w:val="right"/>
              <w:rPr>
                <w:sz w:val="18"/>
                <w:szCs w:val="18"/>
              </w:rPr>
            </w:pPr>
            <w:r w:rsidRPr="00370B40">
              <w:rPr>
                <w:sz w:val="18"/>
                <w:szCs w:val="18"/>
              </w:rPr>
              <w:t>2,87%</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36 – 45</w:t>
            </w:r>
          </w:p>
        </w:tc>
        <w:tc>
          <w:tcPr>
            <w:tcW w:w="1067" w:type="pct"/>
            <w:vAlign w:val="center"/>
          </w:tcPr>
          <w:p w:rsidR="00CE1313" w:rsidRPr="00370B40" w:rsidRDefault="00CE1313" w:rsidP="00370B40">
            <w:pPr>
              <w:pStyle w:val="NoSpacing"/>
              <w:jc w:val="right"/>
              <w:rPr>
                <w:sz w:val="18"/>
                <w:szCs w:val="18"/>
              </w:rPr>
            </w:pPr>
            <w:r w:rsidRPr="00370B40">
              <w:rPr>
                <w:sz w:val="18"/>
                <w:szCs w:val="18"/>
              </w:rPr>
              <w:t>51,88%</w:t>
            </w:r>
          </w:p>
        </w:tc>
        <w:tc>
          <w:tcPr>
            <w:tcW w:w="985" w:type="pct"/>
            <w:vAlign w:val="center"/>
          </w:tcPr>
          <w:p w:rsidR="00CE1313" w:rsidRPr="00370B40" w:rsidRDefault="00CE1313" w:rsidP="00370B40">
            <w:pPr>
              <w:pStyle w:val="NoSpacing"/>
              <w:jc w:val="right"/>
              <w:rPr>
                <w:sz w:val="18"/>
                <w:szCs w:val="18"/>
              </w:rPr>
            </w:pPr>
            <w:r w:rsidRPr="00370B40">
              <w:rPr>
                <w:sz w:val="18"/>
                <w:szCs w:val="18"/>
              </w:rPr>
              <w:t>5,26%</w:t>
            </w:r>
          </w:p>
        </w:tc>
        <w:tc>
          <w:tcPr>
            <w:tcW w:w="1017" w:type="pct"/>
            <w:vAlign w:val="center"/>
          </w:tcPr>
          <w:p w:rsidR="00CE1313" w:rsidRPr="00370B40" w:rsidRDefault="00CE1313" w:rsidP="00370B40">
            <w:pPr>
              <w:pStyle w:val="NoSpacing"/>
              <w:jc w:val="right"/>
              <w:rPr>
                <w:sz w:val="18"/>
                <w:szCs w:val="18"/>
              </w:rPr>
            </w:pPr>
            <w:r w:rsidRPr="00370B40">
              <w:rPr>
                <w:sz w:val="18"/>
                <w:szCs w:val="18"/>
              </w:rPr>
              <w:t>18,80%</w:t>
            </w:r>
          </w:p>
        </w:tc>
        <w:tc>
          <w:tcPr>
            <w:tcW w:w="677" w:type="pct"/>
            <w:vAlign w:val="center"/>
          </w:tcPr>
          <w:p w:rsidR="00CE1313" w:rsidRPr="00370B40" w:rsidRDefault="00CE1313" w:rsidP="00370B40">
            <w:pPr>
              <w:pStyle w:val="NoSpacing"/>
              <w:jc w:val="right"/>
              <w:rPr>
                <w:sz w:val="18"/>
                <w:szCs w:val="18"/>
              </w:rPr>
            </w:pPr>
            <w:r w:rsidRPr="00370B40">
              <w:rPr>
                <w:sz w:val="18"/>
                <w:szCs w:val="18"/>
              </w:rPr>
              <w:t>19,55%</w:t>
            </w:r>
          </w:p>
        </w:tc>
        <w:tc>
          <w:tcPr>
            <w:tcW w:w="518" w:type="pct"/>
            <w:vAlign w:val="center"/>
          </w:tcPr>
          <w:p w:rsidR="00CE1313" w:rsidRPr="00370B40" w:rsidRDefault="00CE1313" w:rsidP="00370B40">
            <w:pPr>
              <w:pStyle w:val="NoSpacing"/>
              <w:jc w:val="right"/>
              <w:rPr>
                <w:sz w:val="18"/>
                <w:szCs w:val="18"/>
              </w:rPr>
            </w:pPr>
            <w:r w:rsidRPr="00370B40">
              <w:rPr>
                <w:sz w:val="18"/>
                <w:szCs w:val="18"/>
              </w:rPr>
              <w:t>4,51%</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46 – 55</w:t>
            </w:r>
          </w:p>
        </w:tc>
        <w:tc>
          <w:tcPr>
            <w:tcW w:w="1067" w:type="pct"/>
            <w:vAlign w:val="center"/>
          </w:tcPr>
          <w:p w:rsidR="00CE1313" w:rsidRPr="00370B40" w:rsidRDefault="00CE1313" w:rsidP="00370B40">
            <w:pPr>
              <w:pStyle w:val="NoSpacing"/>
              <w:jc w:val="right"/>
              <w:rPr>
                <w:sz w:val="18"/>
                <w:szCs w:val="18"/>
              </w:rPr>
            </w:pPr>
            <w:r w:rsidRPr="00370B40">
              <w:rPr>
                <w:sz w:val="18"/>
                <w:szCs w:val="18"/>
              </w:rPr>
              <w:t>43,18%</w:t>
            </w:r>
          </w:p>
        </w:tc>
        <w:tc>
          <w:tcPr>
            <w:tcW w:w="985" w:type="pct"/>
            <w:vAlign w:val="center"/>
          </w:tcPr>
          <w:p w:rsidR="00CE1313" w:rsidRPr="00370B40" w:rsidRDefault="00CE1313" w:rsidP="00370B40">
            <w:pPr>
              <w:pStyle w:val="NoSpacing"/>
              <w:jc w:val="right"/>
              <w:rPr>
                <w:sz w:val="18"/>
                <w:szCs w:val="18"/>
              </w:rPr>
            </w:pPr>
            <w:r w:rsidRPr="00370B40">
              <w:rPr>
                <w:sz w:val="18"/>
                <w:szCs w:val="18"/>
              </w:rPr>
              <w:t>0,00%</w:t>
            </w:r>
          </w:p>
        </w:tc>
        <w:tc>
          <w:tcPr>
            <w:tcW w:w="1017" w:type="pct"/>
            <w:vAlign w:val="center"/>
          </w:tcPr>
          <w:p w:rsidR="00CE1313" w:rsidRPr="00370B40" w:rsidRDefault="00CE1313" w:rsidP="00370B40">
            <w:pPr>
              <w:pStyle w:val="NoSpacing"/>
              <w:jc w:val="right"/>
              <w:rPr>
                <w:sz w:val="18"/>
                <w:szCs w:val="18"/>
              </w:rPr>
            </w:pPr>
            <w:r w:rsidRPr="00370B40">
              <w:rPr>
                <w:sz w:val="18"/>
                <w:szCs w:val="18"/>
              </w:rPr>
              <w:t>31,82%</w:t>
            </w:r>
          </w:p>
        </w:tc>
        <w:tc>
          <w:tcPr>
            <w:tcW w:w="677" w:type="pct"/>
            <w:vAlign w:val="center"/>
          </w:tcPr>
          <w:p w:rsidR="00CE1313" w:rsidRPr="00370B40" w:rsidRDefault="00CE1313" w:rsidP="00370B40">
            <w:pPr>
              <w:pStyle w:val="NoSpacing"/>
              <w:jc w:val="right"/>
              <w:rPr>
                <w:sz w:val="18"/>
                <w:szCs w:val="18"/>
              </w:rPr>
            </w:pPr>
            <w:r w:rsidRPr="00370B40">
              <w:rPr>
                <w:sz w:val="18"/>
                <w:szCs w:val="18"/>
              </w:rPr>
              <w:t>22,73%</w:t>
            </w:r>
          </w:p>
        </w:tc>
        <w:tc>
          <w:tcPr>
            <w:tcW w:w="518" w:type="pct"/>
            <w:vAlign w:val="center"/>
          </w:tcPr>
          <w:p w:rsidR="00CE1313" w:rsidRPr="00370B40" w:rsidRDefault="00CE1313" w:rsidP="00370B40">
            <w:pPr>
              <w:pStyle w:val="NoSpacing"/>
              <w:jc w:val="right"/>
              <w:rPr>
                <w:sz w:val="18"/>
                <w:szCs w:val="18"/>
              </w:rPr>
            </w:pPr>
            <w:r w:rsidRPr="00370B40">
              <w:rPr>
                <w:sz w:val="18"/>
                <w:szCs w:val="18"/>
              </w:rPr>
              <w:t>2,27%</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&gt;56</w:t>
            </w:r>
          </w:p>
        </w:tc>
        <w:tc>
          <w:tcPr>
            <w:tcW w:w="1067" w:type="pct"/>
            <w:vAlign w:val="center"/>
          </w:tcPr>
          <w:p w:rsidR="00CE1313" w:rsidRPr="00370B40" w:rsidRDefault="00CE1313" w:rsidP="00370B40">
            <w:pPr>
              <w:pStyle w:val="NoSpacing"/>
              <w:jc w:val="right"/>
              <w:rPr>
                <w:sz w:val="18"/>
                <w:szCs w:val="18"/>
              </w:rPr>
            </w:pPr>
            <w:r w:rsidRPr="00370B40">
              <w:rPr>
                <w:sz w:val="18"/>
                <w:szCs w:val="18"/>
              </w:rPr>
              <w:t>54,55%</w:t>
            </w:r>
          </w:p>
        </w:tc>
        <w:tc>
          <w:tcPr>
            <w:tcW w:w="985" w:type="pct"/>
            <w:vAlign w:val="center"/>
          </w:tcPr>
          <w:p w:rsidR="00CE1313" w:rsidRPr="00370B40" w:rsidRDefault="00CE1313" w:rsidP="00370B40">
            <w:pPr>
              <w:pStyle w:val="NoSpacing"/>
              <w:jc w:val="right"/>
              <w:rPr>
                <w:sz w:val="18"/>
                <w:szCs w:val="18"/>
              </w:rPr>
            </w:pPr>
            <w:r w:rsidRPr="00370B40">
              <w:rPr>
                <w:sz w:val="18"/>
                <w:szCs w:val="18"/>
              </w:rPr>
              <w:t>6,06%</w:t>
            </w:r>
          </w:p>
        </w:tc>
        <w:tc>
          <w:tcPr>
            <w:tcW w:w="1017" w:type="pct"/>
            <w:vAlign w:val="center"/>
          </w:tcPr>
          <w:p w:rsidR="00CE1313" w:rsidRPr="00370B40" w:rsidRDefault="00CE1313" w:rsidP="00370B40">
            <w:pPr>
              <w:pStyle w:val="NoSpacing"/>
              <w:jc w:val="right"/>
              <w:rPr>
                <w:sz w:val="18"/>
                <w:szCs w:val="18"/>
              </w:rPr>
            </w:pPr>
            <w:r w:rsidRPr="00370B40">
              <w:rPr>
                <w:sz w:val="18"/>
                <w:szCs w:val="18"/>
              </w:rPr>
              <w:t>9,09%</w:t>
            </w:r>
          </w:p>
        </w:tc>
        <w:tc>
          <w:tcPr>
            <w:tcW w:w="677" w:type="pct"/>
            <w:vAlign w:val="center"/>
          </w:tcPr>
          <w:p w:rsidR="00CE1313" w:rsidRPr="00370B40" w:rsidRDefault="00CE1313" w:rsidP="00370B40">
            <w:pPr>
              <w:pStyle w:val="NoSpacing"/>
              <w:jc w:val="right"/>
              <w:rPr>
                <w:sz w:val="18"/>
                <w:szCs w:val="18"/>
              </w:rPr>
            </w:pPr>
            <w:r w:rsidRPr="00370B40">
              <w:rPr>
                <w:sz w:val="18"/>
                <w:szCs w:val="18"/>
              </w:rPr>
              <w:t>18,18%</w:t>
            </w:r>
          </w:p>
        </w:tc>
        <w:tc>
          <w:tcPr>
            <w:tcW w:w="518" w:type="pct"/>
            <w:vAlign w:val="center"/>
          </w:tcPr>
          <w:p w:rsidR="00CE1313" w:rsidRPr="00370B40" w:rsidRDefault="00CE1313" w:rsidP="00370B40">
            <w:pPr>
              <w:pStyle w:val="NoSpacing"/>
              <w:jc w:val="right"/>
              <w:rPr>
                <w:sz w:val="18"/>
                <w:szCs w:val="18"/>
              </w:rPr>
            </w:pPr>
            <w:r w:rsidRPr="00370B40">
              <w:rPr>
                <w:sz w:val="18"/>
                <w:szCs w:val="18"/>
              </w:rPr>
              <w:t>12,12%</w:t>
            </w:r>
          </w:p>
        </w:tc>
      </w:tr>
      <w:tr w:rsidR="00CE1313" w:rsidRPr="00370B40" w:rsidTr="00370B40">
        <w:trPr>
          <w:jc w:val="center"/>
        </w:trPr>
        <w:tc>
          <w:tcPr>
            <w:tcW w:w="736" w:type="pct"/>
            <w:tcBorders>
              <w:right w:val="nil"/>
            </w:tcBorders>
            <w:vAlign w:val="center"/>
          </w:tcPr>
          <w:p w:rsidR="00CE1313" w:rsidRPr="00370B40" w:rsidRDefault="00CE1313" w:rsidP="00D92E1C">
            <w:pPr>
              <w:pStyle w:val="NoSpacing"/>
              <w:rPr>
                <w:b/>
                <w:sz w:val="18"/>
                <w:szCs w:val="18"/>
              </w:rPr>
            </w:pPr>
            <w:r w:rsidRPr="00370B40">
              <w:rPr>
                <w:b/>
                <w:sz w:val="18"/>
                <w:szCs w:val="18"/>
              </w:rPr>
              <w:t>Razina obr.</w:t>
            </w:r>
          </w:p>
        </w:tc>
        <w:tc>
          <w:tcPr>
            <w:tcW w:w="1067" w:type="pct"/>
            <w:tcBorders>
              <w:left w:val="nil"/>
              <w:right w:val="nil"/>
            </w:tcBorders>
            <w:vAlign w:val="center"/>
          </w:tcPr>
          <w:p w:rsidR="00CE1313" w:rsidRPr="00370B40" w:rsidRDefault="00CE1313" w:rsidP="00370B40">
            <w:pPr>
              <w:pStyle w:val="NoSpacing"/>
              <w:jc w:val="right"/>
              <w:rPr>
                <w:sz w:val="18"/>
                <w:szCs w:val="18"/>
              </w:rPr>
            </w:pPr>
          </w:p>
        </w:tc>
        <w:tc>
          <w:tcPr>
            <w:tcW w:w="985" w:type="pct"/>
            <w:tcBorders>
              <w:left w:val="nil"/>
              <w:right w:val="nil"/>
            </w:tcBorders>
            <w:vAlign w:val="center"/>
          </w:tcPr>
          <w:p w:rsidR="00CE1313" w:rsidRPr="00370B40" w:rsidRDefault="00CE1313" w:rsidP="00370B40">
            <w:pPr>
              <w:pStyle w:val="NoSpacing"/>
              <w:jc w:val="right"/>
              <w:rPr>
                <w:sz w:val="18"/>
                <w:szCs w:val="18"/>
              </w:rPr>
            </w:pPr>
          </w:p>
        </w:tc>
        <w:tc>
          <w:tcPr>
            <w:tcW w:w="1017" w:type="pct"/>
            <w:tcBorders>
              <w:left w:val="nil"/>
              <w:right w:val="nil"/>
            </w:tcBorders>
            <w:vAlign w:val="center"/>
          </w:tcPr>
          <w:p w:rsidR="00CE1313" w:rsidRPr="00370B40" w:rsidRDefault="00CE1313" w:rsidP="00370B40">
            <w:pPr>
              <w:pStyle w:val="NoSpacing"/>
              <w:jc w:val="right"/>
              <w:rPr>
                <w:sz w:val="18"/>
                <w:szCs w:val="18"/>
              </w:rPr>
            </w:pPr>
          </w:p>
        </w:tc>
        <w:tc>
          <w:tcPr>
            <w:tcW w:w="677" w:type="pct"/>
            <w:tcBorders>
              <w:left w:val="nil"/>
              <w:right w:val="nil"/>
            </w:tcBorders>
            <w:vAlign w:val="center"/>
          </w:tcPr>
          <w:p w:rsidR="00CE1313" w:rsidRPr="00370B40" w:rsidRDefault="00CE1313" w:rsidP="00370B40">
            <w:pPr>
              <w:pStyle w:val="NoSpacing"/>
              <w:jc w:val="right"/>
              <w:rPr>
                <w:sz w:val="18"/>
                <w:szCs w:val="18"/>
              </w:rPr>
            </w:pPr>
          </w:p>
        </w:tc>
        <w:tc>
          <w:tcPr>
            <w:tcW w:w="518" w:type="pct"/>
            <w:tcBorders>
              <w:left w:val="nil"/>
            </w:tcBorders>
            <w:vAlign w:val="center"/>
          </w:tcPr>
          <w:p w:rsidR="00CE1313" w:rsidRPr="00370B40" w:rsidRDefault="00CE1313" w:rsidP="00370B40">
            <w:pPr>
              <w:pStyle w:val="NoSpacing"/>
              <w:jc w:val="right"/>
              <w:rPr>
                <w:sz w:val="18"/>
                <w:szCs w:val="18"/>
              </w:rPr>
            </w:pP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Osnovna škola</w:t>
            </w:r>
          </w:p>
        </w:tc>
        <w:tc>
          <w:tcPr>
            <w:tcW w:w="1067" w:type="pct"/>
            <w:tcBorders>
              <w:left w:val="nil"/>
            </w:tcBorders>
            <w:vAlign w:val="center"/>
          </w:tcPr>
          <w:p w:rsidR="00CE1313" w:rsidRPr="00370B40" w:rsidRDefault="00CE1313" w:rsidP="00370B40">
            <w:pPr>
              <w:pStyle w:val="NoSpacing"/>
              <w:jc w:val="right"/>
              <w:rPr>
                <w:sz w:val="18"/>
                <w:szCs w:val="18"/>
              </w:rPr>
            </w:pPr>
            <w:r w:rsidRPr="00370B40">
              <w:rPr>
                <w:sz w:val="18"/>
                <w:szCs w:val="18"/>
              </w:rPr>
              <w:t>66,67%</w:t>
            </w:r>
          </w:p>
        </w:tc>
        <w:tc>
          <w:tcPr>
            <w:tcW w:w="985" w:type="pct"/>
            <w:vAlign w:val="center"/>
          </w:tcPr>
          <w:p w:rsidR="00CE1313" w:rsidRPr="00370B40" w:rsidRDefault="00CE1313" w:rsidP="00370B40">
            <w:pPr>
              <w:pStyle w:val="NoSpacing"/>
              <w:jc w:val="right"/>
              <w:rPr>
                <w:sz w:val="18"/>
                <w:szCs w:val="18"/>
              </w:rPr>
            </w:pPr>
            <w:r w:rsidRPr="00370B40">
              <w:rPr>
                <w:sz w:val="18"/>
                <w:szCs w:val="18"/>
              </w:rPr>
              <w:t>0,00%</w:t>
            </w:r>
          </w:p>
        </w:tc>
        <w:tc>
          <w:tcPr>
            <w:tcW w:w="1017" w:type="pct"/>
            <w:vAlign w:val="center"/>
          </w:tcPr>
          <w:p w:rsidR="00CE1313" w:rsidRPr="00370B40" w:rsidRDefault="00CE1313" w:rsidP="00370B40">
            <w:pPr>
              <w:pStyle w:val="NoSpacing"/>
              <w:jc w:val="right"/>
              <w:rPr>
                <w:sz w:val="18"/>
                <w:szCs w:val="18"/>
              </w:rPr>
            </w:pPr>
            <w:r w:rsidRPr="00370B40">
              <w:rPr>
                <w:sz w:val="18"/>
                <w:szCs w:val="18"/>
              </w:rPr>
              <w:t>16,67%</w:t>
            </w:r>
          </w:p>
        </w:tc>
        <w:tc>
          <w:tcPr>
            <w:tcW w:w="677" w:type="pct"/>
            <w:vAlign w:val="center"/>
          </w:tcPr>
          <w:p w:rsidR="00CE1313" w:rsidRPr="00370B40" w:rsidRDefault="00CE1313" w:rsidP="00370B40">
            <w:pPr>
              <w:pStyle w:val="NoSpacing"/>
              <w:jc w:val="right"/>
              <w:rPr>
                <w:sz w:val="18"/>
                <w:szCs w:val="18"/>
              </w:rPr>
            </w:pPr>
            <w:r w:rsidRPr="00370B40">
              <w:rPr>
                <w:sz w:val="18"/>
                <w:szCs w:val="18"/>
              </w:rPr>
              <w:t>0,00%</w:t>
            </w:r>
          </w:p>
        </w:tc>
        <w:tc>
          <w:tcPr>
            <w:tcW w:w="518" w:type="pct"/>
            <w:vAlign w:val="center"/>
          </w:tcPr>
          <w:p w:rsidR="00CE1313" w:rsidRPr="00370B40" w:rsidRDefault="00CE1313" w:rsidP="00370B40">
            <w:pPr>
              <w:pStyle w:val="NoSpacing"/>
              <w:jc w:val="right"/>
              <w:rPr>
                <w:sz w:val="18"/>
                <w:szCs w:val="18"/>
              </w:rPr>
            </w:pPr>
            <w:r w:rsidRPr="00370B40">
              <w:rPr>
                <w:sz w:val="18"/>
                <w:szCs w:val="18"/>
              </w:rPr>
              <w:t>16,67%</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SSS</w:t>
            </w:r>
          </w:p>
        </w:tc>
        <w:tc>
          <w:tcPr>
            <w:tcW w:w="1067" w:type="pct"/>
            <w:tcBorders>
              <w:left w:val="nil"/>
            </w:tcBorders>
            <w:vAlign w:val="center"/>
          </w:tcPr>
          <w:p w:rsidR="00CE1313" w:rsidRPr="00370B40" w:rsidRDefault="00CE1313" w:rsidP="00370B40">
            <w:pPr>
              <w:pStyle w:val="NoSpacing"/>
              <w:jc w:val="right"/>
              <w:rPr>
                <w:sz w:val="18"/>
                <w:szCs w:val="18"/>
              </w:rPr>
            </w:pPr>
            <w:r w:rsidRPr="00370B40">
              <w:rPr>
                <w:sz w:val="18"/>
                <w:szCs w:val="18"/>
              </w:rPr>
              <w:t>49,15%</w:t>
            </w:r>
          </w:p>
        </w:tc>
        <w:tc>
          <w:tcPr>
            <w:tcW w:w="985" w:type="pct"/>
            <w:vAlign w:val="center"/>
          </w:tcPr>
          <w:p w:rsidR="00CE1313" w:rsidRPr="00370B40" w:rsidRDefault="00CE1313" w:rsidP="00370B40">
            <w:pPr>
              <w:pStyle w:val="NoSpacing"/>
              <w:jc w:val="right"/>
              <w:rPr>
                <w:sz w:val="18"/>
                <w:szCs w:val="18"/>
              </w:rPr>
            </w:pPr>
            <w:r w:rsidRPr="00370B40">
              <w:rPr>
                <w:sz w:val="18"/>
                <w:szCs w:val="18"/>
              </w:rPr>
              <w:t>3,42%</w:t>
            </w:r>
          </w:p>
        </w:tc>
        <w:tc>
          <w:tcPr>
            <w:tcW w:w="1017" w:type="pct"/>
            <w:vAlign w:val="center"/>
          </w:tcPr>
          <w:p w:rsidR="00CE1313" w:rsidRPr="00370B40" w:rsidRDefault="00CE1313" w:rsidP="00370B40">
            <w:pPr>
              <w:pStyle w:val="NoSpacing"/>
              <w:jc w:val="right"/>
              <w:rPr>
                <w:sz w:val="18"/>
                <w:szCs w:val="18"/>
              </w:rPr>
            </w:pPr>
            <w:r w:rsidRPr="00370B40">
              <w:rPr>
                <w:sz w:val="18"/>
                <w:szCs w:val="18"/>
              </w:rPr>
              <w:t>17,09%</w:t>
            </w:r>
          </w:p>
        </w:tc>
        <w:tc>
          <w:tcPr>
            <w:tcW w:w="677" w:type="pct"/>
            <w:vAlign w:val="center"/>
          </w:tcPr>
          <w:p w:rsidR="00CE1313" w:rsidRPr="00370B40" w:rsidRDefault="00CE1313" w:rsidP="00370B40">
            <w:pPr>
              <w:pStyle w:val="NoSpacing"/>
              <w:jc w:val="right"/>
              <w:rPr>
                <w:sz w:val="18"/>
                <w:szCs w:val="18"/>
              </w:rPr>
            </w:pPr>
            <w:r w:rsidRPr="00370B40">
              <w:rPr>
                <w:sz w:val="18"/>
                <w:szCs w:val="18"/>
              </w:rPr>
              <w:t>22,22%</w:t>
            </w:r>
          </w:p>
        </w:tc>
        <w:tc>
          <w:tcPr>
            <w:tcW w:w="518" w:type="pct"/>
            <w:vAlign w:val="center"/>
          </w:tcPr>
          <w:p w:rsidR="00CE1313" w:rsidRPr="00370B40" w:rsidRDefault="00CE1313" w:rsidP="00370B40">
            <w:pPr>
              <w:pStyle w:val="NoSpacing"/>
              <w:jc w:val="right"/>
              <w:rPr>
                <w:sz w:val="18"/>
                <w:szCs w:val="18"/>
              </w:rPr>
            </w:pPr>
            <w:r w:rsidRPr="00370B40">
              <w:rPr>
                <w:sz w:val="18"/>
                <w:szCs w:val="18"/>
              </w:rPr>
              <w:t>8,12%</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VŠS</w:t>
            </w:r>
          </w:p>
        </w:tc>
        <w:tc>
          <w:tcPr>
            <w:tcW w:w="1067" w:type="pct"/>
            <w:tcBorders>
              <w:left w:val="nil"/>
            </w:tcBorders>
            <w:vAlign w:val="center"/>
          </w:tcPr>
          <w:p w:rsidR="00CE1313" w:rsidRPr="00370B40" w:rsidRDefault="00CE1313" w:rsidP="00370B40">
            <w:pPr>
              <w:pStyle w:val="NoSpacing"/>
              <w:jc w:val="right"/>
              <w:rPr>
                <w:sz w:val="18"/>
                <w:szCs w:val="18"/>
              </w:rPr>
            </w:pPr>
            <w:r w:rsidRPr="00370B40">
              <w:rPr>
                <w:sz w:val="18"/>
                <w:szCs w:val="18"/>
              </w:rPr>
              <w:t>58,33%</w:t>
            </w:r>
          </w:p>
        </w:tc>
        <w:tc>
          <w:tcPr>
            <w:tcW w:w="985" w:type="pct"/>
            <w:vAlign w:val="center"/>
          </w:tcPr>
          <w:p w:rsidR="00CE1313" w:rsidRPr="00370B40" w:rsidRDefault="00CE1313" w:rsidP="00370B40">
            <w:pPr>
              <w:pStyle w:val="NoSpacing"/>
              <w:jc w:val="right"/>
              <w:rPr>
                <w:sz w:val="18"/>
                <w:szCs w:val="18"/>
              </w:rPr>
            </w:pPr>
            <w:r w:rsidRPr="00370B40">
              <w:rPr>
                <w:sz w:val="18"/>
                <w:szCs w:val="18"/>
              </w:rPr>
              <w:t>2,08%</w:t>
            </w:r>
          </w:p>
        </w:tc>
        <w:tc>
          <w:tcPr>
            <w:tcW w:w="1017" w:type="pct"/>
            <w:vAlign w:val="center"/>
          </w:tcPr>
          <w:p w:rsidR="00CE1313" w:rsidRPr="00370B40" w:rsidRDefault="00CE1313" w:rsidP="00370B40">
            <w:pPr>
              <w:pStyle w:val="NoSpacing"/>
              <w:jc w:val="right"/>
              <w:rPr>
                <w:sz w:val="18"/>
                <w:szCs w:val="18"/>
              </w:rPr>
            </w:pPr>
            <w:r w:rsidRPr="00370B40">
              <w:rPr>
                <w:sz w:val="18"/>
                <w:szCs w:val="18"/>
              </w:rPr>
              <w:t>12,50%</w:t>
            </w:r>
          </w:p>
        </w:tc>
        <w:tc>
          <w:tcPr>
            <w:tcW w:w="677" w:type="pct"/>
            <w:vAlign w:val="center"/>
          </w:tcPr>
          <w:p w:rsidR="00CE1313" w:rsidRPr="00370B40" w:rsidRDefault="00CE1313" w:rsidP="00370B40">
            <w:pPr>
              <w:pStyle w:val="NoSpacing"/>
              <w:jc w:val="right"/>
              <w:rPr>
                <w:sz w:val="18"/>
                <w:szCs w:val="18"/>
              </w:rPr>
            </w:pPr>
            <w:r w:rsidRPr="00370B40">
              <w:rPr>
                <w:sz w:val="18"/>
                <w:szCs w:val="18"/>
              </w:rPr>
              <w:t>14,58%</w:t>
            </w:r>
          </w:p>
        </w:tc>
        <w:tc>
          <w:tcPr>
            <w:tcW w:w="518" w:type="pct"/>
            <w:vAlign w:val="center"/>
          </w:tcPr>
          <w:p w:rsidR="00CE1313" w:rsidRPr="00370B40" w:rsidRDefault="00CE1313" w:rsidP="00370B40">
            <w:pPr>
              <w:pStyle w:val="NoSpacing"/>
              <w:jc w:val="right"/>
              <w:rPr>
                <w:sz w:val="18"/>
                <w:szCs w:val="18"/>
              </w:rPr>
            </w:pPr>
            <w:r w:rsidRPr="00370B40">
              <w:rPr>
                <w:sz w:val="18"/>
                <w:szCs w:val="18"/>
              </w:rPr>
              <w:t>12,50%</w:t>
            </w:r>
          </w:p>
        </w:tc>
      </w:tr>
      <w:tr w:rsidR="00CE1313" w:rsidRPr="00370B40" w:rsidTr="00370B40">
        <w:trPr>
          <w:jc w:val="center"/>
        </w:trPr>
        <w:tc>
          <w:tcPr>
            <w:tcW w:w="736" w:type="pct"/>
            <w:vAlign w:val="center"/>
          </w:tcPr>
          <w:p w:rsidR="00CE1313" w:rsidRPr="00370B40" w:rsidRDefault="00CE1313" w:rsidP="00D92E1C">
            <w:pPr>
              <w:pStyle w:val="NoSpacing"/>
              <w:rPr>
                <w:sz w:val="18"/>
                <w:szCs w:val="18"/>
              </w:rPr>
            </w:pPr>
            <w:r w:rsidRPr="00370B40">
              <w:rPr>
                <w:sz w:val="18"/>
                <w:szCs w:val="18"/>
              </w:rPr>
              <w:t>VSS</w:t>
            </w:r>
          </w:p>
        </w:tc>
        <w:tc>
          <w:tcPr>
            <w:tcW w:w="1067" w:type="pct"/>
            <w:tcBorders>
              <w:left w:val="nil"/>
            </w:tcBorders>
            <w:vAlign w:val="center"/>
          </w:tcPr>
          <w:p w:rsidR="00CE1313" w:rsidRPr="00370B40" w:rsidRDefault="00CE1313" w:rsidP="00370B40">
            <w:pPr>
              <w:pStyle w:val="NoSpacing"/>
              <w:jc w:val="right"/>
              <w:rPr>
                <w:sz w:val="18"/>
                <w:szCs w:val="18"/>
              </w:rPr>
            </w:pPr>
            <w:r w:rsidRPr="00370B40">
              <w:rPr>
                <w:sz w:val="18"/>
                <w:szCs w:val="18"/>
              </w:rPr>
              <w:t>35,85%</w:t>
            </w:r>
          </w:p>
        </w:tc>
        <w:tc>
          <w:tcPr>
            <w:tcW w:w="985" w:type="pct"/>
            <w:vAlign w:val="center"/>
          </w:tcPr>
          <w:p w:rsidR="00CE1313" w:rsidRPr="00370B40" w:rsidRDefault="00CE1313" w:rsidP="00370B40">
            <w:pPr>
              <w:pStyle w:val="NoSpacing"/>
              <w:jc w:val="right"/>
              <w:rPr>
                <w:sz w:val="18"/>
                <w:szCs w:val="18"/>
              </w:rPr>
            </w:pPr>
            <w:r w:rsidRPr="00370B40">
              <w:rPr>
                <w:sz w:val="18"/>
                <w:szCs w:val="18"/>
              </w:rPr>
              <w:t>6,92%</w:t>
            </w:r>
          </w:p>
        </w:tc>
        <w:tc>
          <w:tcPr>
            <w:tcW w:w="1017" w:type="pct"/>
            <w:vAlign w:val="center"/>
          </w:tcPr>
          <w:p w:rsidR="00CE1313" w:rsidRPr="00370B40" w:rsidRDefault="00CE1313" w:rsidP="00370B40">
            <w:pPr>
              <w:pStyle w:val="NoSpacing"/>
              <w:jc w:val="right"/>
              <w:rPr>
                <w:sz w:val="18"/>
                <w:szCs w:val="18"/>
              </w:rPr>
            </w:pPr>
            <w:r w:rsidRPr="00370B40">
              <w:rPr>
                <w:sz w:val="18"/>
                <w:szCs w:val="18"/>
              </w:rPr>
              <w:t>9,43%</w:t>
            </w:r>
          </w:p>
        </w:tc>
        <w:tc>
          <w:tcPr>
            <w:tcW w:w="677" w:type="pct"/>
            <w:vAlign w:val="center"/>
          </w:tcPr>
          <w:p w:rsidR="00CE1313" w:rsidRPr="00370B40" w:rsidRDefault="00CE1313" w:rsidP="00370B40">
            <w:pPr>
              <w:pStyle w:val="NoSpacing"/>
              <w:jc w:val="right"/>
              <w:rPr>
                <w:sz w:val="18"/>
                <w:szCs w:val="18"/>
              </w:rPr>
            </w:pPr>
            <w:r w:rsidRPr="00370B40">
              <w:rPr>
                <w:sz w:val="18"/>
                <w:szCs w:val="18"/>
              </w:rPr>
              <w:t>44,65%</w:t>
            </w:r>
          </w:p>
        </w:tc>
        <w:tc>
          <w:tcPr>
            <w:tcW w:w="518" w:type="pct"/>
            <w:vAlign w:val="center"/>
          </w:tcPr>
          <w:p w:rsidR="00CE1313" w:rsidRPr="00370B40" w:rsidRDefault="00CE1313" w:rsidP="00370B40">
            <w:pPr>
              <w:pStyle w:val="NoSpacing"/>
              <w:jc w:val="right"/>
              <w:rPr>
                <w:sz w:val="18"/>
                <w:szCs w:val="18"/>
              </w:rPr>
            </w:pPr>
            <w:r w:rsidRPr="00370B40">
              <w:rPr>
                <w:sz w:val="18"/>
                <w:szCs w:val="18"/>
              </w:rPr>
              <w:t>3,14%</w:t>
            </w:r>
          </w:p>
        </w:tc>
      </w:tr>
      <w:tr w:rsidR="00CE1313" w:rsidRPr="00370B40" w:rsidTr="00370B40">
        <w:trPr>
          <w:jc w:val="center"/>
        </w:trPr>
        <w:tc>
          <w:tcPr>
            <w:tcW w:w="736" w:type="pct"/>
            <w:vAlign w:val="center"/>
          </w:tcPr>
          <w:p w:rsidR="00CE1313" w:rsidRPr="00370B40" w:rsidRDefault="00CE1313" w:rsidP="00D92E1C">
            <w:pPr>
              <w:pStyle w:val="NoSpacing"/>
              <w:rPr>
                <w:color w:val="000000"/>
                <w:sz w:val="18"/>
                <w:szCs w:val="18"/>
              </w:rPr>
            </w:pPr>
            <w:r w:rsidRPr="00370B40">
              <w:rPr>
                <w:color w:val="000000"/>
                <w:sz w:val="18"/>
                <w:szCs w:val="18"/>
              </w:rPr>
              <w:t>Preddipl. st.</w:t>
            </w:r>
          </w:p>
        </w:tc>
        <w:tc>
          <w:tcPr>
            <w:tcW w:w="1067" w:type="pct"/>
            <w:tcBorders>
              <w:left w:val="nil"/>
            </w:tcBorders>
            <w:vAlign w:val="center"/>
          </w:tcPr>
          <w:p w:rsidR="00CE1313" w:rsidRPr="00370B40" w:rsidRDefault="00CE1313" w:rsidP="00370B40">
            <w:pPr>
              <w:pStyle w:val="NoSpacing"/>
              <w:jc w:val="right"/>
              <w:rPr>
                <w:color w:val="000000"/>
                <w:sz w:val="18"/>
                <w:szCs w:val="18"/>
              </w:rPr>
            </w:pPr>
            <w:r w:rsidRPr="00370B40">
              <w:rPr>
                <w:color w:val="000000"/>
                <w:sz w:val="18"/>
                <w:szCs w:val="18"/>
              </w:rPr>
              <w:t>38,52%</w:t>
            </w:r>
          </w:p>
        </w:tc>
        <w:tc>
          <w:tcPr>
            <w:tcW w:w="985" w:type="pct"/>
            <w:vAlign w:val="center"/>
          </w:tcPr>
          <w:p w:rsidR="00CE1313" w:rsidRPr="00370B40" w:rsidRDefault="00CE1313" w:rsidP="00370B40">
            <w:pPr>
              <w:pStyle w:val="NoSpacing"/>
              <w:jc w:val="right"/>
              <w:rPr>
                <w:color w:val="000000"/>
                <w:sz w:val="18"/>
                <w:szCs w:val="18"/>
              </w:rPr>
            </w:pPr>
            <w:r w:rsidRPr="00370B40">
              <w:rPr>
                <w:color w:val="000000"/>
                <w:sz w:val="18"/>
                <w:szCs w:val="18"/>
              </w:rPr>
              <w:t>4,10%</w:t>
            </w:r>
          </w:p>
        </w:tc>
        <w:tc>
          <w:tcPr>
            <w:tcW w:w="1017" w:type="pct"/>
            <w:vAlign w:val="center"/>
          </w:tcPr>
          <w:p w:rsidR="00CE1313" w:rsidRPr="00370B40" w:rsidRDefault="00CE1313" w:rsidP="00370B40">
            <w:pPr>
              <w:pStyle w:val="NoSpacing"/>
              <w:jc w:val="right"/>
              <w:rPr>
                <w:color w:val="000000"/>
                <w:sz w:val="18"/>
                <w:szCs w:val="18"/>
              </w:rPr>
            </w:pPr>
            <w:r w:rsidRPr="00370B40">
              <w:rPr>
                <w:color w:val="000000"/>
                <w:sz w:val="18"/>
                <w:szCs w:val="18"/>
              </w:rPr>
              <w:t>18,03%</w:t>
            </w:r>
          </w:p>
        </w:tc>
        <w:tc>
          <w:tcPr>
            <w:tcW w:w="677" w:type="pct"/>
            <w:vAlign w:val="center"/>
          </w:tcPr>
          <w:p w:rsidR="00CE1313" w:rsidRPr="00370B40" w:rsidRDefault="00CE1313" w:rsidP="00370B40">
            <w:pPr>
              <w:pStyle w:val="NoSpacing"/>
              <w:jc w:val="right"/>
              <w:rPr>
                <w:color w:val="000000"/>
                <w:sz w:val="18"/>
                <w:szCs w:val="18"/>
              </w:rPr>
            </w:pPr>
            <w:r w:rsidRPr="00370B40">
              <w:rPr>
                <w:color w:val="000000"/>
                <w:sz w:val="18"/>
                <w:szCs w:val="18"/>
              </w:rPr>
              <w:t>34,43%</w:t>
            </w:r>
          </w:p>
        </w:tc>
        <w:tc>
          <w:tcPr>
            <w:tcW w:w="518" w:type="pct"/>
            <w:vAlign w:val="center"/>
          </w:tcPr>
          <w:p w:rsidR="00CE1313" w:rsidRPr="00370B40" w:rsidRDefault="00CE1313" w:rsidP="00370B40">
            <w:pPr>
              <w:pStyle w:val="NoSpacing"/>
              <w:jc w:val="right"/>
              <w:rPr>
                <w:color w:val="000000"/>
                <w:sz w:val="18"/>
                <w:szCs w:val="18"/>
              </w:rPr>
            </w:pPr>
            <w:r w:rsidRPr="00370B40">
              <w:rPr>
                <w:color w:val="000000"/>
                <w:sz w:val="18"/>
                <w:szCs w:val="18"/>
              </w:rPr>
              <w:t>4,92%</w:t>
            </w:r>
          </w:p>
        </w:tc>
      </w:tr>
      <w:tr w:rsidR="00CE1313" w:rsidRPr="00370B40" w:rsidTr="00370B40">
        <w:trPr>
          <w:jc w:val="center"/>
        </w:trPr>
        <w:tc>
          <w:tcPr>
            <w:tcW w:w="736" w:type="pct"/>
            <w:vAlign w:val="center"/>
          </w:tcPr>
          <w:p w:rsidR="00CE1313" w:rsidRPr="00370B40" w:rsidRDefault="00CE1313" w:rsidP="00D92E1C">
            <w:pPr>
              <w:pStyle w:val="NoSpacing"/>
              <w:rPr>
                <w:color w:val="000000"/>
                <w:sz w:val="18"/>
                <w:szCs w:val="18"/>
              </w:rPr>
            </w:pPr>
            <w:r w:rsidRPr="00370B40">
              <w:rPr>
                <w:color w:val="000000"/>
                <w:sz w:val="18"/>
                <w:szCs w:val="18"/>
              </w:rPr>
              <w:t>Diplomski st.</w:t>
            </w:r>
          </w:p>
        </w:tc>
        <w:tc>
          <w:tcPr>
            <w:tcW w:w="1067" w:type="pct"/>
            <w:tcBorders>
              <w:left w:val="nil"/>
            </w:tcBorders>
            <w:vAlign w:val="center"/>
          </w:tcPr>
          <w:p w:rsidR="00CE1313" w:rsidRPr="00370B40" w:rsidRDefault="00CE1313" w:rsidP="00370B40">
            <w:pPr>
              <w:pStyle w:val="NoSpacing"/>
              <w:jc w:val="right"/>
              <w:rPr>
                <w:color w:val="000000"/>
                <w:sz w:val="18"/>
                <w:szCs w:val="18"/>
              </w:rPr>
            </w:pPr>
            <w:r w:rsidRPr="00370B40">
              <w:rPr>
                <w:color w:val="000000"/>
                <w:sz w:val="18"/>
                <w:szCs w:val="18"/>
              </w:rPr>
              <w:t>27,27%</w:t>
            </w:r>
          </w:p>
        </w:tc>
        <w:tc>
          <w:tcPr>
            <w:tcW w:w="985" w:type="pct"/>
            <w:vAlign w:val="center"/>
          </w:tcPr>
          <w:p w:rsidR="00CE1313" w:rsidRPr="00370B40" w:rsidRDefault="00CE1313" w:rsidP="00370B40">
            <w:pPr>
              <w:pStyle w:val="NoSpacing"/>
              <w:jc w:val="right"/>
              <w:rPr>
                <w:color w:val="000000"/>
                <w:sz w:val="18"/>
                <w:szCs w:val="18"/>
              </w:rPr>
            </w:pPr>
            <w:r w:rsidRPr="00370B40">
              <w:rPr>
                <w:color w:val="000000"/>
                <w:sz w:val="18"/>
                <w:szCs w:val="18"/>
              </w:rPr>
              <w:t>7,79%</w:t>
            </w:r>
          </w:p>
        </w:tc>
        <w:tc>
          <w:tcPr>
            <w:tcW w:w="1017" w:type="pct"/>
            <w:vAlign w:val="center"/>
          </w:tcPr>
          <w:p w:rsidR="00CE1313" w:rsidRPr="00370B40" w:rsidRDefault="00CE1313" w:rsidP="00370B40">
            <w:pPr>
              <w:pStyle w:val="NoSpacing"/>
              <w:jc w:val="right"/>
              <w:rPr>
                <w:color w:val="000000"/>
                <w:sz w:val="18"/>
                <w:szCs w:val="18"/>
              </w:rPr>
            </w:pPr>
            <w:r w:rsidRPr="00370B40">
              <w:rPr>
                <w:color w:val="000000"/>
                <w:sz w:val="18"/>
                <w:szCs w:val="18"/>
              </w:rPr>
              <w:t>23,38%</w:t>
            </w:r>
          </w:p>
        </w:tc>
        <w:tc>
          <w:tcPr>
            <w:tcW w:w="677" w:type="pct"/>
            <w:vAlign w:val="center"/>
          </w:tcPr>
          <w:p w:rsidR="00CE1313" w:rsidRPr="00370B40" w:rsidRDefault="00CE1313" w:rsidP="00370B40">
            <w:pPr>
              <w:pStyle w:val="NoSpacing"/>
              <w:jc w:val="right"/>
              <w:rPr>
                <w:color w:val="000000"/>
                <w:sz w:val="18"/>
                <w:szCs w:val="18"/>
              </w:rPr>
            </w:pPr>
            <w:r w:rsidRPr="00370B40">
              <w:rPr>
                <w:color w:val="000000"/>
                <w:sz w:val="18"/>
                <w:szCs w:val="18"/>
              </w:rPr>
              <w:t>32,47%</w:t>
            </w:r>
          </w:p>
        </w:tc>
        <w:tc>
          <w:tcPr>
            <w:tcW w:w="518" w:type="pct"/>
            <w:vAlign w:val="center"/>
          </w:tcPr>
          <w:p w:rsidR="00CE1313" w:rsidRPr="00370B40" w:rsidRDefault="00CE1313" w:rsidP="00370B40">
            <w:pPr>
              <w:pStyle w:val="NoSpacing"/>
              <w:jc w:val="right"/>
              <w:rPr>
                <w:color w:val="000000"/>
                <w:sz w:val="18"/>
                <w:szCs w:val="18"/>
              </w:rPr>
            </w:pPr>
            <w:r w:rsidRPr="00370B40">
              <w:rPr>
                <w:color w:val="000000"/>
                <w:sz w:val="18"/>
                <w:szCs w:val="18"/>
              </w:rPr>
              <w:t>9,09%</w:t>
            </w:r>
          </w:p>
        </w:tc>
      </w:tr>
      <w:tr w:rsidR="00CE1313" w:rsidRPr="00370B40" w:rsidTr="00370B40">
        <w:trPr>
          <w:jc w:val="center"/>
        </w:trPr>
        <w:tc>
          <w:tcPr>
            <w:tcW w:w="736" w:type="pct"/>
            <w:vAlign w:val="center"/>
          </w:tcPr>
          <w:p w:rsidR="00CE1313" w:rsidRPr="00370B40" w:rsidRDefault="00CE1313" w:rsidP="00785E34">
            <w:pPr>
              <w:pStyle w:val="NoSpacing"/>
              <w:rPr>
                <w:color w:val="000000"/>
                <w:sz w:val="18"/>
                <w:szCs w:val="18"/>
              </w:rPr>
            </w:pPr>
            <w:r w:rsidRPr="00370B40">
              <w:rPr>
                <w:color w:val="000000"/>
                <w:sz w:val="18"/>
                <w:szCs w:val="18"/>
              </w:rPr>
              <w:t>Poslijedipl. st.</w:t>
            </w:r>
          </w:p>
        </w:tc>
        <w:tc>
          <w:tcPr>
            <w:tcW w:w="1067" w:type="pct"/>
            <w:tcBorders>
              <w:left w:val="nil"/>
            </w:tcBorders>
            <w:vAlign w:val="center"/>
          </w:tcPr>
          <w:p w:rsidR="00CE1313" w:rsidRPr="00370B40" w:rsidRDefault="00CE1313" w:rsidP="00370B40">
            <w:pPr>
              <w:pStyle w:val="NoSpacing"/>
              <w:jc w:val="right"/>
              <w:rPr>
                <w:color w:val="000000"/>
                <w:sz w:val="18"/>
                <w:szCs w:val="18"/>
              </w:rPr>
            </w:pPr>
            <w:r w:rsidRPr="00370B40">
              <w:rPr>
                <w:color w:val="000000"/>
                <w:sz w:val="18"/>
                <w:szCs w:val="18"/>
              </w:rPr>
              <w:t>50,00%</w:t>
            </w:r>
          </w:p>
        </w:tc>
        <w:tc>
          <w:tcPr>
            <w:tcW w:w="985" w:type="pct"/>
            <w:vAlign w:val="center"/>
          </w:tcPr>
          <w:p w:rsidR="00CE1313" w:rsidRPr="00370B40" w:rsidRDefault="00CE1313" w:rsidP="00370B40">
            <w:pPr>
              <w:pStyle w:val="NoSpacing"/>
              <w:jc w:val="right"/>
              <w:rPr>
                <w:color w:val="000000"/>
                <w:sz w:val="18"/>
                <w:szCs w:val="18"/>
              </w:rPr>
            </w:pPr>
            <w:r w:rsidRPr="00370B40">
              <w:rPr>
                <w:color w:val="000000"/>
                <w:sz w:val="18"/>
                <w:szCs w:val="18"/>
              </w:rPr>
              <w:t>5,00%</w:t>
            </w:r>
          </w:p>
        </w:tc>
        <w:tc>
          <w:tcPr>
            <w:tcW w:w="1017" w:type="pct"/>
            <w:vAlign w:val="center"/>
          </w:tcPr>
          <w:p w:rsidR="00CE1313" w:rsidRPr="00370B40" w:rsidRDefault="00CE1313" w:rsidP="00370B40">
            <w:pPr>
              <w:pStyle w:val="NoSpacing"/>
              <w:jc w:val="right"/>
              <w:rPr>
                <w:color w:val="000000"/>
                <w:sz w:val="18"/>
                <w:szCs w:val="18"/>
              </w:rPr>
            </w:pPr>
            <w:r w:rsidRPr="00370B40">
              <w:rPr>
                <w:color w:val="000000"/>
                <w:sz w:val="18"/>
                <w:szCs w:val="18"/>
              </w:rPr>
              <w:t>20,00%</w:t>
            </w:r>
          </w:p>
        </w:tc>
        <w:tc>
          <w:tcPr>
            <w:tcW w:w="677" w:type="pct"/>
            <w:vAlign w:val="center"/>
          </w:tcPr>
          <w:p w:rsidR="00CE1313" w:rsidRPr="00370B40" w:rsidRDefault="00CE1313" w:rsidP="00370B40">
            <w:pPr>
              <w:pStyle w:val="NoSpacing"/>
              <w:jc w:val="right"/>
              <w:rPr>
                <w:color w:val="000000"/>
                <w:sz w:val="18"/>
                <w:szCs w:val="18"/>
              </w:rPr>
            </w:pPr>
            <w:r w:rsidRPr="00370B40">
              <w:rPr>
                <w:color w:val="000000"/>
                <w:sz w:val="18"/>
                <w:szCs w:val="18"/>
              </w:rPr>
              <w:t>25,00%</w:t>
            </w:r>
          </w:p>
        </w:tc>
        <w:tc>
          <w:tcPr>
            <w:tcW w:w="518" w:type="pct"/>
            <w:vAlign w:val="center"/>
          </w:tcPr>
          <w:p w:rsidR="00CE1313" w:rsidRPr="00370B40" w:rsidRDefault="00CE1313" w:rsidP="00370B40">
            <w:pPr>
              <w:pStyle w:val="NoSpacing"/>
              <w:jc w:val="right"/>
              <w:rPr>
                <w:color w:val="000000"/>
                <w:sz w:val="18"/>
                <w:szCs w:val="18"/>
              </w:rPr>
            </w:pPr>
            <w:r w:rsidRPr="00370B40">
              <w:rPr>
                <w:color w:val="000000"/>
                <w:sz w:val="18"/>
                <w:szCs w:val="18"/>
              </w:rPr>
              <w:t>0,00%</w:t>
            </w:r>
          </w:p>
        </w:tc>
      </w:tr>
    </w:tbl>
    <w:p w:rsidR="00CE1313" w:rsidRPr="00BE1FC6" w:rsidRDefault="00CE1313" w:rsidP="00F20FAE">
      <w:pPr>
        <w:pStyle w:val="Heading3"/>
        <w:rPr>
          <w:rFonts w:ascii="Times New Roman" w:hAnsi="Times New Roman"/>
          <w:i/>
          <w:color w:val="auto"/>
          <w:sz w:val="18"/>
          <w:szCs w:val="18"/>
        </w:rPr>
      </w:pPr>
      <w:r w:rsidRPr="00BE1FC6">
        <w:rPr>
          <w:rFonts w:ascii="Times New Roman" w:hAnsi="Times New Roman"/>
          <w:i/>
          <w:color w:val="auto"/>
          <w:sz w:val="18"/>
          <w:szCs w:val="18"/>
        </w:rPr>
        <w:t>Izvor: izrada autora</w:t>
      </w:r>
    </w:p>
    <w:p w:rsidR="00CE1313" w:rsidRPr="00F021A8" w:rsidRDefault="00CE1313" w:rsidP="00F20FAE">
      <w:pPr>
        <w:ind w:firstLine="720"/>
        <w:rPr>
          <w:color w:val="000000"/>
          <w:lang w:val="hr-HR"/>
        </w:rPr>
      </w:pPr>
      <w:r w:rsidRPr="00F021A8">
        <w:rPr>
          <w:color w:val="000000"/>
          <w:lang w:val="hr-HR"/>
        </w:rPr>
        <w:t>Na pitanje „</w:t>
      </w:r>
      <w:r w:rsidRPr="00F021A8">
        <w:rPr>
          <w:i/>
          <w:color w:val="000000"/>
          <w:lang w:val="hr-HR"/>
        </w:rPr>
        <w:t>Jeste li svjesni vaših prava potrošača u prehrambenoj industriji?“</w:t>
      </w:r>
      <w:r>
        <w:rPr>
          <w:color w:val="000000"/>
          <w:lang w:val="hr-HR"/>
        </w:rPr>
        <w:t xml:space="preserve">  (t</w:t>
      </w:r>
      <w:r w:rsidRPr="00F021A8">
        <w:rPr>
          <w:color w:val="000000"/>
          <w:lang w:val="hr-HR"/>
        </w:rPr>
        <w:t xml:space="preserve">ablica 3) 23,66% ispitanika svjesno je svojih prava potrošača u prehrambenoj industriji, 46,28% ispitanika nije svjesno </w:t>
      </w:r>
      <w:r>
        <w:rPr>
          <w:color w:val="000000"/>
          <w:lang w:val="hr-HR"/>
        </w:rPr>
        <w:t>ovih prava potrošača</w:t>
      </w:r>
      <w:r w:rsidRPr="00F021A8">
        <w:rPr>
          <w:color w:val="000000"/>
          <w:lang w:val="hr-HR"/>
        </w:rPr>
        <w:t>, dok je 30,06% ispitanika  odgovorilo „Ne znam“. Iz navedenog se može doći do zaključka kako velik postotak u svim dobnim skupinama i svim razinama obrazovanja nije svjesno svojih prava potrošača u prehrambenoj industriji, uključujući i one koji su dali odgovor „Ne znam“. Razlog tome može biti nedovoljna informiranost i educiranost stanovnika Republike Hrvatske o svojim potrošačkim pravima u prehrambenoj industriji.</w:t>
      </w:r>
    </w:p>
    <w:p w:rsidR="00CE1313" w:rsidRDefault="00CE1313" w:rsidP="00785E34">
      <w:pPr>
        <w:pStyle w:val="Caption"/>
        <w:keepNext/>
        <w:spacing w:after="0"/>
        <w:jc w:val="both"/>
        <w:rPr>
          <w:rFonts w:ascii="Times New Roman" w:hAnsi="Times New Roman"/>
          <w:color w:val="000000"/>
          <w:sz w:val="22"/>
        </w:rPr>
      </w:pPr>
      <w:r w:rsidRPr="00DE55E1">
        <w:rPr>
          <w:rFonts w:ascii="Times New Roman" w:hAnsi="Times New Roman"/>
          <w:color w:val="000000"/>
          <w:sz w:val="22"/>
        </w:rPr>
        <w:t>Tablica 3.</w:t>
      </w:r>
      <w:r w:rsidRPr="00BE4C06">
        <w:rPr>
          <w:rFonts w:ascii="Times New Roman" w:hAnsi="Times New Roman"/>
          <w:color w:val="000000"/>
          <w:sz w:val="22"/>
        </w:rPr>
        <w:t>Analitički prikaz odgovora ispitanika na pitanje „Jeste li svjesni vaših prava potrošača u prehrambenoj industriji?“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8"/>
        <w:gridCol w:w="4318"/>
      </w:tblGrid>
      <w:tr w:rsidR="00CE1313" w:rsidRPr="00370B40" w:rsidTr="00370B40">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833"/>
              <w:gridCol w:w="833"/>
              <w:gridCol w:w="966"/>
            </w:tblGrid>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AEEF3"/>
                  <w:vAlign w:val="center"/>
                </w:tcPr>
                <w:p w:rsidR="00CE1313" w:rsidRPr="00370B40" w:rsidRDefault="00CE1313" w:rsidP="00785E34">
                  <w:pPr>
                    <w:pStyle w:val="Heading3"/>
                    <w:rPr>
                      <w:rFonts w:ascii="Times New Roman" w:hAnsi="Times New Roman"/>
                      <w:b/>
                      <w:color w:val="auto"/>
                      <w:sz w:val="20"/>
                      <w:szCs w:val="20"/>
                    </w:rPr>
                  </w:pPr>
                  <w:r w:rsidRPr="00370B40">
                    <w:rPr>
                      <w:rFonts w:ascii="Times New Roman" w:hAnsi="Times New Roman"/>
                      <w:b/>
                      <w:color w:val="auto"/>
                      <w:sz w:val="20"/>
                      <w:szCs w:val="20"/>
                    </w:rPr>
                    <w:t>Da</w:t>
                  </w:r>
                </w:p>
              </w:tc>
              <w:tc>
                <w:tcPr>
                  <w:tcW w:w="0" w:type="auto"/>
                  <w:tcBorders>
                    <w:top w:val="single" w:sz="4" w:space="0" w:color="auto"/>
                    <w:left w:val="single" w:sz="4" w:space="0" w:color="auto"/>
                    <w:bottom w:val="single" w:sz="4" w:space="0" w:color="auto"/>
                    <w:right w:val="single" w:sz="4" w:space="0" w:color="auto"/>
                  </w:tcBorders>
                  <w:shd w:val="clear" w:color="auto" w:fill="DAEEF3"/>
                  <w:vAlign w:val="center"/>
                </w:tcPr>
                <w:p w:rsidR="00CE1313" w:rsidRPr="00370B40" w:rsidRDefault="00CE1313" w:rsidP="00785E34">
                  <w:pPr>
                    <w:pStyle w:val="Heading3"/>
                    <w:rPr>
                      <w:rFonts w:ascii="Times New Roman" w:hAnsi="Times New Roman"/>
                      <w:b/>
                      <w:color w:val="auto"/>
                      <w:sz w:val="20"/>
                      <w:szCs w:val="20"/>
                    </w:rPr>
                  </w:pPr>
                  <w:r w:rsidRPr="00370B40">
                    <w:rPr>
                      <w:rFonts w:ascii="Times New Roman" w:hAnsi="Times New Roman"/>
                      <w:b/>
                      <w:color w:val="auto"/>
                      <w:sz w:val="20"/>
                      <w:szCs w:val="20"/>
                    </w:rPr>
                    <w:t>Ne</w:t>
                  </w:r>
                </w:p>
              </w:tc>
              <w:tc>
                <w:tcPr>
                  <w:tcW w:w="0" w:type="auto"/>
                  <w:tcBorders>
                    <w:top w:val="single" w:sz="4" w:space="0" w:color="auto"/>
                    <w:left w:val="single" w:sz="4" w:space="0" w:color="auto"/>
                    <w:bottom w:val="single" w:sz="4" w:space="0" w:color="auto"/>
                    <w:right w:val="single" w:sz="4" w:space="0" w:color="auto"/>
                  </w:tcBorders>
                  <w:shd w:val="clear" w:color="auto" w:fill="DAEEF3"/>
                  <w:vAlign w:val="center"/>
                </w:tcPr>
                <w:p w:rsidR="00CE1313" w:rsidRPr="00370B40" w:rsidRDefault="00CE1313" w:rsidP="00785E34">
                  <w:pPr>
                    <w:pStyle w:val="Heading3"/>
                    <w:rPr>
                      <w:rFonts w:ascii="Times New Roman" w:hAnsi="Times New Roman"/>
                      <w:b/>
                      <w:color w:val="auto"/>
                      <w:sz w:val="20"/>
                      <w:szCs w:val="20"/>
                    </w:rPr>
                  </w:pPr>
                  <w:r w:rsidRPr="00370B40">
                    <w:rPr>
                      <w:rFonts w:ascii="Times New Roman" w:hAnsi="Times New Roman"/>
                      <w:b/>
                      <w:color w:val="auto"/>
                      <w:sz w:val="20"/>
                      <w:szCs w:val="20"/>
                    </w:rPr>
                    <w:t>Ne znam</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23,66%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46,28%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30,06%</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b/>
                      <w:color w:val="auto"/>
                      <w:sz w:val="20"/>
                      <w:szCs w:val="20"/>
                    </w:rPr>
                  </w:pPr>
                  <w:r w:rsidRPr="00370B40">
                    <w:rPr>
                      <w:rFonts w:ascii="Times New Roman" w:hAnsi="Times New Roman"/>
                      <w:b/>
                      <w:color w:val="auto"/>
                      <w:sz w:val="20"/>
                      <w:szCs w:val="20"/>
                    </w:rPr>
                    <w:t>Spol</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25,88%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55,29%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18,82%</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23,34%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44,97%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31,69%</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b/>
                      <w:color w:val="auto"/>
                      <w:sz w:val="20"/>
                      <w:szCs w:val="20"/>
                    </w:rPr>
                  </w:pPr>
                  <w:r w:rsidRPr="00370B40">
                    <w:rPr>
                      <w:rFonts w:ascii="Times New Roman" w:hAnsi="Times New Roman"/>
                      <w:b/>
                      <w:color w:val="auto"/>
                      <w:sz w:val="20"/>
                      <w:szCs w:val="20"/>
                    </w:rPr>
                    <w:t>Dob</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18 – 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19,27%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52,29%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28,44%</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26 – 35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22,95%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39,34%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37,70%</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36 – 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24,81%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52,63%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22,56%</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46 – 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38,64%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40,91%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20,45%</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&gt;56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39,39%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27,27%</w:t>
                  </w:r>
                </w:p>
              </w:tc>
            </w:tr>
          </w:tbl>
          <w:p w:rsidR="00CE1313" w:rsidRPr="00370B40" w:rsidRDefault="00CE1313" w:rsidP="00785E34">
            <w:pPr>
              <w:rPr>
                <w:sz w:val="22"/>
                <w:szCs w:val="22"/>
                <w:lang w:val="hr-HR"/>
              </w:rPr>
            </w:pPr>
          </w:p>
        </w:tc>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3"/>
              <w:gridCol w:w="833"/>
              <w:gridCol w:w="833"/>
              <w:gridCol w:w="833"/>
            </w:tblGrid>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b/>
                      <w:color w:val="auto"/>
                      <w:sz w:val="20"/>
                      <w:szCs w:val="20"/>
                    </w:rPr>
                  </w:pPr>
                  <w:r w:rsidRPr="00370B40">
                    <w:rPr>
                      <w:rFonts w:ascii="Times New Roman" w:hAnsi="Times New Roman"/>
                      <w:b/>
                      <w:color w:val="auto"/>
                      <w:sz w:val="20"/>
                      <w:szCs w:val="20"/>
                    </w:rPr>
                    <w:t>Razina obrazovanja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16,67%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50,00%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33,33%</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24,79%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44,87%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30,34%</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20,83%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64,58%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14,58%</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23,90%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30,19%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45,91%</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20,49%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54,10%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25,41%</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24,68%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58,44%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16,88%</w:t>
                  </w:r>
                </w:p>
              </w:tc>
            </w:tr>
            <w:tr w:rsidR="00CE1313" w:rsidRPr="00370B40" w:rsidTr="00370B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Poslijediplomski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35,00%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50,00%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85E34">
                  <w:pPr>
                    <w:pStyle w:val="Heading3"/>
                    <w:rPr>
                      <w:rFonts w:ascii="Times New Roman" w:hAnsi="Times New Roman"/>
                      <w:color w:val="auto"/>
                      <w:sz w:val="20"/>
                      <w:szCs w:val="20"/>
                    </w:rPr>
                  </w:pPr>
                  <w:r w:rsidRPr="00370B40">
                    <w:rPr>
                      <w:rFonts w:ascii="Times New Roman" w:hAnsi="Times New Roman"/>
                      <w:color w:val="auto"/>
                      <w:sz w:val="20"/>
                      <w:szCs w:val="20"/>
                    </w:rPr>
                    <w:t>15,00%</w:t>
                  </w:r>
                </w:p>
              </w:tc>
            </w:tr>
          </w:tbl>
          <w:p w:rsidR="00CE1313" w:rsidRPr="00370B40" w:rsidRDefault="00CE1313" w:rsidP="00785E34">
            <w:pPr>
              <w:rPr>
                <w:sz w:val="22"/>
                <w:szCs w:val="22"/>
                <w:lang w:val="hr-HR"/>
              </w:rPr>
            </w:pPr>
          </w:p>
        </w:tc>
      </w:tr>
    </w:tbl>
    <w:p w:rsidR="00CE1313" w:rsidRPr="00F021A8" w:rsidRDefault="00CE1313" w:rsidP="00F20FAE">
      <w:pPr>
        <w:ind w:firstLine="720"/>
        <w:rPr>
          <w:color w:val="000000"/>
          <w:lang w:val="hr-HR"/>
        </w:rPr>
      </w:pPr>
      <w:r w:rsidRPr="00F021A8">
        <w:rPr>
          <w:color w:val="000000"/>
          <w:lang w:val="hr-HR"/>
        </w:rPr>
        <w:t>Na pitanje „</w:t>
      </w:r>
      <w:r w:rsidRPr="00F021A8">
        <w:rPr>
          <w:i/>
          <w:color w:val="000000"/>
          <w:lang w:val="hr-HR"/>
        </w:rPr>
        <w:t xml:space="preserve">Jeste li prethodne dvije godine uočili bilo kakve informacije o pravima potrošača?“  </w:t>
      </w:r>
      <w:r w:rsidRPr="00F021A8">
        <w:rPr>
          <w:color w:val="000000"/>
          <w:lang w:val="hr-HR"/>
        </w:rPr>
        <w:t xml:space="preserve">(tablica 4)45,24% ispitanika je u prethodne dvije godine „uočilo bilo kakve informacije o pravima potrošača u prehrambenoj industriji“. 43,75% ispitanikaprethodne dvije godine „nije uočilo bilo kakve informacije o pravima potrošača u prehrambenoj industriji“, dok je 11,01% ispitanika na ovo pitanje odgovorilo „Ne znam“. Može se zaključiti kako postoji podijeljenost hrvatskih potrošača svih dobnih skupina po pitanju informiranosti i dostupnosti informacija o pravima potrošača u Republici Hrvatskoj. Postotak onih kojiprethodne dvije godine nisu uočili bilo kakve informacije o pravima potrošača u prehrambenoj industriji nije zanemariv, kao i postotak ispitanika koji suna ovo pitanje odgovorili „Ne znam“. S obzirom na razinu obrazovanja, značajan broj ispitanika koji pripadaju skupini sa završenom osnovnom školom (66,67%)prethodne dvije godine nije uočilo bilo kakve informacije o pravima potrošača u prehrambenoj industriji. </w:t>
      </w:r>
    </w:p>
    <w:p w:rsidR="00CE1313" w:rsidRDefault="00CE1313" w:rsidP="00F20FAE">
      <w:pPr>
        <w:pStyle w:val="Caption"/>
        <w:keepNext/>
        <w:spacing w:after="0"/>
        <w:jc w:val="center"/>
        <w:rPr>
          <w:rFonts w:ascii="Times New Roman" w:hAnsi="Times New Roman"/>
          <w:color w:val="000000"/>
          <w:sz w:val="22"/>
        </w:rPr>
      </w:pPr>
    </w:p>
    <w:p w:rsidR="00CE1313" w:rsidRPr="00BE4C06" w:rsidRDefault="00CE1313" w:rsidP="00D50903">
      <w:pPr>
        <w:pStyle w:val="Caption"/>
        <w:keepNext/>
        <w:spacing w:after="0"/>
        <w:jc w:val="both"/>
      </w:pPr>
      <w:r w:rsidRPr="00DE55E1">
        <w:rPr>
          <w:rFonts w:ascii="Times New Roman" w:hAnsi="Times New Roman"/>
          <w:color w:val="000000"/>
          <w:sz w:val="22"/>
        </w:rPr>
        <w:t>Tablica 4.</w:t>
      </w:r>
      <w:r w:rsidRPr="00BE4C06">
        <w:rPr>
          <w:rFonts w:ascii="Times New Roman" w:hAnsi="Times New Roman"/>
          <w:color w:val="000000"/>
          <w:sz w:val="22"/>
        </w:rPr>
        <w:t>Analitički prikaz odgovora ispitanika na pitanje „Jeste li u prethodne dvije godine uočili bilo kakve informacije o pravima potrošača?“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8"/>
        <w:gridCol w:w="4318"/>
      </w:tblGrid>
      <w:tr w:rsidR="00CE1313" w:rsidRPr="00370B40" w:rsidTr="00370B40">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833"/>
              <w:gridCol w:w="833"/>
              <w:gridCol w:w="966"/>
            </w:tblGrid>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AEEF3"/>
                  <w:vAlign w:val="center"/>
                </w:tcPr>
                <w:p w:rsidR="00CE1313" w:rsidRPr="00370B40" w:rsidRDefault="00CE1313" w:rsidP="00370B40">
                  <w:pPr>
                    <w:pStyle w:val="Heading3"/>
                    <w:jc w:val="center"/>
                    <w:rPr>
                      <w:rFonts w:ascii="Times New Roman" w:hAnsi="Times New Roman"/>
                      <w:b/>
                      <w:color w:val="auto"/>
                      <w:sz w:val="20"/>
                      <w:szCs w:val="20"/>
                    </w:rPr>
                  </w:pPr>
                  <w:r w:rsidRPr="00370B40">
                    <w:rPr>
                      <w:rFonts w:ascii="Times New Roman" w:hAnsi="Times New Roman"/>
                      <w:b/>
                      <w:color w:val="auto"/>
                      <w:sz w:val="20"/>
                      <w:szCs w:val="20"/>
                    </w:rPr>
                    <w:t>Da</w:t>
                  </w:r>
                </w:p>
              </w:tc>
              <w:tc>
                <w:tcPr>
                  <w:tcW w:w="0" w:type="auto"/>
                  <w:tcBorders>
                    <w:top w:val="single" w:sz="4" w:space="0" w:color="auto"/>
                    <w:left w:val="single" w:sz="4" w:space="0" w:color="auto"/>
                    <w:bottom w:val="single" w:sz="4" w:space="0" w:color="auto"/>
                    <w:right w:val="single" w:sz="4" w:space="0" w:color="auto"/>
                  </w:tcBorders>
                  <w:shd w:val="clear" w:color="auto" w:fill="DAEEF3"/>
                  <w:vAlign w:val="center"/>
                </w:tcPr>
                <w:p w:rsidR="00CE1313" w:rsidRPr="00370B40" w:rsidRDefault="00CE1313" w:rsidP="00370B40">
                  <w:pPr>
                    <w:pStyle w:val="Heading3"/>
                    <w:jc w:val="center"/>
                    <w:rPr>
                      <w:rFonts w:ascii="Times New Roman" w:hAnsi="Times New Roman"/>
                      <w:b/>
                      <w:color w:val="auto"/>
                      <w:sz w:val="20"/>
                      <w:szCs w:val="20"/>
                    </w:rPr>
                  </w:pPr>
                  <w:r w:rsidRPr="00370B40">
                    <w:rPr>
                      <w:rFonts w:ascii="Times New Roman" w:hAnsi="Times New Roman"/>
                      <w:b/>
                      <w:color w:val="auto"/>
                      <w:sz w:val="20"/>
                      <w:szCs w:val="20"/>
                    </w:rPr>
                    <w:t>Ne</w:t>
                  </w:r>
                </w:p>
              </w:tc>
              <w:tc>
                <w:tcPr>
                  <w:tcW w:w="0" w:type="auto"/>
                  <w:tcBorders>
                    <w:top w:val="single" w:sz="4" w:space="0" w:color="auto"/>
                    <w:left w:val="single" w:sz="4" w:space="0" w:color="auto"/>
                    <w:bottom w:val="single" w:sz="4" w:space="0" w:color="auto"/>
                    <w:right w:val="single" w:sz="4" w:space="0" w:color="auto"/>
                  </w:tcBorders>
                  <w:shd w:val="clear" w:color="auto" w:fill="DAEEF3"/>
                  <w:vAlign w:val="center"/>
                </w:tcPr>
                <w:p w:rsidR="00CE1313" w:rsidRPr="00370B40" w:rsidRDefault="00CE1313" w:rsidP="00370B40">
                  <w:pPr>
                    <w:pStyle w:val="Heading3"/>
                    <w:jc w:val="center"/>
                    <w:rPr>
                      <w:rFonts w:ascii="Times New Roman" w:hAnsi="Times New Roman"/>
                      <w:b/>
                      <w:color w:val="auto"/>
                      <w:sz w:val="20"/>
                      <w:szCs w:val="20"/>
                    </w:rPr>
                  </w:pPr>
                  <w:r w:rsidRPr="00370B40">
                    <w:rPr>
                      <w:rFonts w:ascii="Times New Roman" w:hAnsi="Times New Roman"/>
                      <w:b/>
                      <w:color w:val="auto"/>
                      <w:sz w:val="20"/>
                      <w:szCs w:val="20"/>
                    </w:rPr>
                    <w:t>Ne znam</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b/>
                      <w:color w:val="000000"/>
                      <w:sz w:val="20"/>
                      <w:szCs w:val="20"/>
                    </w:rPr>
                  </w:pPr>
                  <w:r w:rsidRPr="00370B40">
                    <w:rPr>
                      <w:rFonts w:ascii="Times New Roman" w:hAnsi="Times New Roman"/>
                      <w:b/>
                      <w:color w:val="000000"/>
                      <w:sz w:val="20"/>
                      <w:szCs w:val="20"/>
                    </w:rPr>
                    <w:t>Ukupno</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45,24%</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43,75%</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11,01%</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b/>
                      <w:color w:val="000000"/>
                      <w:sz w:val="20"/>
                      <w:szCs w:val="20"/>
                    </w:rPr>
                  </w:pPr>
                  <w:r w:rsidRPr="00370B40">
                    <w:rPr>
                      <w:rFonts w:ascii="Times New Roman" w:hAnsi="Times New Roman"/>
                      <w:b/>
                      <w:color w:val="000000"/>
                      <w:sz w:val="20"/>
                      <w:szCs w:val="20"/>
                    </w:rPr>
                    <w:t>Spol</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Muško</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43,53%</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48,24%</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8,24%</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Žensko</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45,49%</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43,10%</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11,41%</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b/>
                      <w:color w:val="000000"/>
                      <w:sz w:val="20"/>
                      <w:szCs w:val="20"/>
                    </w:rPr>
                  </w:pPr>
                  <w:r w:rsidRPr="00370B40">
                    <w:rPr>
                      <w:rFonts w:ascii="Times New Roman" w:hAnsi="Times New Roman"/>
                      <w:b/>
                      <w:color w:val="000000"/>
                      <w:sz w:val="20"/>
                      <w:szCs w:val="20"/>
                    </w:rPr>
                    <w:t>Dob</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18 – 25</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39,91%</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45,87%</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14,22%</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26 – 35</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42,62%</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46,31%</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11,07%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36 – 45</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56,39%</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35,34%</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8,27%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46 – 55</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56,82%</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38,64%</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&gt;56</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39,39%</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51,52%</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9,09%</w:t>
                  </w:r>
                </w:p>
              </w:tc>
            </w:tr>
          </w:tbl>
          <w:p w:rsidR="00CE1313" w:rsidRPr="00370B40" w:rsidRDefault="00CE1313" w:rsidP="00D50903">
            <w:pPr>
              <w:rPr>
                <w:sz w:val="22"/>
                <w:szCs w:val="22"/>
                <w:lang w:val="hr-HR"/>
              </w:rPr>
            </w:pPr>
          </w:p>
        </w:tc>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3"/>
              <w:gridCol w:w="833"/>
              <w:gridCol w:w="833"/>
              <w:gridCol w:w="833"/>
            </w:tblGrid>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b/>
                      <w:color w:val="000000"/>
                      <w:sz w:val="20"/>
                      <w:szCs w:val="20"/>
                    </w:rPr>
                  </w:pPr>
                  <w:r w:rsidRPr="00370B40">
                    <w:rPr>
                      <w:rFonts w:ascii="Times New Roman" w:hAnsi="Times New Roman"/>
                      <w:b/>
                      <w:color w:val="000000"/>
                      <w:sz w:val="20"/>
                      <w:szCs w:val="20"/>
                    </w:rPr>
                    <w:t>Razina obrazovanja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Osnovna škola</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25,00%</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66,67%</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8,33%</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SSS</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45,73%</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38,89%</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15,38%</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VŠS</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43,75%</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45,83%</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10,42%</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VSS</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40,25%</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53,46%</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6,29%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Preddiplomski studij</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43,44%</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45,90%</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10,66%</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Diplomski studij</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61,04%</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32,47%</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6,49%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Poslijediplomski studij</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45,00%</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35,00%</w:t>
                  </w:r>
                </w:p>
              </w:tc>
              <w:tc>
                <w:tcPr>
                  <w:tcW w:w="0" w:type="auto"/>
                  <w:tcBorders>
                    <w:top w:val="single" w:sz="4" w:space="0" w:color="auto"/>
                    <w:left w:val="single" w:sz="4" w:space="0" w:color="auto"/>
                    <w:bottom w:val="single" w:sz="4" w:space="0" w:color="auto"/>
                    <w:right w:val="single" w:sz="4" w:space="0" w:color="auto"/>
                  </w:tcBorders>
                  <w:vAlign w:val="bottom"/>
                </w:tcPr>
                <w:p w:rsidR="00CE1313" w:rsidRPr="00370B40" w:rsidRDefault="00CE1313" w:rsidP="00D50903">
                  <w:pPr>
                    <w:pStyle w:val="Heading3"/>
                    <w:rPr>
                      <w:rFonts w:ascii="Times New Roman" w:hAnsi="Times New Roman"/>
                      <w:color w:val="000000"/>
                      <w:sz w:val="20"/>
                      <w:szCs w:val="20"/>
                    </w:rPr>
                  </w:pPr>
                  <w:r w:rsidRPr="00370B40">
                    <w:rPr>
                      <w:rFonts w:ascii="Times New Roman" w:hAnsi="Times New Roman"/>
                      <w:color w:val="000000"/>
                      <w:sz w:val="20"/>
                      <w:szCs w:val="20"/>
                    </w:rPr>
                    <w:t>20,00%</w:t>
                  </w:r>
                </w:p>
              </w:tc>
            </w:tr>
          </w:tbl>
          <w:p w:rsidR="00CE1313" w:rsidRPr="00370B40" w:rsidRDefault="00CE1313" w:rsidP="00D50903">
            <w:pPr>
              <w:rPr>
                <w:sz w:val="22"/>
                <w:szCs w:val="22"/>
                <w:lang w:val="hr-HR"/>
              </w:rPr>
            </w:pPr>
          </w:p>
        </w:tc>
      </w:tr>
    </w:tbl>
    <w:p w:rsidR="00CE1313" w:rsidRPr="00BE1FC6" w:rsidRDefault="00CE1313" w:rsidP="00635F9C">
      <w:pPr>
        <w:pStyle w:val="obrascitr18"/>
        <w:jc w:val="left"/>
        <w:rPr>
          <w:i/>
          <w:color w:val="000000"/>
          <w:sz w:val="20"/>
          <w:szCs w:val="20"/>
        </w:rPr>
      </w:pPr>
      <w:r w:rsidRPr="00BE1FC6">
        <w:rPr>
          <w:i/>
          <w:sz w:val="20"/>
          <w:szCs w:val="20"/>
        </w:rPr>
        <w:t>Izvor: izrada autora</w:t>
      </w:r>
    </w:p>
    <w:p w:rsidR="00CE1313" w:rsidRPr="00F021A8" w:rsidRDefault="00CE1313" w:rsidP="00F20FAE">
      <w:pPr>
        <w:ind w:firstLine="720"/>
        <w:rPr>
          <w:color w:val="000000"/>
          <w:lang w:val="de-DE"/>
        </w:rPr>
      </w:pPr>
      <w:r w:rsidRPr="00F021A8">
        <w:rPr>
          <w:color w:val="000000"/>
          <w:lang w:val="de-DE"/>
        </w:rPr>
        <w:t>Na pitanje „</w:t>
      </w:r>
      <w:r w:rsidRPr="00F021A8">
        <w:rPr>
          <w:i/>
          <w:color w:val="000000"/>
          <w:lang w:val="de-DE"/>
        </w:rPr>
        <w:t xml:space="preserve">Jeste li čuli za besplatni telefon Ministarstva 072 414 414 za potrošače?“ </w:t>
      </w:r>
      <w:r>
        <w:rPr>
          <w:color w:val="000000"/>
          <w:lang w:val="de-DE"/>
        </w:rPr>
        <w:t>(t</w:t>
      </w:r>
      <w:r w:rsidRPr="00F021A8">
        <w:rPr>
          <w:color w:val="000000"/>
          <w:lang w:val="de-DE"/>
        </w:rPr>
        <w:t>ablica 5)Samo 10,42% ispitanika navodi da je čulo za besplatni telefon Ministarstva 072 414 414 za potrošače, 85,57% ispitanika nije čulo za besplatni telefon Ministarstva 072 414 414 za potrošače, dok je 4,02% ispitanika odgovorilo „Ne znam“. Iz navedenih podataka može se zaključiti da značajan broj ispitanika svih dobnih skupina i svih razina obrazovanja nije čulo za besplatni telefon Ministarstva 072 414 414 za potrošače, što se može opravdati činjenicom da hrvatski potrošači nisu dovoljno informirani na koji način saznati svoj prava potrošača u prehrambenoj industriji.</w:t>
      </w:r>
    </w:p>
    <w:p w:rsidR="00CE1313" w:rsidRDefault="00CE1313" w:rsidP="00752FB4">
      <w:pPr>
        <w:pStyle w:val="Caption"/>
        <w:keepNext/>
        <w:spacing w:after="0"/>
        <w:jc w:val="both"/>
        <w:rPr>
          <w:rFonts w:ascii="Times New Roman" w:hAnsi="Times New Roman"/>
          <w:color w:val="000000"/>
          <w:sz w:val="22"/>
        </w:rPr>
      </w:pPr>
    </w:p>
    <w:p w:rsidR="00CE1313" w:rsidRPr="00BE4C06" w:rsidRDefault="00CE1313" w:rsidP="00752FB4">
      <w:pPr>
        <w:pStyle w:val="Caption"/>
        <w:keepNext/>
        <w:spacing w:after="0"/>
        <w:jc w:val="both"/>
        <w:rPr>
          <w:rFonts w:ascii="Times New Roman" w:hAnsi="Times New Roman"/>
          <w:color w:val="000000"/>
          <w:sz w:val="22"/>
        </w:rPr>
      </w:pPr>
      <w:r w:rsidRPr="00DE55E1">
        <w:rPr>
          <w:rFonts w:ascii="Times New Roman" w:hAnsi="Times New Roman"/>
          <w:color w:val="000000"/>
          <w:sz w:val="22"/>
        </w:rPr>
        <w:t>Tablica 5.</w:t>
      </w:r>
      <w:r w:rsidRPr="00BE4C06">
        <w:rPr>
          <w:rFonts w:ascii="Times New Roman" w:hAnsi="Times New Roman"/>
          <w:color w:val="000000"/>
          <w:sz w:val="22"/>
        </w:rPr>
        <w:t>Analitički prikaz odgovora ispitanika na pitanje „Jeste li čuli za besplatni telefon Ministarstva gospodarstva 072 414 414 za potrošače?“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8"/>
        <w:gridCol w:w="4318"/>
      </w:tblGrid>
      <w:tr w:rsidR="00CE1313" w:rsidRPr="00370B40" w:rsidTr="00370B40">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833"/>
              <w:gridCol w:w="833"/>
              <w:gridCol w:w="933"/>
            </w:tblGrid>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Da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Ne</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Ne znam</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10,42%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85,57%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4,02%</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b/>
                      <w:color w:val="auto"/>
                      <w:sz w:val="20"/>
                      <w:szCs w:val="20"/>
                    </w:rPr>
                  </w:pPr>
                  <w:r w:rsidRPr="00370B40">
                    <w:rPr>
                      <w:rFonts w:ascii="Times New Roman" w:hAnsi="Times New Roman"/>
                      <w:b/>
                      <w:color w:val="auto"/>
                      <w:sz w:val="20"/>
                      <w:szCs w:val="20"/>
                    </w:rPr>
                    <w:t>Spol</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11,76%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84,71%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3,53%</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10,22%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85,69%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4,09%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b/>
                      <w:color w:val="auto"/>
                      <w:sz w:val="20"/>
                      <w:szCs w:val="20"/>
                    </w:rPr>
                  </w:pPr>
                  <w:r w:rsidRPr="00370B40">
                    <w:rPr>
                      <w:rFonts w:ascii="Times New Roman" w:hAnsi="Times New Roman"/>
                      <w:b/>
                      <w:color w:val="auto"/>
                      <w:sz w:val="20"/>
                      <w:szCs w:val="20"/>
                    </w:rPr>
                    <w:t>Dob</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18 – 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7,80%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84,86%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7,34%</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26 – 35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9,84%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88,52%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1,64%</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36 – 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5,26%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93,23%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1,50%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46 – 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29,55%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70,45%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&gt;56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27,27%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57,58%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15,15%</w:t>
                  </w:r>
                </w:p>
              </w:tc>
            </w:tr>
          </w:tbl>
          <w:p w:rsidR="00CE1313" w:rsidRPr="00370B40" w:rsidRDefault="00CE1313" w:rsidP="00445E5A">
            <w:pPr>
              <w:rPr>
                <w:sz w:val="22"/>
                <w:szCs w:val="22"/>
                <w:lang w:val="hr-HR"/>
              </w:rPr>
            </w:pPr>
          </w:p>
        </w:tc>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3"/>
              <w:gridCol w:w="833"/>
              <w:gridCol w:w="833"/>
              <w:gridCol w:w="833"/>
            </w:tblGrid>
            <w:tr w:rsidR="00CE1313" w:rsidRPr="00370B40" w:rsidTr="00370B40">
              <w:trPr>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b/>
                      <w:color w:val="auto"/>
                      <w:sz w:val="20"/>
                      <w:szCs w:val="20"/>
                    </w:rPr>
                    <w:t>Razina obrazovanja</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8,33%</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11,97%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80,34%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7,69%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20,83%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79,17%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6,92%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91,19%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1,89%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10,66%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87,70%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1,64%</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80,00%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Poslijediplomski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6,49%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92,21%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752FB4">
                  <w:pPr>
                    <w:pStyle w:val="Heading3"/>
                    <w:rPr>
                      <w:rFonts w:ascii="Times New Roman" w:hAnsi="Times New Roman"/>
                      <w:color w:val="auto"/>
                      <w:sz w:val="20"/>
                      <w:szCs w:val="20"/>
                    </w:rPr>
                  </w:pPr>
                  <w:r w:rsidRPr="00370B40">
                    <w:rPr>
                      <w:rFonts w:ascii="Times New Roman" w:hAnsi="Times New Roman"/>
                      <w:color w:val="auto"/>
                      <w:sz w:val="20"/>
                      <w:szCs w:val="20"/>
                    </w:rPr>
                    <w:t>1,30%</w:t>
                  </w:r>
                </w:p>
              </w:tc>
            </w:tr>
          </w:tbl>
          <w:p w:rsidR="00CE1313" w:rsidRPr="00370B40" w:rsidRDefault="00CE1313" w:rsidP="00445E5A">
            <w:pPr>
              <w:rPr>
                <w:sz w:val="22"/>
                <w:szCs w:val="22"/>
                <w:lang w:val="hr-HR"/>
              </w:rPr>
            </w:pPr>
          </w:p>
        </w:tc>
      </w:tr>
    </w:tbl>
    <w:p w:rsidR="00CE1313" w:rsidRPr="00BE4C06" w:rsidRDefault="00CE1313" w:rsidP="00F20FAE">
      <w:pPr>
        <w:pStyle w:val="Heading3"/>
        <w:rPr>
          <w:rFonts w:ascii="Times New Roman" w:hAnsi="Times New Roman"/>
          <w:color w:val="auto"/>
          <w:sz w:val="20"/>
          <w:szCs w:val="20"/>
        </w:rPr>
      </w:pPr>
      <w:r w:rsidRPr="00BE4C06">
        <w:rPr>
          <w:rFonts w:ascii="Times New Roman" w:hAnsi="Times New Roman"/>
          <w:color w:val="auto"/>
          <w:sz w:val="20"/>
          <w:szCs w:val="20"/>
        </w:rPr>
        <w:t>Izvor: izrada autora</w:t>
      </w:r>
    </w:p>
    <w:p w:rsidR="00CE1313" w:rsidRPr="00F021A8" w:rsidRDefault="00CE1313" w:rsidP="00F20FAE">
      <w:pPr>
        <w:ind w:firstLine="720"/>
        <w:rPr>
          <w:color w:val="000000"/>
          <w:lang w:val="hr-HR"/>
        </w:rPr>
      </w:pPr>
      <w:r w:rsidRPr="00F021A8">
        <w:rPr>
          <w:color w:val="000000"/>
          <w:lang w:val="hr-HR"/>
        </w:rPr>
        <w:t>Na pitanje „</w:t>
      </w:r>
      <w:r w:rsidRPr="00F021A8">
        <w:rPr>
          <w:i/>
          <w:color w:val="000000"/>
          <w:lang w:val="hr-HR"/>
        </w:rPr>
        <w:t>Koje su Vam ustanove i organizacije/udruge koje se bave zaštitom potrošača poznate?“</w:t>
      </w:r>
      <w:r>
        <w:rPr>
          <w:color w:val="000000"/>
          <w:lang w:val="hr-HR"/>
        </w:rPr>
        <w:t xml:space="preserve"> (t</w:t>
      </w:r>
      <w:r w:rsidRPr="00F021A8">
        <w:rPr>
          <w:color w:val="000000"/>
          <w:lang w:val="hr-HR"/>
        </w:rPr>
        <w:t>ablica 6) 61,90% ispitanika navodi kako im je poznato je Društvo za zaštitu potrošača – „Potrošač“, a 77,83% ispitanika navode kako su im poznati TV programi o zaštiti potrošača („Potrošački kod HRT-a, „Provjereno“ NOVE TV). 9,08% ispitanika zna za Odjel za zaštitu potrošača pri Ministarstvu gospodarstva, 10,42% ispitanika tvrdi kako im je poznat Savez udruga za zaštitu potrošača, dok 3,57% ispitanika navodi kako im je poznat Europski potrošački centar Hrvatska. Tek 1,79% ispitanika navodi kako im je poznato „Nešto drugo od navedenog“. „Ništa od navedenog“ navelo je 4,32% ispitanika, dok je odgovor „Ne znam“ navelo 4,76% ispitanika. Iz navedenog može se zaključiti kako su ispitanici svih dobnih skupina upoznati s Društvom za zaštitu potrošača – „Potrošač“ i TV programima o zaštiti potrošača („Potrošački kod“ HRT-a, „Provjereno“ NOVE TV). Ostale ustanove i organizacije/udruge koje se bave zaštitom prava potrošača su pretežito nepoznate svim skupinama ispitanika. Može se uočiti veza između životne starosti ispitanika i njihovog znanja o ustanovama i organizacijama/udrugama koje se bave zaštitom prava potrošača. Naime, što je veća životna dob ispitanika to je manje znanje o ustanovama i organizacijama/udrugama koje se bave zaštitom prava potrošača. Isto tako iz dobivenih podataka može se iščitati kako su ispitanici koji su završili osnovnu školu najmanje upoznati s ustanovama i organizacijama/udrugama koje se bave zaštitom prava potrošača.</w:t>
      </w:r>
    </w:p>
    <w:p w:rsidR="00CE1313" w:rsidRPr="00BE4C06" w:rsidRDefault="00CE1313" w:rsidP="00752FB4">
      <w:pPr>
        <w:pStyle w:val="Caption"/>
        <w:keepNext/>
        <w:spacing w:after="0"/>
        <w:jc w:val="both"/>
        <w:rPr>
          <w:rFonts w:ascii="Times New Roman" w:hAnsi="Times New Roman"/>
          <w:color w:val="000000"/>
          <w:sz w:val="22"/>
        </w:rPr>
      </w:pPr>
      <w:r w:rsidRPr="00DE55E1">
        <w:rPr>
          <w:rFonts w:ascii="Times New Roman" w:hAnsi="Times New Roman"/>
          <w:color w:val="000000"/>
          <w:sz w:val="22"/>
        </w:rPr>
        <w:t>Tablica 6.</w:t>
      </w:r>
      <w:r w:rsidRPr="00BE4C06">
        <w:rPr>
          <w:rFonts w:ascii="Times New Roman" w:hAnsi="Times New Roman"/>
          <w:color w:val="000000"/>
          <w:sz w:val="22"/>
        </w:rPr>
        <w:t>Analitički prikaz odgovora ispitanika na pitanje „Koje su Vam ustanove i organizacije/udruge koje se bave zaštitom prava potrošača poznate?“</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5"/>
        <w:gridCol w:w="815"/>
        <w:gridCol w:w="1255"/>
        <w:gridCol w:w="1279"/>
        <w:gridCol w:w="864"/>
        <w:gridCol w:w="920"/>
        <w:gridCol w:w="643"/>
        <w:gridCol w:w="958"/>
        <w:gridCol w:w="826"/>
      </w:tblGrid>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p>
        </w:tc>
        <w:tc>
          <w:tcPr>
            <w:tcW w:w="815" w:type="dxa"/>
            <w:shd w:val="clear" w:color="auto" w:fill="DBE5F1"/>
            <w:vAlign w:val="center"/>
          </w:tcPr>
          <w:p w:rsidR="00CE1313" w:rsidRPr="00370B40" w:rsidRDefault="00CE1313" w:rsidP="0050618C">
            <w:pPr>
              <w:pStyle w:val="Heading3"/>
              <w:rPr>
                <w:rFonts w:ascii="Times New Roman" w:hAnsi="Times New Roman"/>
                <w:color w:val="auto"/>
                <w:sz w:val="18"/>
                <w:szCs w:val="18"/>
              </w:rPr>
            </w:pPr>
            <w:r w:rsidRPr="00370B40">
              <w:rPr>
                <w:rFonts w:ascii="Times New Roman" w:hAnsi="Times New Roman"/>
                <w:color w:val="auto"/>
                <w:sz w:val="16"/>
                <w:szCs w:val="16"/>
              </w:rPr>
              <w:t>„</w:t>
            </w:r>
            <w:r w:rsidRPr="00370B40">
              <w:rPr>
                <w:rFonts w:ascii="Times New Roman" w:hAnsi="Times New Roman"/>
                <w:color w:val="auto"/>
                <w:sz w:val="18"/>
                <w:szCs w:val="18"/>
              </w:rPr>
              <w:t>Potroš.društvo za zašt.</w:t>
            </w:r>
            <w:r w:rsidRPr="00370B40">
              <w:rPr>
                <w:rFonts w:ascii="Times New Roman" w:hAnsi="Times New Roman"/>
                <w:color w:val="auto"/>
                <w:sz w:val="16"/>
                <w:szCs w:val="16"/>
              </w:rPr>
              <w:t>potrošač.</w:t>
            </w:r>
          </w:p>
        </w:tc>
        <w:tc>
          <w:tcPr>
            <w:tcW w:w="1255" w:type="dxa"/>
            <w:shd w:val="clear" w:color="auto" w:fill="DBE5F1"/>
            <w:vAlign w:val="center"/>
          </w:tcPr>
          <w:p w:rsidR="00CE1313" w:rsidRPr="00370B40" w:rsidRDefault="00CE1313" w:rsidP="0050618C">
            <w:pPr>
              <w:pStyle w:val="Heading3"/>
              <w:rPr>
                <w:rFonts w:ascii="Times New Roman" w:hAnsi="Times New Roman"/>
                <w:color w:val="auto"/>
                <w:sz w:val="18"/>
                <w:szCs w:val="18"/>
              </w:rPr>
            </w:pPr>
            <w:r w:rsidRPr="00370B40">
              <w:rPr>
                <w:rFonts w:ascii="Times New Roman" w:hAnsi="Times New Roman"/>
                <w:color w:val="auto"/>
                <w:sz w:val="18"/>
                <w:szCs w:val="18"/>
              </w:rPr>
              <w:t xml:space="preserve">TV programi o zaštiti potrošača </w:t>
            </w:r>
          </w:p>
        </w:tc>
        <w:tc>
          <w:tcPr>
            <w:tcW w:w="1279" w:type="dxa"/>
            <w:shd w:val="clear" w:color="auto" w:fill="DBE5F1"/>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Odjel za zaštitu potroš.</w:t>
            </w:r>
            <w:r w:rsidRPr="00370B40">
              <w:rPr>
                <w:rFonts w:ascii="Times New Roman" w:hAnsi="Times New Roman"/>
                <w:color w:val="auto"/>
                <w:sz w:val="16"/>
                <w:szCs w:val="16"/>
              </w:rPr>
              <w:t>pri Ministarstvu gospodarstva</w:t>
            </w:r>
          </w:p>
        </w:tc>
        <w:tc>
          <w:tcPr>
            <w:tcW w:w="864" w:type="dxa"/>
            <w:shd w:val="clear" w:color="auto" w:fill="DBE5F1"/>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Savez udruga za zašt.</w:t>
            </w:r>
            <w:r w:rsidRPr="00370B40">
              <w:rPr>
                <w:rFonts w:ascii="Times New Roman" w:hAnsi="Times New Roman"/>
                <w:color w:val="auto"/>
                <w:sz w:val="16"/>
                <w:szCs w:val="16"/>
              </w:rPr>
              <w:t>potrošača</w:t>
            </w:r>
          </w:p>
        </w:tc>
        <w:tc>
          <w:tcPr>
            <w:tcW w:w="920" w:type="dxa"/>
            <w:shd w:val="clear" w:color="auto" w:fill="DBE5F1"/>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 xml:space="preserve">Europski </w:t>
            </w:r>
            <w:r w:rsidRPr="00370B40">
              <w:rPr>
                <w:rFonts w:ascii="Times New Roman" w:hAnsi="Times New Roman"/>
                <w:color w:val="auto"/>
                <w:sz w:val="16"/>
                <w:szCs w:val="16"/>
              </w:rPr>
              <w:t>potrošački</w:t>
            </w:r>
            <w:r w:rsidRPr="00370B40">
              <w:rPr>
                <w:rFonts w:ascii="Times New Roman" w:hAnsi="Times New Roman"/>
                <w:color w:val="auto"/>
                <w:sz w:val="18"/>
                <w:szCs w:val="18"/>
              </w:rPr>
              <w:t xml:space="preserve"> centar Hrvatska</w:t>
            </w:r>
          </w:p>
        </w:tc>
        <w:tc>
          <w:tcPr>
            <w:tcW w:w="643" w:type="dxa"/>
            <w:shd w:val="clear" w:color="auto" w:fill="DBE5F1"/>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Nešto drugo</w:t>
            </w:r>
          </w:p>
        </w:tc>
        <w:tc>
          <w:tcPr>
            <w:tcW w:w="958" w:type="dxa"/>
            <w:shd w:val="clear" w:color="auto" w:fill="DBE5F1"/>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 xml:space="preserve">Ništa od </w:t>
            </w:r>
            <w:r w:rsidRPr="00370B40">
              <w:rPr>
                <w:rFonts w:ascii="Times New Roman" w:hAnsi="Times New Roman"/>
                <w:color w:val="auto"/>
                <w:sz w:val="16"/>
                <w:szCs w:val="16"/>
              </w:rPr>
              <w:t>navedenog</w:t>
            </w:r>
          </w:p>
        </w:tc>
        <w:tc>
          <w:tcPr>
            <w:tcW w:w="826" w:type="dxa"/>
            <w:shd w:val="clear" w:color="auto" w:fill="DBE5F1"/>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Ne znam</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61,90%</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77,83%</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9,08%</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10,42%</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3,57%</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1,79%</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4,32%</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4,76%</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51,76%</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62,35%</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5,88%</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12,94%</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4,71%</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1,18%</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11,76%</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9,41%</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63,37%</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80,07%</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9,54%</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10,05%</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3,41%</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1,87%</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3,24%</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4,09%</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76,15%</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12,39%</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15,60%</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4,13%</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1,83%</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5,05%</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5,50%</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72,95%</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82,79%</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7,79%</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9,84%</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4,10%</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2,46%</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2,05%</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2,46%</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69,17%</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82,71%</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6,77%</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4,51%</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1,50%</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1,50%</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4,51%</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1,50%</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54,55%</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72,73%</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6,82%</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4,55%</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0,00%</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9,09%</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39,39%</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39,39%</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6,06%</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3,03%</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0,00%</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18,18%</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24,24%</w:t>
            </w:r>
          </w:p>
        </w:tc>
      </w:tr>
      <w:tr w:rsidR="00CE1313" w:rsidRPr="00370B40" w:rsidTr="00370B40">
        <w:trPr>
          <w:jc w:val="center"/>
        </w:trPr>
        <w:tc>
          <w:tcPr>
            <w:tcW w:w="1165" w:type="dxa"/>
            <w:vAlign w:val="center"/>
          </w:tcPr>
          <w:p w:rsidR="00CE1313" w:rsidRPr="00370B40" w:rsidRDefault="00CE1313" w:rsidP="0050618C">
            <w:pPr>
              <w:pStyle w:val="Heading3"/>
              <w:rPr>
                <w:rFonts w:ascii="Times New Roman" w:hAnsi="Times New Roman"/>
                <w:color w:val="auto"/>
                <w:sz w:val="18"/>
                <w:szCs w:val="18"/>
              </w:rPr>
            </w:pPr>
            <w:r w:rsidRPr="00370B40">
              <w:rPr>
                <w:rFonts w:ascii="Times New Roman" w:hAnsi="Times New Roman"/>
                <w:color w:val="auto"/>
                <w:sz w:val="18"/>
                <w:szCs w:val="18"/>
              </w:rPr>
              <w:t>Osnovna šk</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16,67%</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25,00%</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0,00%</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41,67%</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25,00%</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55,98%</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75,64%</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5,13%</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10,26%</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3,42%</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1,71%</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3,42%</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6,41%</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56,25%</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66,67%</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6,25%</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6,25%</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4,17%</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4,17%</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6,25%</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84,28%</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93,71%</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10,69%</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6,92%</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1,89%</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0,00%</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1,89%</w:t>
            </w:r>
          </w:p>
        </w:tc>
      </w:tr>
      <w:tr w:rsidR="00CE1313" w:rsidRPr="00370B40" w:rsidTr="00370B40">
        <w:trPr>
          <w:jc w:val="center"/>
        </w:trPr>
        <w:tc>
          <w:tcPr>
            <w:tcW w:w="1165" w:type="dxa"/>
            <w:vAlign w:val="center"/>
          </w:tcPr>
          <w:p w:rsidR="00CE1313" w:rsidRPr="00370B40" w:rsidRDefault="00CE1313" w:rsidP="00752FB4">
            <w:pPr>
              <w:pStyle w:val="Heading3"/>
              <w:rPr>
                <w:rFonts w:ascii="Times New Roman" w:hAnsi="Times New Roman"/>
                <w:color w:val="auto"/>
                <w:sz w:val="18"/>
                <w:szCs w:val="18"/>
              </w:rPr>
            </w:pPr>
            <w:r w:rsidRPr="00370B40">
              <w:rPr>
                <w:rFonts w:ascii="Times New Roman" w:hAnsi="Times New Roman"/>
                <w:color w:val="auto"/>
                <w:sz w:val="18"/>
                <w:szCs w:val="18"/>
              </w:rPr>
              <w:t>Preddipl. St.</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45,90%</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71,31%</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17,21%</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18,03%</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4,92%</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2,46%</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8,20%</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4,92%</w:t>
            </w:r>
          </w:p>
        </w:tc>
      </w:tr>
      <w:tr w:rsidR="00CE1313" w:rsidRPr="00370B40" w:rsidTr="00370B40">
        <w:trPr>
          <w:jc w:val="center"/>
        </w:trPr>
        <w:tc>
          <w:tcPr>
            <w:tcW w:w="116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Diplom.st.</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70,13%</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80,52%</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16,88%</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7,79%</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3,90%</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2,60%</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1,30%</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1,30%</w:t>
            </w:r>
          </w:p>
        </w:tc>
      </w:tr>
      <w:tr w:rsidR="00CE1313" w:rsidRPr="00370B40" w:rsidTr="00370B40">
        <w:trPr>
          <w:jc w:val="center"/>
        </w:trPr>
        <w:tc>
          <w:tcPr>
            <w:tcW w:w="1165" w:type="dxa"/>
            <w:vAlign w:val="center"/>
          </w:tcPr>
          <w:p w:rsidR="00CE1313" w:rsidRPr="00370B40" w:rsidRDefault="00CE1313" w:rsidP="00DE55E1">
            <w:pPr>
              <w:pStyle w:val="Heading3"/>
              <w:rPr>
                <w:rFonts w:ascii="Times New Roman" w:hAnsi="Times New Roman"/>
                <w:color w:val="auto"/>
                <w:sz w:val="18"/>
                <w:szCs w:val="18"/>
              </w:rPr>
            </w:pPr>
            <w:r w:rsidRPr="00370B40">
              <w:rPr>
                <w:rFonts w:ascii="Times New Roman" w:hAnsi="Times New Roman"/>
                <w:color w:val="auto"/>
                <w:sz w:val="18"/>
                <w:szCs w:val="18"/>
              </w:rPr>
              <w:t>Poslijedipl.st</w:t>
            </w:r>
          </w:p>
        </w:tc>
        <w:tc>
          <w:tcPr>
            <w:tcW w:w="815" w:type="dxa"/>
            <w:tcBorders>
              <w:left w:val="nil"/>
            </w:tcBorders>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60,00%</w:t>
            </w:r>
          </w:p>
        </w:tc>
        <w:tc>
          <w:tcPr>
            <w:tcW w:w="1255"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65,00%</w:t>
            </w:r>
          </w:p>
        </w:tc>
        <w:tc>
          <w:tcPr>
            <w:tcW w:w="1279"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864"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920"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643" w:type="dxa"/>
            <w:vAlign w:val="center"/>
          </w:tcPr>
          <w:p w:rsidR="00CE1313" w:rsidRPr="00370B40" w:rsidRDefault="00CE1313" w:rsidP="00F20FAE">
            <w:pPr>
              <w:pStyle w:val="Heading3"/>
              <w:rPr>
                <w:rFonts w:ascii="Times New Roman" w:hAnsi="Times New Roman"/>
                <w:color w:val="auto"/>
                <w:sz w:val="16"/>
                <w:szCs w:val="16"/>
              </w:rPr>
            </w:pPr>
            <w:r w:rsidRPr="00370B40">
              <w:rPr>
                <w:rFonts w:ascii="Times New Roman" w:hAnsi="Times New Roman"/>
                <w:color w:val="auto"/>
                <w:sz w:val="16"/>
                <w:szCs w:val="16"/>
              </w:rPr>
              <w:t>5,00%</w:t>
            </w:r>
          </w:p>
        </w:tc>
        <w:tc>
          <w:tcPr>
            <w:tcW w:w="958"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15,00%</w:t>
            </w:r>
          </w:p>
        </w:tc>
        <w:tc>
          <w:tcPr>
            <w:tcW w:w="826" w:type="dxa"/>
            <w:vAlign w:val="center"/>
          </w:tcPr>
          <w:p w:rsidR="00CE1313" w:rsidRPr="00370B40" w:rsidRDefault="00CE1313" w:rsidP="00F20FAE">
            <w:pPr>
              <w:pStyle w:val="Heading3"/>
              <w:rPr>
                <w:rFonts w:ascii="Times New Roman" w:hAnsi="Times New Roman"/>
                <w:color w:val="auto"/>
                <w:sz w:val="18"/>
                <w:szCs w:val="18"/>
              </w:rPr>
            </w:pPr>
            <w:r w:rsidRPr="00370B40">
              <w:rPr>
                <w:rFonts w:ascii="Times New Roman" w:hAnsi="Times New Roman"/>
                <w:color w:val="auto"/>
                <w:sz w:val="18"/>
                <w:szCs w:val="18"/>
              </w:rPr>
              <w:t>5,00%</w:t>
            </w:r>
          </w:p>
        </w:tc>
      </w:tr>
    </w:tbl>
    <w:p w:rsidR="00CE1313" w:rsidRPr="00BE1FC6" w:rsidRDefault="00CE1313" w:rsidP="008D1D39">
      <w:pPr>
        <w:pStyle w:val="Heading3"/>
        <w:rPr>
          <w:rFonts w:ascii="Times New Roman" w:hAnsi="Times New Roman"/>
          <w:i/>
          <w:color w:val="auto"/>
          <w:sz w:val="18"/>
          <w:szCs w:val="18"/>
        </w:rPr>
      </w:pPr>
      <w:r w:rsidRPr="00BE1FC6">
        <w:rPr>
          <w:rFonts w:ascii="Times New Roman" w:hAnsi="Times New Roman"/>
          <w:i/>
          <w:color w:val="auto"/>
          <w:sz w:val="18"/>
          <w:szCs w:val="18"/>
        </w:rPr>
        <w:t>Izvor: izrada autora</w:t>
      </w:r>
    </w:p>
    <w:p w:rsidR="00CE1313" w:rsidRDefault="00CE1313" w:rsidP="008D1D39">
      <w:pPr>
        <w:ind w:firstLine="720"/>
        <w:rPr>
          <w:lang w:val="hr-HR"/>
        </w:rPr>
      </w:pPr>
      <w:r w:rsidRPr="00F021A8">
        <w:rPr>
          <w:color w:val="000000"/>
          <w:lang w:val="hr-HR"/>
        </w:rPr>
        <w:t>Na pitanje „</w:t>
      </w:r>
      <w:r w:rsidRPr="00F021A8">
        <w:rPr>
          <w:i/>
          <w:color w:val="000000"/>
          <w:lang w:val="hr-HR"/>
        </w:rPr>
        <w:t>Jeste li ikad zatražili informaciju ili pomoć od bilo koje od prethodno navedenih organizacija?“</w:t>
      </w:r>
      <w:r w:rsidRPr="00F021A8">
        <w:rPr>
          <w:color w:val="000000"/>
          <w:lang w:val="hr-HR"/>
        </w:rPr>
        <w:t xml:space="preserve"> (tablica 7) </w:t>
      </w:r>
      <w:r w:rsidRPr="00F021A8">
        <w:rPr>
          <w:lang w:val="hr-HR"/>
        </w:rPr>
        <w:t xml:space="preserve">tek 7,59% ispitanika zatražilo je </w:t>
      </w:r>
      <w:r>
        <w:rPr>
          <w:lang w:val="hr-HR"/>
        </w:rPr>
        <w:t>takvu informaciju</w:t>
      </w:r>
      <w:r w:rsidRPr="00F021A8">
        <w:rPr>
          <w:lang w:val="hr-HR"/>
        </w:rPr>
        <w:t>, dok čak 91,82% ispitanika nije zatražilo informaciju ili pomoć od p</w:t>
      </w:r>
      <w:r>
        <w:rPr>
          <w:lang w:val="hr-HR"/>
        </w:rPr>
        <w:t>rethodno navedenih organizacija;</w:t>
      </w:r>
      <w:r w:rsidRPr="00F021A8">
        <w:rPr>
          <w:lang w:val="hr-HR"/>
        </w:rPr>
        <w:t xml:space="preserve"> 0,60% ispitanika odgovorilo je „Ne znam“. </w:t>
      </w:r>
      <w:r>
        <w:rPr>
          <w:lang w:val="hr-HR"/>
        </w:rPr>
        <w:t>M</w:t>
      </w:r>
      <w:r w:rsidRPr="00F021A8">
        <w:rPr>
          <w:lang w:val="hr-HR"/>
        </w:rPr>
        <w:t xml:space="preserve">ože </w:t>
      </w:r>
      <w:r>
        <w:rPr>
          <w:lang w:val="hr-HR"/>
        </w:rPr>
        <w:t xml:space="preserve">se </w:t>
      </w:r>
      <w:r w:rsidRPr="00F021A8">
        <w:rPr>
          <w:lang w:val="hr-HR"/>
        </w:rPr>
        <w:t xml:space="preserve">zaključiti </w:t>
      </w:r>
      <w:r>
        <w:rPr>
          <w:lang w:val="hr-HR"/>
        </w:rPr>
        <w:t>da značajan</w:t>
      </w:r>
      <w:r w:rsidRPr="00F021A8">
        <w:rPr>
          <w:lang w:val="hr-HR"/>
        </w:rPr>
        <w:t xml:space="preserve"> broj ispitanika svih nije zatražilo informaciju ili pomoć od prethodno navedenih organizacija, a jedan od razloga za to može biti neinformiranost, odnosno nedovoljno znanje o ustanovama i organizacijama/udrugama koje se bave zaštitom prava potrošača.</w:t>
      </w:r>
    </w:p>
    <w:p w:rsidR="00CE1313" w:rsidRPr="00807D57" w:rsidRDefault="00CE1313" w:rsidP="00807D57">
      <w:pPr>
        <w:rPr>
          <w:i/>
          <w:lang w:val="hr-HR"/>
        </w:rPr>
      </w:pPr>
      <w:r w:rsidRPr="00807D57">
        <w:rPr>
          <w:i/>
          <w:color w:val="000000"/>
          <w:sz w:val="22"/>
          <w:lang w:val="hr-HR"/>
        </w:rPr>
        <w:t>Tablica 7.Analitički prikaz odgovora ispitanika na pitanje „Jeste li ikad zatražili informaciju ili pomoć od bilo koje od prethodno navedenih organizacija?“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8"/>
        <w:gridCol w:w="4318"/>
      </w:tblGrid>
      <w:tr w:rsidR="00CE1313" w:rsidRPr="00370B40" w:rsidTr="00370B40">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8"/>
              <w:gridCol w:w="833"/>
              <w:gridCol w:w="833"/>
              <w:gridCol w:w="966"/>
            </w:tblGrid>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239B9">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C6D9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Da</w:t>
                  </w:r>
                </w:p>
              </w:tc>
              <w:tc>
                <w:tcPr>
                  <w:tcW w:w="0" w:type="auto"/>
                  <w:tcBorders>
                    <w:top w:val="single" w:sz="4" w:space="0" w:color="auto"/>
                    <w:left w:val="single" w:sz="4" w:space="0" w:color="auto"/>
                    <w:bottom w:val="single" w:sz="4" w:space="0" w:color="auto"/>
                    <w:right w:val="single" w:sz="4" w:space="0" w:color="auto"/>
                  </w:tcBorders>
                  <w:shd w:val="clear" w:color="auto" w:fill="C6D9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Ne</w:t>
                  </w:r>
                </w:p>
              </w:tc>
              <w:tc>
                <w:tcPr>
                  <w:tcW w:w="0" w:type="auto"/>
                  <w:tcBorders>
                    <w:top w:val="single" w:sz="4" w:space="0" w:color="auto"/>
                    <w:left w:val="single" w:sz="4" w:space="0" w:color="auto"/>
                    <w:bottom w:val="single" w:sz="4" w:space="0" w:color="auto"/>
                    <w:right w:val="single" w:sz="4" w:space="0" w:color="auto"/>
                  </w:tcBorders>
                  <w:shd w:val="clear" w:color="auto" w:fill="C6D9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Ne znam</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7,59%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91,82%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0,60%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b/>
                      <w:color w:val="auto"/>
                      <w:sz w:val="20"/>
                      <w:szCs w:val="20"/>
                    </w:rPr>
                  </w:pPr>
                  <w:r w:rsidRPr="00370B40">
                    <w:rPr>
                      <w:rFonts w:ascii="Times New Roman" w:hAnsi="Times New Roman"/>
                      <w:color w:val="auto"/>
                      <w:sz w:val="20"/>
                      <w:szCs w:val="20"/>
                    </w:rPr>
                    <w:t>Spol: Muško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7,06%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91,76%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1,18%</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Spol: Žensko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7,67%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91,82%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0,51%</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Dob: 18 – 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1,38%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97,71%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0,92%</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Dob: 18 – 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1,38%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97,71%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0,92%</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Dob: 26 – 35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11,07%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88,93%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Dob: 36 – 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10,53%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88,72%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0,75%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Dob: 46 – 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6,82%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93,18%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Dob: &gt;56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12,12%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84,85%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3,03%</w:t>
                  </w:r>
                </w:p>
              </w:tc>
            </w:tr>
          </w:tbl>
          <w:p w:rsidR="00CE1313" w:rsidRPr="00370B40" w:rsidRDefault="00CE1313" w:rsidP="00D239B9">
            <w:pPr>
              <w:rPr>
                <w:sz w:val="22"/>
                <w:szCs w:val="22"/>
                <w:lang w:val="hr-HR"/>
              </w:rPr>
            </w:pPr>
          </w:p>
        </w:tc>
        <w:tc>
          <w:tcPr>
            <w:tcW w:w="43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3"/>
              <w:gridCol w:w="833"/>
              <w:gridCol w:w="933"/>
              <w:gridCol w:w="733"/>
            </w:tblGrid>
            <w:tr w:rsidR="00CE1313" w:rsidRPr="00370B40" w:rsidTr="00370B40">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C6D9F1"/>
                  <w:vAlign w:val="center"/>
                </w:tcPr>
                <w:p w:rsidR="00CE1313" w:rsidRPr="00370B40" w:rsidRDefault="00CE1313" w:rsidP="00D239B9">
                  <w:pPr>
                    <w:pStyle w:val="Heading3"/>
                    <w:rPr>
                      <w:rFonts w:ascii="Times New Roman" w:hAnsi="Times New Roman"/>
                      <w:color w:val="auto"/>
                      <w:sz w:val="20"/>
                      <w:szCs w:val="20"/>
                    </w:rPr>
                  </w:pPr>
                  <w:r w:rsidRPr="00370B40">
                    <w:rPr>
                      <w:rFonts w:ascii="Times New Roman" w:hAnsi="Times New Roman"/>
                      <w:b/>
                      <w:color w:val="auto"/>
                      <w:sz w:val="20"/>
                      <w:szCs w:val="20"/>
                    </w:rPr>
                    <w:t>Razina obrazovanja</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100,00%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9,40%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89,74%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0,85%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16,67%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83,33%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8,81%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91,19%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98,36%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0,82%</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Poslijediplomski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5,19%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93,51%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07D57">
                  <w:pPr>
                    <w:pStyle w:val="Heading3"/>
                    <w:rPr>
                      <w:rFonts w:ascii="Times New Roman" w:hAnsi="Times New Roman"/>
                      <w:color w:val="auto"/>
                      <w:sz w:val="20"/>
                      <w:szCs w:val="20"/>
                    </w:rPr>
                  </w:pPr>
                  <w:r w:rsidRPr="00370B40">
                    <w:rPr>
                      <w:rFonts w:ascii="Times New Roman" w:hAnsi="Times New Roman"/>
                      <w:color w:val="auto"/>
                      <w:sz w:val="20"/>
                      <w:szCs w:val="20"/>
                    </w:rPr>
                    <w:t>1,30%</w:t>
                  </w:r>
                </w:p>
              </w:tc>
            </w:tr>
          </w:tbl>
          <w:p w:rsidR="00CE1313" w:rsidRPr="00370B40" w:rsidRDefault="00CE1313" w:rsidP="00D239B9">
            <w:pPr>
              <w:rPr>
                <w:sz w:val="22"/>
                <w:szCs w:val="22"/>
                <w:lang w:val="hr-HR"/>
              </w:rPr>
            </w:pPr>
          </w:p>
        </w:tc>
      </w:tr>
    </w:tbl>
    <w:p w:rsidR="00CE1313" w:rsidRPr="00445E5A" w:rsidRDefault="00CE1313" w:rsidP="008D1D39">
      <w:pPr>
        <w:pStyle w:val="Heading3"/>
        <w:rPr>
          <w:rFonts w:ascii="Times New Roman" w:hAnsi="Times New Roman"/>
          <w:i/>
          <w:color w:val="auto"/>
          <w:sz w:val="20"/>
          <w:szCs w:val="20"/>
        </w:rPr>
      </w:pPr>
      <w:r w:rsidRPr="00445E5A">
        <w:rPr>
          <w:rFonts w:ascii="Times New Roman" w:hAnsi="Times New Roman"/>
          <w:i/>
          <w:color w:val="auto"/>
          <w:sz w:val="20"/>
          <w:szCs w:val="20"/>
        </w:rPr>
        <w:t>Izvor: izrada autora</w:t>
      </w:r>
    </w:p>
    <w:p w:rsidR="00CE1313" w:rsidRPr="00F021A8" w:rsidRDefault="00CE1313" w:rsidP="008D1D39">
      <w:pPr>
        <w:ind w:firstLine="720"/>
        <w:rPr>
          <w:color w:val="000000"/>
          <w:lang w:val="de-DE"/>
        </w:rPr>
      </w:pPr>
      <w:r w:rsidRPr="00F021A8">
        <w:rPr>
          <w:color w:val="000000"/>
          <w:lang w:val="hr-HR"/>
        </w:rPr>
        <w:t>Na pitanje „</w:t>
      </w:r>
      <w:r w:rsidRPr="00F021A8">
        <w:rPr>
          <w:i/>
          <w:color w:val="000000"/>
          <w:lang w:val="hr-HR"/>
        </w:rPr>
        <w:t>Koristite li Vaše potrošačko pravo na reklamaciju</w:t>
      </w:r>
      <w:r>
        <w:rPr>
          <w:color w:val="000000"/>
          <w:lang w:val="hr-HR"/>
        </w:rPr>
        <w:t>?“ (t</w:t>
      </w:r>
      <w:r w:rsidRPr="00F021A8">
        <w:rPr>
          <w:color w:val="000000"/>
          <w:lang w:val="hr-HR"/>
        </w:rPr>
        <w:t xml:space="preserve">ablica 8) 29,46% ispitanika navodi kako koristi svoje potrošačko pravo na reklamaciju samo ako su im grubo narušena potrošačka prava, a 1,04% ispitanika tvrdi da koristi svoje potrošačko pravo na reklamaciju uz pomoć Savjetovališta za potrošače. 11,46% ispitanika navodi kako koristi svoje potrošačko pravo na reklamaciju, ali ih nervira sporost reklamacijskog postupka. 6,85% ispitanika ne koristi svoje potrošačko pravo na reklamaciju jer je reklamacijski postupak spor i kompliciran. 5,51% ispitanika navodi kako nema povjerenja u sustav zaštite potrošača. 10,27% ispitanika navodi kako poznaju svoja potrošačka prava i redovito ih uspijevaju ostvariti. </w:t>
      </w:r>
      <w:r w:rsidRPr="00F021A8">
        <w:rPr>
          <w:color w:val="000000"/>
          <w:lang w:val="de-DE"/>
        </w:rPr>
        <w:t xml:space="preserve">22,47% ispitanika tvrdi kako nisu imali problema s trgovcima. Odgovor „Nemam mišljenje“ odabralo je 12,95% ispitanika. Iz navedenog se može doći do zaključka da oko 52% ispitanika svih dobnih skupina i razina obrazovanja u biti koristi svoja potrošačka prava na reklamaciju. </w:t>
      </w:r>
    </w:p>
    <w:p w:rsidR="00CE1313" w:rsidRDefault="00CE1313" w:rsidP="00C83C7F">
      <w:pPr>
        <w:pStyle w:val="Caption"/>
        <w:keepNext/>
        <w:spacing w:after="0"/>
        <w:jc w:val="both"/>
        <w:rPr>
          <w:rFonts w:ascii="Times New Roman" w:hAnsi="Times New Roman"/>
          <w:i w:val="0"/>
          <w:iCs w:val="0"/>
          <w:color w:val="000000"/>
          <w:sz w:val="24"/>
          <w:szCs w:val="24"/>
          <w:lang w:val="de-DE"/>
        </w:rPr>
      </w:pPr>
    </w:p>
    <w:p w:rsidR="00CE1313" w:rsidRDefault="00CE1313" w:rsidP="00C83C7F">
      <w:pPr>
        <w:pStyle w:val="Caption"/>
        <w:keepNext/>
        <w:spacing w:after="0"/>
        <w:jc w:val="both"/>
      </w:pPr>
      <w:r w:rsidRPr="00DE55E1">
        <w:rPr>
          <w:rFonts w:ascii="Times New Roman" w:hAnsi="Times New Roman"/>
          <w:color w:val="000000"/>
          <w:sz w:val="22"/>
        </w:rPr>
        <w:t>Tablica 8.</w:t>
      </w:r>
      <w:r>
        <w:rPr>
          <w:rFonts w:ascii="Times New Roman" w:hAnsi="Times New Roman"/>
          <w:i w:val="0"/>
          <w:color w:val="000000"/>
          <w:sz w:val="22"/>
        </w:rPr>
        <w:t xml:space="preserve"> Analitički prikaz odgovora ispitanika na pitanje </w:t>
      </w:r>
      <w:r>
        <w:rPr>
          <w:rFonts w:ascii="Times New Roman" w:hAnsi="Times New Roman"/>
          <w:color w:val="000000"/>
          <w:sz w:val="22"/>
        </w:rPr>
        <w:t>„Koristite li Vaše potrošačko pravo na reklamaciju?“</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5"/>
        <w:gridCol w:w="940"/>
        <w:gridCol w:w="1065"/>
        <w:gridCol w:w="1141"/>
        <w:gridCol w:w="1031"/>
        <w:gridCol w:w="855"/>
        <w:gridCol w:w="818"/>
        <w:gridCol w:w="900"/>
        <w:gridCol w:w="810"/>
      </w:tblGrid>
      <w:tr w:rsidR="00CE1313" w:rsidRPr="00370B40" w:rsidTr="00370B40">
        <w:trPr>
          <w:jc w:val="center"/>
        </w:trPr>
        <w:tc>
          <w:tcPr>
            <w:tcW w:w="1165" w:type="dxa"/>
            <w:vAlign w:val="center"/>
          </w:tcPr>
          <w:p w:rsidR="00CE1313" w:rsidRPr="00370B40" w:rsidRDefault="00CE1313" w:rsidP="00BE1FC6">
            <w:pPr>
              <w:pStyle w:val="Title"/>
              <w:rPr>
                <w:rFonts w:ascii="Times New Roman" w:hAnsi="Times New Roman"/>
              </w:rPr>
            </w:pPr>
          </w:p>
        </w:tc>
        <w:tc>
          <w:tcPr>
            <w:tcW w:w="940" w:type="dxa"/>
            <w:shd w:val="clear" w:color="auto" w:fill="DBE5F1"/>
            <w:vAlign w:val="center"/>
          </w:tcPr>
          <w:p w:rsidR="00CE1313" w:rsidRPr="00370B40" w:rsidRDefault="00CE1313" w:rsidP="00BE1FC6">
            <w:pPr>
              <w:pStyle w:val="Title"/>
              <w:rPr>
                <w:rFonts w:ascii="Times New Roman" w:hAnsi="Times New Roman"/>
                <w:sz w:val="18"/>
                <w:szCs w:val="18"/>
              </w:rPr>
            </w:pPr>
            <w:r w:rsidRPr="00370B40">
              <w:rPr>
                <w:rFonts w:ascii="Times New Roman" w:hAnsi="Times New Roman"/>
                <w:sz w:val="18"/>
                <w:szCs w:val="18"/>
              </w:rPr>
              <w:t>Samo ako su mi grubo narušena potrošačka prava</w:t>
            </w:r>
          </w:p>
        </w:tc>
        <w:tc>
          <w:tcPr>
            <w:tcW w:w="1065" w:type="dxa"/>
            <w:shd w:val="clear" w:color="auto" w:fill="DBE5F1"/>
            <w:vAlign w:val="center"/>
          </w:tcPr>
          <w:p w:rsidR="00CE1313" w:rsidRPr="00370B40" w:rsidRDefault="00CE1313" w:rsidP="00BE1FC6">
            <w:pPr>
              <w:pStyle w:val="Title"/>
              <w:rPr>
                <w:rFonts w:ascii="Times New Roman" w:hAnsi="Times New Roman"/>
                <w:sz w:val="18"/>
                <w:szCs w:val="18"/>
              </w:rPr>
            </w:pPr>
            <w:r w:rsidRPr="00370B40">
              <w:rPr>
                <w:rFonts w:ascii="Times New Roman" w:hAnsi="Times New Roman"/>
                <w:sz w:val="18"/>
                <w:szCs w:val="18"/>
              </w:rPr>
              <w:t>Da, uz pomoć Savjetovalištza potrošače</w:t>
            </w:r>
          </w:p>
        </w:tc>
        <w:tc>
          <w:tcPr>
            <w:tcW w:w="1141" w:type="dxa"/>
            <w:shd w:val="clear" w:color="auto" w:fill="DBE5F1"/>
            <w:vAlign w:val="center"/>
          </w:tcPr>
          <w:p w:rsidR="00CE1313" w:rsidRPr="00370B40" w:rsidRDefault="00CE1313" w:rsidP="00807D57">
            <w:pPr>
              <w:pStyle w:val="Title"/>
              <w:rPr>
                <w:rFonts w:ascii="Times New Roman" w:hAnsi="Times New Roman"/>
                <w:sz w:val="18"/>
                <w:szCs w:val="18"/>
              </w:rPr>
            </w:pPr>
            <w:r w:rsidRPr="00370B40">
              <w:rPr>
                <w:rFonts w:ascii="Times New Roman" w:hAnsi="Times New Roman"/>
                <w:sz w:val="18"/>
                <w:szCs w:val="18"/>
              </w:rPr>
              <w:t>Da, ali me nervira sporost reklamacijsk. postupka</w:t>
            </w:r>
          </w:p>
        </w:tc>
        <w:tc>
          <w:tcPr>
            <w:tcW w:w="1031" w:type="dxa"/>
            <w:shd w:val="clear" w:color="auto" w:fill="DBE5F1"/>
            <w:vAlign w:val="center"/>
          </w:tcPr>
          <w:p w:rsidR="00CE1313" w:rsidRPr="00370B40" w:rsidRDefault="00CE1313" w:rsidP="00BE1FC6">
            <w:pPr>
              <w:pStyle w:val="Title"/>
              <w:rPr>
                <w:rFonts w:ascii="Times New Roman" w:hAnsi="Times New Roman"/>
                <w:sz w:val="18"/>
                <w:szCs w:val="18"/>
              </w:rPr>
            </w:pPr>
            <w:r w:rsidRPr="00370B40">
              <w:rPr>
                <w:rFonts w:ascii="Times New Roman" w:hAnsi="Times New Roman"/>
                <w:sz w:val="18"/>
                <w:szCs w:val="18"/>
              </w:rPr>
              <w:t>Ne, jer je reklamac. postupak je spor i kompliciran</w:t>
            </w:r>
          </w:p>
        </w:tc>
        <w:tc>
          <w:tcPr>
            <w:tcW w:w="855" w:type="dxa"/>
            <w:shd w:val="clear" w:color="auto" w:fill="DBE5F1"/>
            <w:vAlign w:val="center"/>
          </w:tcPr>
          <w:p w:rsidR="00CE1313" w:rsidRPr="00370B40" w:rsidRDefault="00CE1313" w:rsidP="00BE1FC6">
            <w:pPr>
              <w:pStyle w:val="Title"/>
              <w:rPr>
                <w:rFonts w:ascii="Times New Roman" w:hAnsi="Times New Roman"/>
                <w:sz w:val="18"/>
                <w:szCs w:val="18"/>
              </w:rPr>
            </w:pPr>
            <w:r w:rsidRPr="00370B40">
              <w:rPr>
                <w:rFonts w:ascii="Times New Roman" w:hAnsi="Times New Roman"/>
                <w:sz w:val="18"/>
                <w:szCs w:val="18"/>
              </w:rPr>
              <w:t>Nemam povjerenj. u sustav zaštite potrošača</w:t>
            </w:r>
          </w:p>
        </w:tc>
        <w:tc>
          <w:tcPr>
            <w:tcW w:w="818" w:type="dxa"/>
            <w:shd w:val="clear" w:color="auto" w:fill="DBE5F1"/>
            <w:vAlign w:val="center"/>
          </w:tcPr>
          <w:p w:rsidR="00CE1313" w:rsidRPr="00370B40" w:rsidRDefault="00CE1313" w:rsidP="008D364A">
            <w:pPr>
              <w:pStyle w:val="Title"/>
              <w:rPr>
                <w:rFonts w:ascii="Times New Roman" w:hAnsi="Times New Roman"/>
                <w:sz w:val="16"/>
                <w:szCs w:val="16"/>
              </w:rPr>
            </w:pPr>
            <w:r w:rsidRPr="00370B40">
              <w:rPr>
                <w:rFonts w:ascii="Times New Roman" w:hAnsi="Times New Roman"/>
                <w:sz w:val="16"/>
                <w:szCs w:val="16"/>
              </w:rPr>
              <w:t>Da. Znam svoja prava i ostavar. ih</w:t>
            </w:r>
          </w:p>
        </w:tc>
        <w:tc>
          <w:tcPr>
            <w:tcW w:w="900" w:type="dxa"/>
            <w:shd w:val="clear" w:color="auto" w:fill="DBE5F1"/>
            <w:vAlign w:val="center"/>
          </w:tcPr>
          <w:p w:rsidR="00CE1313" w:rsidRPr="00370B40" w:rsidRDefault="00CE1313" w:rsidP="00BE1FC6">
            <w:pPr>
              <w:pStyle w:val="Title"/>
              <w:rPr>
                <w:rFonts w:ascii="Times New Roman" w:hAnsi="Times New Roman"/>
                <w:sz w:val="18"/>
                <w:szCs w:val="18"/>
              </w:rPr>
            </w:pPr>
            <w:r w:rsidRPr="00370B40">
              <w:rPr>
                <w:rFonts w:ascii="Times New Roman" w:hAnsi="Times New Roman"/>
                <w:sz w:val="18"/>
                <w:szCs w:val="18"/>
              </w:rPr>
              <w:t>Nisam imao/la problema s trgov.</w:t>
            </w:r>
          </w:p>
        </w:tc>
        <w:tc>
          <w:tcPr>
            <w:tcW w:w="810" w:type="dxa"/>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 xml:space="preserve">Nemam </w:t>
            </w:r>
            <w:r w:rsidRPr="00370B40">
              <w:rPr>
                <w:rFonts w:ascii="Times New Roman" w:hAnsi="Times New Roman"/>
                <w:color w:val="auto"/>
                <w:sz w:val="16"/>
                <w:szCs w:val="16"/>
              </w:rPr>
              <w:t>mišljenje</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29,46%</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1,04%</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11,46%</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6,85%</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5,51%</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10,27%</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22,47%</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12,95%</w:t>
            </w:r>
          </w:p>
        </w:tc>
      </w:tr>
      <w:tr w:rsidR="00CE1313" w:rsidRPr="00370B40" w:rsidTr="00370B40">
        <w:trPr>
          <w:jc w:val="center"/>
        </w:trPr>
        <w:tc>
          <w:tcPr>
            <w:tcW w:w="1165" w:type="dxa"/>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Spol</w:t>
            </w:r>
          </w:p>
        </w:tc>
        <w:tc>
          <w:tcPr>
            <w:tcW w:w="940"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65"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141"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31"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55"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18"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900"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10" w:type="dxa"/>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32,94%</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8,24%</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7,06%</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10,59%</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9,41%</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21,18%</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10,59%</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28,96%</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1,19%</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11,93%</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6,81%</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4,77%</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10,39%</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22,66%</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13,29%</w:t>
            </w:r>
          </w:p>
        </w:tc>
      </w:tr>
      <w:tr w:rsidR="00CE1313" w:rsidRPr="00370B40" w:rsidTr="00370B40">
        <w:trPr>
          <w:jc w:val="center"/>
        </w:trPr>
        <w:tc>
          <w:tcPr>
            <w:tcW w:w="1165" w:type="dxa"/>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Dob</w:t>
            </w:r>
          </w:p>
        </w:tc>
        <w:tc>
          <w:tcPr>
            <w:tcW w:w="940"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65"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141"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31"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55"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18"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900"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10" w:type="dxa"/>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31,19%</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7,80%</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9,63%</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5,50%</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10,09%</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31,19%</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4,59%</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24,59%</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1,23%</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12,30%</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6,97%</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6,56%</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10,25%</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13,52%</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24,59%</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29,32%</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21,80%</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3,76%</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5,26%</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12,03%</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22,56%</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3,76%</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47,73%</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29,55%</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4,55%</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30,30%</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3,03%</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6,06%</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3,03%</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6,06%</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21,21%</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30,30%</w:t>
            </w:r>
          </w:p>
        </w:tc>
      </w:tr>
      <w:tr w:rsidR="00CE1313" w:rsidRPr="00370B40" w:rsidTr="00370B40">
        <w:trPr>
          <w:jc w:val="center"/>
        </w:trPr>
        <w:tc>
          <w:tcPr>
            <w:tcW w:w="2105" w:type="dxa"/>
            <w:gridSpan w:val="2"/>
            <w:tcBorders>
              <w:righ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b/>
                <w:color w:val="auto"/>
                <w:sz w:val="18"/>
                <w:szCs w:val="18"/>
              </w:rPr>
              <w:t>Razina obrazovanja</w:t>
            </w:r>
          </w:p>
        </w:tc>
        <w:tc>
          <w:tcPr>
            <w:tcW w:w="1065"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141"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31"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55"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18"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900"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810" w:type="dxa"/>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Osnovna škola</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16,67%</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58,33%</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30,34%</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2,14%</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9,83%</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9,40%</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6,84%</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11,54%</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24,36%</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5,56%</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31,25%</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2,08%</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20,83%</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12,50%</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18,75%</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6,25%</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28,30%</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11,95%</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3,77%</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2,52%</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10,69%</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11,32%</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31,45%</w:t>
            </w:r>
          </w:p>
        </w:tc>
      </w:tr>
      <w:tr w:rsidR="00CE1313" w:rsidRPr="00370B40" w:rsidTr="00370B40">
        <w:trPr>
          <w:jc w:val="center"/>
        </w:trPr>
        <w:tc>
          <w:tcPr>
            <w:tcW w:w="1165" w:type="dxa"/>
            <w:vAlign w:val="center"/>
          </w:tcPr>
          <w:p w:rsidR="00CE1313" w:rsidRPr="00370B40" w:rsidRDefault="00CE1313" w:rsidP="00BE1FC6">
            <w:pPr>
              <w:pStyle w:val="Heading3"/>
              <w:rPr>
                <w:rFonts w:ascii="Times New Roman" w:hAnsi="Times New Roman"/>
                <w:color w:val="auto"/>
                <w:sz w:val="18"/>
                <w:szCs w:val="18"/>
              </w:rPr>
            </w:pPr>
            <w:r w:rsidRPr="00370B40">
              <w:rPr>
                <w:rFonts w:ascii="Times New Roman" w:hAnsi="Times New Roman"/>
                <w:color w:val="auto"/>
                <w:sz w:val="18"/>
                <w:szCs w:val="18"/>
              </w:rPr>
              <w:t>Preddiplom. studij</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31,97%</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0,82%</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9,02%</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10,66%</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2,46%</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5,74%</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31,97%</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7,38%</w:t>
            </w:r>
          </w:p>
        </w:tc>
      </w:tr>
      <w:tr w:rsidR="00CE1313" w:rsidRPr="00370B40" w:rsidTr="00370B40">
        <w:trPr>
          <w:jc w:val="center"/>
        </w:trPr>
        <w:tc>
          <w:tcPr>
            <w:tcW w:w="11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Diplomski studij</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25,97%</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23,38%</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3,90%</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3,90%</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10,39%</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29,87%</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2,60%</w:t>
            </w:r>
          </w:p>
        </w:tc>
      </w:tr>
      <w:tr w:rsidR="00CE1313" w:rsidRPr="00370B40" w:rsidTr="00370B40">
        <w:trPr>
          <w:jc w:val="center"/>
        </w:trPr>
        <w:tc>
          <w:tcPr>
            <w:tcW w:w="1165" w:type="dxa"/>
            <w:vAlign w:val="center"/>
          </w:tcPr>
          <w:p w:rsidR="00CE1313" w:rsidRPr="00370B40" w:rsidRDefault="00CE1313" w:rsidP="00BE1FC6">
            <w:pPr>
              <w:pStyle w:val="Heading3"/>
              <w:rPr>
                <w:rFonts w:ascii="Times New Roman" w:hAnsi="Times New Roman"/>
                <w:color w:val="auto"/>
                <w:sz w:val="18"/>
                <w:szCs w:val="18"/>
              </w:rPr>
            </w:pPr>
            <w:r w:rsidRPr="00370B40">
              <w:rPr>
                <w:rFonts w:ascii="Times New Roman" w:hAnsi="Times New Roman"/>
                <w:color w:val="auto"/>
                <w:sz w:val="18"/>
                <w:szCs w:val="18"/>
              </w:rPr>
              <w:t>Poslijedipl.i studij</w:t>
            </w:r>
          </w:p>
        </w:tc>
        <w:tc>
          <w:tcPr>
            <w:tcW w:w="940"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30,00%</w:t>
            </w:r>
          </w:p>
        </w:tc>
        <w:tc>
          <w:tcPr>
            <w:tcW w:w="106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14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1031"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w:t>
            </w:r>
          </w:p>
        </w:tc>
        <w:tc>
          <w:tcPr>
            <w:tcW w:w="855"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w:t>
            </w:r>
          </w:p>
        </w:tc>
        <w:tc>
          <w:tcPr>
            <w:tcW w:w="818"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15,00%</w:t>
            </w:r>
          </w:p>
        </w:tc>
        <w:tc>
          <w:tcPr>
            <w:tcW w:w="90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20,00%</w:t>
            </w:r>
          </w:p>
        </w:tc>
        <w:tc>
          <w:tcPr>
            <w:tcW w:w="81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15,00%</w:t>
            </w:r>
          </w:p>
        </w:tc>
      </w:tr>
    </w:tbl>
    <w:p w:rsidR="00CE1313" w:rsidRPr="003A0DEF" w:rsidRDefault="00CE1313" w:rsidP="00DE55E1">
      <w:pPr>
        <w:pStyle w:val="Heading3"/>
        <w:tabs>
          <w:tab w:val="right" w:pos="8646"/>
        </w:tabs>
        <w:rPr>
          <w:rFonts w:ascii="Times New Roman" w:hAnsi="Times New Roman"/>
          <w:i/>
          <w:sz w:val="18"/>
          <w:szCs w:val="18"/>
        </w:rPr>
      </w:pPr>
      <w:r w:rsidRPr="003A0DEF">
        <w:rPr>
          <w:rFonts w:ascii="Times New Roman" w:hAnsi="Times New Roman"/>
          <w:i/>
          <w:color w:val="auto"/>
          <w:sz w:val="18"/>
          <w:szCs w:val="18"/>
        </w:rPr>
        <w:t>Izvor: izrada autora</w:t>
      </w:r>
      <w:r w:rsidRPr="003A0DEF">
        <w:rPr>
          <w:rFonts w:ascii="Times New Roman" w:hAnsi="Times New Roman"/>
          <w:i/>
          <w:sz w:val="18"/>
          <w:szCs w:val="18"/>
        </w:rPr>
        <w:tab/>
      </w:r>
    </w:p>
    <w:p w:rsidR="00CE1313" w:rsidRDefault="00CE1313" w:rsidP="001D275B">
      <w:pPr>
        <w:ind w:firstLine="720"/>
        <w:rPr>
          <w:color w:val="000000"/>
          <w:lang w:val="hr-HR"/>
        </w:rPr>
      </w:pPr>
      <w:r w:rsidRPr="00F021A8">
        <w:rPr>
          <w:color w:val="000000"/>
          <w:lang w:val="hr-HR"/>
        </w:rPr>
        <w:t>Na pitanje „</w:t>
      </w:r>
      <w:r w:rsidRPr="00F021A8">
        <w:rPr>
          <w:i/>
          <w:color w:val="000000"/>
          <w:lang w:val="hr-HR"/>
        </w:rPr>
        <w:t>Je li Vam bitan podatak o nazivu proizvođača i zemlji podrijetla iz Obavijesti o proizvodu (deklaracija)?“</w:t>
      </w:r>
      <w:r>
        <w:rPr>
          <w:color w:val="000000"/>
          <w:lang w:val="hr-HR"/>
        </w:rPr>
        <w:t xml:space="preserve"> (t</w:t>
      </w:r>
      <w:r w:rsidRPr="00F021A8">
        <w:rPr>
          <w:color w:val="000000"/>
          <w:lang w:val="hr-HR"/>
        </w:rPr>
        <w:t>ablica 9) 48,36% ispitanika navodi kako im je podatak o nazivu proizvođača i zemlji podrijetla iz Obavijesti o proizvodu (deklaracija) bitan, dok 32,59% ispitanika smatra da je izostavljanje zemlje podrijetla u obavijesti o proizvodu u funkciji skrivanja kvalitete proizvoda. 5,06% ispitanika navodi kako uopće ne razmišljaju o zemlji podrijetla proizvoda. 8,18% ispitanika tvrdi kako im nije bitno značajan podatak o zemlji podrijetla, dok je odgovor „Nemam mišljenje“ odabralo 5,80% ispitanika. Na temelju dobivenih podataka može se zaključiti da postoji značajan broj ispitanika svih dobnih skupina i razina obrazovanja kojima je ključan podatak o nazivu proizvođača i zemlji podrijetla iz Obavijesti o proizvodu (deklaracija). Razlog tome moglobi biti povjerenje u domaće proizvode u odnosu na uvozne proizvode, kao i sumnja u kvalitetu pojedinih uvoznih prehrambenih proizvoda.</w:t>
      </w:r>
    </w:p>
    <w:p w:rsidR="00CE1313" w:rsidRDefault="00CE1313" w:rsidP="00C83C7F">
      <w:pPr>
        <w:pStyle w:val="Caption"/>
        <w:keepNext/>
        <w:spacing w:after="0"/>
        <w:jc w:val="both"/>
        <w:rPr>
          <w:rFonts w:ascii="Times New Roman" w:hAnsi="Times New Roman"/>
          <w:color w:val="000000"/>
          <w:sz w:val="22"/>
        </w:rPr>
      </w:pPr>
    </w:p>
    <w:p w:rsidR="00CE1313" w:rsidRPr="00DE55E1" w:rsidRDefault="00CE1313" w:rsidP="00C83C7F">
      <w:pPr>
        <w:pStyle w:val="Caption"/>
        <w:keepNext/>
        <w:spacing w:after="0"/>
        <w:jc w:val="both"/>
        <w:rPr>
          <w:rFonts w:ascii="Times New Roman" w:hAnsi="Times New Roman"/>
          <w:color w:val="000000"/>
          <w:sz w:val="22"/>
        </w:rPr>
      </w:pPr>
      <w:r w:rsidRPr="00DE55E1">
        <w:rPr>
          <w:rFonts w:ascii="Times New Roman" w:hAnsi="Times New Roman"/>
          <w:color w:val="000000"/>
          <w:sz w:val="22"/>
        </w:rPr>
        <w:t>Tablica 9.Analitički prikaz odgovora ispitanika na pitanje „Je li Vam bitan podatak o nazivu proizvođača i zemlji podrijetla iz Obavijesti o proizvodu (deklaracija)?“</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0"/>
        <w:gridCol w:w="1323"/>
        <w:gridCol w:w="1443"/>
        <w:gridCol w:w="1283"/>
        <w:gridCol w:w="1243"/>
        <w:gridCol w:w="1096"/>
      </w:tblGrid>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p>
        </w:tc>
        <w:tc>
          <w:tcPr>
            <w:tcW w:w="1323" w:type="dxa"/>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Da, to mi je uvijek ključna informacija prigodom svake kupnje</w:t>
            </w:r>
          </w:p>
        </w:tc>
        <w:tc>
          <w:tcPr>
            <w:tcW w:w="1443" w:type="dxa"/>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Izostavljanje zemlje podrijetla u obavijesti o proizvodu je u funkciji skrivanja kvalitete proizvoda</w:t>
            </w:r>
          </w:p>
        </w:tc>
        <w:tc>
          <w:tcPr>
            <w:tcW w:w="1283" w:type="dxa"/>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Uopće ne razmišljam o „zemlji podrijetla“ proizvoda, svejedno mi je od kud je proizvod</w:t>
            </w:r>
          </w:p>
        </w:tc>
        <w:tc>
          <w:tcPr>
            <w:tcW w:w="1243" w:type="dxa"/>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Nije mi bitno značajan podatak o „zemlji podrijetla“</w:t>
            </w:r>
          </w:p>
        </w:tc>
        <w:tc>
          <w:tcPr>
            <w:tcW w:w="1096" w:type="dxa"/>
            <w:shd w:val="clear" w:color="auto" w:fill="DBE5F1"/>
            <w:vAlign w:val="center"/>
          </w:tcPr>
          <w:p w:rsidR="00CE1313" w:rsidRPr="00370B40" w:rsidRDefault="00CE1313" w:rsidP="001D275B">
            <w:pPr>
              <w:pStyle w:val="Heading3"/>
              <w:rPr>
                <w:rFonts w:ascii="Times New Roman" w:hAnsi="Times New Roman"/>
                <w:color w:val="auto"/>
                <w:sz w:val="18"/>
                <w:szCs w:val="18"/>
              </w:rPr>
            </w:pPr>
          </w:p>
          <w:p w:rsidR="00CE1313" w:rsidRPr="00370B40" w:rsidRDefault="00CE1313" w:rsidP="001D275B">
            <w:pPr>
              <w:pStyle w:val="Heading3"/>
              <w:rPr>
                <w:rFonts w:ascii="Times New Roman" w:hAnsi="Times New Roman"/>
                <w:color w:val="auto"/>
                <w:sz w:val="18"/>
                <w:szCs w:val="18"/>
              </w:rPr>
            </w:pPr>
          </w:p>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Nemam mišljenje</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48,36%</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32,59%</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5,06%</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8,18%</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5,80%</w:t>
            </w:r>
          </w:p>
        </w:tc>
      </w:tr>
      <w:tr w:rsidR="00CE1313" w:rsidRPr="00370B40" w:rsidTr="00370B40">
        <w:trPr>
          <w:jc w:val="center"/>
        </w:trPr>
        <w:tc>
          <w:tcPr>
            <w:tcW w:w="1830" w:type="dxa"/>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Spol</w:t>
            </w:r>
          </w:p>
        </w:tc>
        <w:tc>
          <w:tcPr>
            <w:tcW w:w="132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44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28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24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96" w:type="dxa"/>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50,59%</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24,71%</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8,24%</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4,71%</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11,76%</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48,04%</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33,73%</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4,60%</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8,69%</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4,94%</w:t>
            </w:r>
          </w:p>
        </w:tc>
      </w:tr>
      <w:tr w:rsidR="00CE1313" w:rsidRPr="00370B40" w:rsidTr="00370B40">
        <w:trPr>
          <w:jc w:val="center"/>
        </w:trPr>
        <w:tc>
          <w:tcPr>
            <w:tcW w:w="1830" w:type="dxa"/>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Dob</w:t>
            </w:r>
          </w:p>
        </w:tc>
        <w:tc>
          <w:tcPr>
            <w:tcW w:w="132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44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28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24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96"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39,91%</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31,65%</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7,80%</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14,22%</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6,42%</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42,21%</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43,85%</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3,69%</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6,56%</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3,69%</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64,66%</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25,56%</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4,51%</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3,76%</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70,45%</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13,64%</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6,82%</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4,55%</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4,55%</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54,55%</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27,27%</w:t>
            </w:r>
          </w:p>
        </w:tc>
      </w:tr>
      <w:tr w:rsidR="00CE1313" w:rsidRPr="00370B40" w:rsidTr="00370B40">
        <w:trPr>
          <w:jc w:val="center"/>
        </w:trPr>
        <w:tc>
          <w:tcPr>
            <w:tcW w:w="1830" w:type="dxa"/>
            <w:tcBorders>
              <w:right w:val="nil"/>
            </w:tcBorders>
            <w:vAlign w:val="center"/>
          </w:tcPr>
          <w:p w:rsidR="00CE1313" w:rsidRPr="00370B40" w:rsidRDefault="00CE1313" w:rsidP="00465DBF">
            <w:pPr>
              <w:pStyle w:val="Heading3"/>
              <w:rPr>
                <w:rFonts w:ascii="Times New Roman" w:hAnsi="Times New Roman"/>
                <w:b/>
                <w:color w:val="auto"/>
                <w:sz w:val="18"/>
                <w:szCs w:val="18"/>
              </w:rPr>
            </w:pPr>
            <w:r w:rsidRPr="00370B40">
              <w:rPr>
                <w:rFonts w:ascii="Times New Roman" w:hAnsi="Times New Roman"/>
                <w:b/>
                <w:color w:val="auto"/>
                <w:sz w:val="18"/>
                <w:szCs w:val="18"/>
              </w:rPr>
              <w:t>Razina obrazovanja</w:t>
            </w:r>
          </w:p>
        </w:tc>
        <w:tc>
          <w:tcPr>
            <w:tcW w:w="132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44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28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243" w:type="dxa"/>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96" w:type="dxa"/>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Osnovna škola</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33,33%</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58,33%</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58,55%</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20,09%</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6,41%</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9,40%</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5,56%</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52,08%</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31,25%</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6,25%</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6,25%</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4,17%</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42,14%</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50,94%</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1,26%</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3,77%</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1,89%</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Preddiplomski studij</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37,70%</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29,51%</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9,02%</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16,39%</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7,38%</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Diplomski studij</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46,75%</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42,86%</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2,60%</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5,19%</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2,60%</w:t>
            </w:r>
          </w:p>
        </w:tc>
      </w:tr>
      <w:tr w:rsidR="00CE1313" w:rsidRPr="00370B40" w:rsidTr="00370B40">
        <w:trPr>
          <w:jc w:val="center"/>
        </w:trPr>
        <w:tc>
          <w:tcPr>
            <w:tcW w:w="1830"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Poslijediplomski studij</w:t>
            </w:r>
          </w:p>
        </w:tc>
        <w:tc>
          <w:tcPr>
            <w:tcW w:w="1323" w:type="dxa"/>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14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30,00%</w:t>
            </w:r>
          </w:p>
        </w:tc>
        <w:tc>
          <w:tcPr>
            <w:tcW w:w="128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w:t>
            </w:r>
          </w:p>
        </w:tc>
        <w:tc>
          <w:tcPr>
            <w:tcW w:w="1243"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1096" w:type="dxa"/>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15,00%</w:t>
            </w:r>
          </w:p>
        </w:tc>
      </w:tr>
    </w:tbl>
    <w:p w:rsidR="00CE1313" w:rsidRDefault="00CE1313" w:rsidP="001D275B">
      <w:pPr>
        <w:ind w:firstLine="720"/>
        <w:rPr>
          <w:color w:val="000000"/>
          <w:lang w:val="de-DE"/>
        </w:rPr>
      </w:pPr>
      <w:r w:rsidRPr="0015206D">
        <w:rPr>
          <w:color w:val="000000"/>
        </w:rPr>
        <w:t>Na pitanje „</w:t>
      </w:r>
      <w:r w:rsidRPr="0015206D">
        <w:rPr>
          <w:i/>
          <w:color w:val="000000"/>
        </w:rPr>
        <w:t>Kakvo je Vaše mišljenje (ocjena) o čitljivosti i razumljivosti Obavijesti o proizvodu (deklaraciji) i ostalih isprava koje dobivate tijekom kupnje prehrambenog proizvoda?</w:t>
      </w:r>
      <w:r w:rsidRPr="0015206D">
        <w:rPr>
          <w:color w:val="000000"/>
        </w:rPr>
        <w:t>“</w:t>
      </w:r>
      <w:r>
        <w:rPr>
          <w:color w:val="000000"/>
        </w:rPr>
        <w:t>(t</w:t>
      </w:r>
      <w:r w:rsidRPr="0015206D">
        <w:rPr>
          <w:color w:val="000000"/>
        </w:rPr>
        <w:t xml:space="preserve">ablica 10) 24,26% ispitanika smatra da su Obavijest o proizvodu (deklaracija) i ostale isprave koje dobivaju tijekom kupnje prehrambenog proizvoda nečitljive i nejasne. 10,42% ispitanika navodi da „moraju koristiti povećalo tijekom kupnje“, 29,32% ispitanika tvrdi da Obavijest o proizvodu (deklaracija) i ostale isprave koje dobivaju tijekom kupnje prehrambenog proizvoda moraju biti pisane većim slovima, a 17,71% ispitanika navodi da su one teško čitljive (nečitljive). Tek 10,12% ispitanika smatra da je Obavijest o proizvodu (deklaracija) i ostale ispravekoje dobivaju tijekom kupnje prehrambenog proizvoda čitljive i razumljive. </w:t>
      </w:r>
      <w:r w:rsidRPr="00F021A8">
        <w:rPr>
          <w:color w:val="000000"/>
          <w:lang w:val="de-DE"/>
        </w:rPr>
        <w:t>Odgovor „Nemam mišljenje“ odabralo je 6,70% ispitanika, dok je odgovor „Ne znam“ odabralo 1,49% ispitanika. Iz navedenih rezultata može se donijeti zaključak da značajan broj ispitanika svih dobnih skupina i razina obrazovanja smatra kako su Obavijest o proizvodu (deklaracija) i ostale isprave koje dobivaju tijekom kupnje prehrambenog proizvoda nerazumljive, nejasne i nečitljive.</w:t>
      </w:r>
    </w:p>
    <w:p w:rsidR="00CE1313" w:rsidRDefault="00CE1313" w:rsidP="00465DBF">
      <w:pPr>
        <w:pStyle w:val="Caption"/>
        <w:keepNext/>
        <w:spacing w:after="0"/>
        <w:jc w:val="both"/>
        <w:rPr>
          <w:rFonts w:ascii="Times New Roman" w:hAnsi="Times New Roman"/>
          <w:color w:val="000000"/>
          <w:sz w:val="22"/>
        </w:rPr>
      </w:pPr>
    </w:p>
    <w:p w:rsidR="00CE1313" w:rsidRPr="00465DBF" w:rsidRDefault="00CE1313" w:rsidP="00465DBF">
      <w:pPr>
        <w:pStyle w:val="Caption"/>
        <w:keepNext/>
        <w:spacing w:after="0"/>
        <w:jc w:val="both"/>
        <w:rPr>
          <w:rFonts w:ascii="Times New Roman" w:hAnsi="Times New Roman"/>
          <w:color w:val="000000"/>
          <w:sz w:val="22"/>
        </w:rPr>
      </w:pPr>
      <w:r w:rsidRPr="00465DBF">
        <w:rPr>
          <w:rFonts w:ascii="Times New Roman" w:hAnsi="Times New Roman"/>
          <w:color w:val="000000"/>
          <w:sz w:val="22"/>
        </w:rPr>
        <w:t>Tablica 10. Analitički prikaz odgovora ispitanika na pitanje „Kakvo je Vaše mišljenje (ocjena) o čitljivosti i razumljivosti Obavijesti o proizvodu (deklaraciji) i ostalih isprava koje dobivate tijekom kupnje prehrambenog proizvoda?“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7"/>
        <w:gridCol w:w="1324"/>
        <w:gridCol w:w="1076"/>
        <w:gridCol w:w="957"/>
        <w:gridCol w:w="1154"/>
        <w:gridCol w:w="1095"/>
        <w:gridCol w:w="971"/>
        <w:gridCol w:w="728"/>
      </w:tblGrid>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p>
        </w:tc>
        <w:tc>
          <w:tcPr>
            <w:tcW w:w="747" w:type="pct"/>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Nerazumljive i nejasne</w:t>
            </w:r>
          </w:p>
        </w:tc>
        <w:tc>
          <w:tcPr>
            <w:tcW w:w="607" w:type="pct"/>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Moram koristiti povećalo tijekom kupnje</w:t>
            </w:r>
          </w:p>
        </w:tc>
        <w:tc>
          <w:tcPr>
            <w:tcW w:w="540" w:type="pct"/>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Moraju biti pisane većim slovima</w:t>
            </w:r>
          </w:p>
        </w:tc>
        <w:tc>
          <w:tcPr>
            <w:tcW w:w="651" w:type="pct"/>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Teško su čitljive (nečitljive)</w:t>
            </w:r>
          </w:p>
        </w:tc>
        <w:tc>
          <w:tcPr>
            <w:tcW w:w="618" w:type="pct"/>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Čitljive i razumljive</w:t>
            </w:r>
          </w:p>
        </w:tc>
        <w:tc>
          <w:tcPr>
            <w:tcW w:w="548" w:type="pct"/>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Nemam mišljenje</w:t>
            </w:r>
          </w:p>
        </w:tc>
        <w:tc>
          <w:tcPr>
            <w:tcW w:w="412" w:type="pct"/>
            <w:shd w:val="clear" w:color="auto" w:fill="DBE5F1"/>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Ne znam</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24,26%</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10,42%</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29,32%</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17,71%</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10,12%</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6,70%</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1,49%</w:t>
            </w:r>
          </w:p>
        </w:tc>
      </w:tr>
      <w:tr w:rsidR="00CE1313" w:rsidRPr="00370B40" w:rsidTr="00370B40">
        <w:trPr>
          <w:jc w:val="center"/>
        </w:trPr>
        <w:tc>
          <w:tcPr>
            <w:tcW w:w="878" w:type="pct"/>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Spol</w:t>
            </w:r>
          </w:p>
        </w:tc>
        <w:tc>
          <w:tcPr>
            <w:tcW w:w="747"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07"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40"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51"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1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4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412" w:type="pct"/>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16,47%</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11,76%</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30,59%</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15,29%</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5,88%</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15,29%</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4,71%</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25,38%</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10,22%</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29,13%</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18,06%</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10,73%</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5,45%</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1,02%</w:t>
            </w:r>
          </w:p>
        </w:tc>
      </w:tr>
      <w:tr w:rsidR="00CE1313" w:rsidRPr="00370B40" w:rsidTr="00370B40">
        <w:trPr>
          <w:jc w:val="center"/>
        </w:trPr>
        <w:tc>
          <w:tcPr>
            <w:tcW w:w="878" w:type="pct"/>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Dob</w:t>
            </w:r>
          </w:p>
        </w:tc>
        <w:tc>
          <w:tcPr>
            <w:tcW w:w="747"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07"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40"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51"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1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4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412" w:type="pct"/>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14,22%</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8,72%</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30,73%</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20,18%</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13,76%</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8,72%</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3,67%</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35,66%</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6,97%</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26,64%</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15,16%</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9,84%</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5,74%</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24,06%</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12,78%</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35,34%</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15,79%</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8,27%</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3,76%</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15,91%</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22,73%</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27,27%</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29,55%</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18,18%</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21,21%</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18,18%</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12,12%</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6,06%</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18,18%</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6,06%</w:t>
            </w:r>
          </w:p>
        </w:tc>
      </w:tr>
      <w:tr w:rsidR="00CE1313" w:rsidRPr="00370B40" w:rsidTr="00370B40">
        <w:trPr>
          <w:jc w:val="center"/>
        </w:trPr>
        <w:tc>
          <w:tcPr>
            <w:tcW w:w="878" w:type="pct"/>
            <w:tcBorders>
              <w:right w:val="nil"/>
            </w:tcBorders>
            <w:vAlign w:val="center"/>
          </w:tcPr>
          <w:p w:rsidR="00CE1313" w:rsidRPr="00370B40" w:rsidRDefault="00CE1313" w:rsidP="00465DBF">
            <w:pPr>
              <w:pStyle w:val="Heading3"/>
              <w:rPr>
                <w:rFonts w:ascii="Times New Roman" w:hAnsi="Times New Roman"/>
                <w:b/>
                <w:color w:val="auto"/>
                <w:sz w:val="18"/>
                <w:szCs w:val="18"/>
              </w:rPr>
            </w:pPr>
            <w:r w:rsidRPr="00370B40">
              <w:rPr>
                <w:rFonts w:ascii="Times New Roman" w:hAnsi="Times New Roman"/>
                <w:b/>
                <w:color w:val="auto"/>
                <w:sz w:val="18"/>
                <w:szCs w:val="18"/>
              </w:rPr>
              <w:t>Razina obraz.</w:t>
            </w:r>
          </w:p>
        </w:tc>
        <w:tc>
          <w:tcPr>
            <w:tcW w:w="747"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07"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40"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51"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61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4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412" w:type="pct"/>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Osnovna škola</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23,38%</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5,19%</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31,17%</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16,88%</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11,69%</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10,39%</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1,30%</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16,67%</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16,67%</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25,00%</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35,00%</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15,00%</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16,39%</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10,66%</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25,41%</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23,77%</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13,11%</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9,02%</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1,64%</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Preddiplomski studij</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20,94%</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11,97%</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30,77%</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17,95%</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11,54%</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5,13%</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1,71%</w:t>
            </w:r>
          </w:p>
        </w:tc>
      </w:tr>
      <w:tr w:rsidR="00CE1313" w:rsidRPr="00370B40" w:rsidTr="00370B40">
        <w:trPr>
          <w:jc w:val="center"/>
        </w:trPr>
        <w:tc>
          <w:tcPr>
            <w:tcW w:w="87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Diplomski studij</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41,51%</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7,55%</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27,67%</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14,47%</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6,29%</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1,89%</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0,63%</w:t>
            </w:r>
          </w:p>
        </w:tc>
      </w:tr>
      <w:tr w:rsidR="00CE1313" w:rsidRPr="00370B40" w:rsidTr="00370B40">
        <w:trPr>
          <w:jc w:val="center"/>
        </w:trPr>
        <w:tc>
          <w:tcPr>
            <w:tcW w:w="878" w:type="pct"/>
            <w:vAlign w:val="center"/>
          </w:tcPr>
          <w:p w:rsidR="00CE1313" w:rsidRPr="00370B40" w:rsidRDefault="00CE1313" w:rsidP="00465DBF">
            <w:pPr>
              <w:pStyle w:val="Heading3"/>
              <w:rPr>
                <w:rFonts w:ascii="Times New Roman" w:hAnsi="Times New Roman"/>
                <w:color w:val="auto"/>
                <w:sz w:val="18"/>
                <w:szCs w:val="18"/>
              </w:rPr>
            </w:pPr>
            <w:r w:rsidRPr="00370B40">
              <w:rPr>
                <w:rFonts w:ascii="Times New Roman" w:hAnsi="Times New Roman"/>
                <w:color w:val="auto"/>
                <w:sz w:val="18"/>
                <w:szCs w:val="18"/>
              </w:rPr>
              <w:t>Poslijedipl. studij</w:t>
            </w:r>
          </w:p>
        </w:tc>
        <w:tc>
          <w:tcPr>
            <w:tcW w:w="747" w:type="pct"/>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18,75%</w:t>
            </w:r>
          </w:p>
        </w:tc>
        <w:tc>
          <w:tcPr>
            <w:tcW w:w="607"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18,75%</w:t>
            </w:r>
          </w:p>
        </w:tc>
        <w:tc>
          <w:tcPr>
            <w:tcW w:w="540"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39,58%</w:t>
            </w:r>
          </w:p>
        </w:tc>
        <w:tc>
          <w:tcPr>
            <w:tcW w:w="651"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61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6,25%</w:t>
            </w:r>
          </w:p>
        </w:tc>
        <w:tc>
          <w:tcPr>
            <w:tcW w:w="548"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6,25%</w:t>
            </w:r>
          </w:p>
        </w:tc>
        <w:tc>
          <w:tcPr>
            <w:tcW w:w="41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2,08%</w:t>
            </w:r>
          </w:p>
        </w:tc>
      </w:tr>
    </w:tbl>
    <w:p w:rsidR="00CE1313" w:rsidRDefault="00CE1313" w:rsidP="001D275B">
      <w:pPr>
        <w:ind w:firstLine="720"/>
        <w:rPr>
          <w:color w:val="000000"/>
        </w:rPr>
      </w:pPr>
      <w:r w:rsidRPr="0015206D">
        <w:rPr>
          <w:color w:val="000000"/>
        </w:rPr>
        <w:t>Na pitanje „</w:t>
      </w:r>
      <w:r w:rsidRPr="0015206D">
        <w:rPr>
          <w:i/>
          <w:color w:val="000000"/>
        </w:rPr>
        <w:t>Jeste li upoznati sa GMO-om (genetski modificiranim organizmima)?</w:t>
      </w:r>
      <w:r w:rsidRPr="0015206D">
        <w:rPr>
          <w:color w:val="000000"/>
        </w:rPr>
        <w:t>“ (Tablica 11) 85,71% ispitanika navodi da su upoznati sa GMO-om (genetski modificiranim organizmima), 9,23% ispitanika nisu upoznati sa GMO-om, dok je 5,06% ispitanika dalo odgovor „Ne znam“.</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5206D">
        <w:rPr>
          <w:color w:val="000000"/>
        </w:rPr>
        <w:t>Iz dobivenih rezultata može se zaključiti kako značajan broj ispitanika svih dobnih skupina i svih razina obrazovanja upoznati su li upoznati sa GMO-om. Također, iz podataka mogu se izdvojiti i ispitanici sa završenom osnovnom školom koji su vidljivo manje upoznati sa GMO-om od drugih ispitanika.</w:t>
      </w:r>
    </w:p>
    <w:p w:rsidR="00CE1313" w:rsidRDefault="00CE1313" w:rsidP="002F5E76">
      <w:pPr>
        <w:rPr>
          <w:color w:val="000000"/>
        </w:rPr>
      </w:pPr>
    </w:p>
    <w:p w:rsidR="00CE1313" w:rsidRDefault="00CE1313" w:rsidP="00465DBF">
      <w:pPr>
        <w:pStyle w:val="Caption"/>
        <w:keepNext/>
        <w:spacing w:after="0"/>
        <w:jc w:val="both"/>
        <w:rPr>
          <w:rFonts w:ascii="Times New Roman" w:hAnsi="Times New Roman"/>
          <w:color w:val="000000"/>
          <w:sz w:val="22"/>
        </w:rPr>
      </w:pPr>
      <w:r w:rsidRPr="00465DBF">
        <w:rPr>
          <w:rFonts w:ascii="Times New Roman" w:hAnsi="Times New Roman"/>
          <w:color w:val="000000"/>
          <w:sz w:val="22"/>
        </w:rPr>
        <w:t xml:space="preserve">Tablica </w:t>
      </w:r>
      <w:r w:rsidRPr="00465DBF">
        <w:rPr>
          <w:rFonts w:ascii="Times New Roman" w:hAnsi="Times New Roman"/>
          <w:color w:val="000000"/>
          <w:sz w:val="22"/>
        </w:rPr>
        <w:fldChar w:fldCharType="begin"/>
      </w:r>
      <w:r w:rsidRPr="00465DBF">
        <w:rPr>
          <w:rFonts w:ascii="Times New Roman" w:hAnsi="Times New Roman"/>
          <w:color w:val="000000"/>
          <w:sz w:val="22"/>
        </w:rPr>
        <w:instrText xml:space="preserve"> SEQ Tablica \* ARABIC </w:instrText>
      </w:r>
      <w:r w:rsidRPr="00465DBF">
        <w:rPr>
          <w:rFonts w:ascii="Times New Roman" w:hAnsi="Times New Roman"/>
          <w:color w:val="000000"/>
          <w:sz w:val="22"/>
        </w:rPr>
        <w:fldChar w:fldCharType="separate"/>
      </w:r>
      <w:r w:rsidRPr="00465DBF">
        <w:rPr>
          <w:rFonts w:ascii="Times New Roman" w:hAnsi="Times New Roman"/>
          <w:noProof/>
          <w:color w:val="000000"/>
          <w:sz w:val="22"/>
        </w:rPr>
        <w:t>11.</w:t>
      </w:r>
      <w:r w:rsidRPr="00465DBF">
        <w:rPr>
          <w:rFonts w:ascii="Times New Roman" w:hAnsi="Times New Roman"/>
          <w:color w:val="000000"/>
          <w:sz w:val="22"/>
        </w:rPr>
        <w:fldChar w:fldCharType="end"/>
      </w:r>
      <w:r w:rsidRPr="00465DBF">
        <w:rPr>
          <w:rFonts w:ascii="Times New Roman" w:hAnsi="Times New Roman"/>
          <w:color w:val="000000"/>
          <w:sz w:val="22"/>
        </w:rPr>
        <w:t xml:space="preserve"> Analitički prikaz odgovora ispitanika na pitanje „Jeste li upoznati sa GMO-om (genetski modificiranim organizmima)?“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8"/>
        <w:gridCol w:w="4648"/>
      </w:tblGrid>
      <w:tr w:rsidR="00CE1313" w:rsidRPr="00370B40" w:rsidTr="00370B40">
        <w:tc>
          <w:tcPr>
            <w:tcW w:w="398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833"/>
              <w:gridCol w:w="833"/>
              <w:gridCol w:w="966"/>
            </w:tblGrid>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239B9">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Da</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Ne</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Ne znam</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85,71%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9,23%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5,06%</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b/>
                      <w:color w:val="auto"/>
                      <w:sz w:val="20"/>
                      <w:szCs w:val="20"/>
                    </w:rPr>
                  </w:pPr>
                  <w:r w:rsidRPr="00370B40">
                    <w:rPr>
                      <w:rFonts w:ascii="Times New Roman" w:hAnsi="Times New Roman"/>
                      <w:b/>
                      <w:color w:val="auto"/>
                      <w:sz w:val="20"/>
                      <w:szCs w:val="20"/>
                    </w:rPr>
                    <w:t>Spol</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78,82%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14,12%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7,06%</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86,71%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8,52%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4,77%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b/>
                      <w:color w:val="auto"/>
                      <w:sz w:val="20"/>
                      <w:szCs w:val="20"/>
                    </w:rPr>
                  </w:pPr>
                  <w:r w:rsidRPr="00370B40">
                    <w:rPr>
                      <w:rFonts w:ascii="Times New Roman" w:hAnsi="Times New Roman"/>
                      <w:b/>
                      <w:color w:val="auto"/>
                      <w:sz w:val="20"/>
                      <w:szCs w:val="20"/>
                    </w:rPr>
                    <w:t>Dob</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18 – 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88,07%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8,26%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3,67%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26 – 35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85,25%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9,43%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5,33%</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36 – 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87,22%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8,27%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4,51%</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46 – 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84,09%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11,36%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4,55%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&gt;56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69,70%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15,15%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15,15%</w:t>
                  </w:r>
                </w:p>
              </w:tc>
            </w:tr>
          </w:tbl>
          <w:p w:rsidR="00CE1313" w:rsidRPr="00370B40" w:rsidRDefault="00CE1313" w:rsidP="00D239B9">
            <w:pPr>
              <w:rPr>
                <w:sz w:val="22"/>
                <w:szCs w:val="22"/>
                <w:lang w:val="hr-HR"/>
              </w:rPr>
            </w:pPr>
          </w:p>
        </w:tc>
        <w:tc>
          <w:tcPr>
            <w:tcW w:w="464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3"/>
              <w:gridCol w:w="833"/>
              <w:gridCol w:w="833"/>
              <w:gridCol w:w="833"/>
            </w:tblGrid>
            <w:tr w:rsidR="00CE1313" w:rsidRPr="00370B40" w:rsidTr="00370B40">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370B40">
                  <w:pPr>
                    <w:pStyle w:val="Heading3"/>
                    <w:jc w:val="center"/>
                    <w:rPr>
                      <w:rFonts w:ascii="Times New Roman" w:hAnsi="Times New Roman"/>
                      <w:color w:val="auto"/>
                      <w:sz w:val="20"/>
                      <w:szCs w:val="20"/>
                    </w:rPr>
                  </w:pPr>
                  <w:r w:rsidRPr="00370B40">
                    <w:rPr>
                      <w:rFonts w:ascii="Times New Roman" w:hAnsi="Times New Roman"/>
                      <w:b/>
                      <w:color w:val="auto"/>
                      <w:sz w:val="20"/>
                      <w:szCs w:val="20"/>
                    </w:rPr>
                    <w:t>Razina obrazovanja</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50,00%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16,67%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84,62%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9,40%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5,98%</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79,17%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20,83%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91,82%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6,29%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1,89%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84,43%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9,02%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6,56%</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80,00%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5,00%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15,00%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Poslijediplomski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50,00%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16,67%</w:t>
                  </w:r>
                </w:p>
              </w:tc>
            </w:tr>
          </w:tbl>
          <w:p w:rsidR="00CE1313" w:rsidRPr="00370B40" w:rsidRDefault="00CE1313" w:rsidP="00D239B9">
            <w:pPr>
              <w:rPr>
                <w:sz w:val="22"/>
                <w:szCs w:val="22"/>
                <w:lang w:val="hr-HR"/>
              </w:rPr>
            </w:pPr>
          </w:p>
        </w:tc>
      </w:tr>
    </w:tbl>
    <w:p w:rsidR="00CE1313" w:rsidRDefault="00CE1313" w:rsidP="001D275B">
      <w:pPr>
        <w:ind w:firstLine="720"/>
        <w:rPr>
          <w:color w:val="000000"/>
          <w:lang w:val="de-DE"/>
        </w:rPr>
      </w:pPr>
      <w:r w:rsidRPr="00445E5A">
        <w:rPr>
          <w:color w:val="000000"/>
          <w:lang w:val="de-DE"/>
        </w:rPr>
        <w:t>Na pitanje „</w:t>
      </w:r>
      <w:r w:rsidRPr="00445E5A">
        <w:rPr>
          <w:i/>
          <w:color w:val="000000"/>
          <w:lang w:val="de-DE"/>
        </w:rPr>
        <w:t>Znate li da u Republici Hrvatskoj postoji zakon o GMO-u</w:t>
      </w:r>
      <w:r>
        <w:rPr>
          <w:color w:val="000000"/>
          <w:lang w:val="de-DE"/>
        </w:rPr>
        <w:t>?“ (t</w:t>
      </w:r>
      <w:r w:rsidRPr="00445E5A">
        <w:rPr>
          <w:color w:val="000000"/>
          <w:lang w:val="de-DE"/>
        </w:rPr>
        <w:t>ablica 12) 35,12% ispitanika navodi kako znaju da postoji zakon o GMO-u, 41,22% ispitanika ne zna da u Republici Hrvatskoj postoji zakon o GMO-u, dok je 23,66% ispitanika dalo odgovor „Ne znam“. Na temelju dobivenih podataka može se zaključiti da značajan broj ispitanika svih dobnih skupina i razina obrazovanja nije u potpunosti upoznato sa zakonskom regulacijom GMO hrane na području Republike Hrvatske.</w:t>
      </w:r>
    </w:p>
    <w:p w:rsidR="00CE1313" w:rsidRDefault="00CE1313" w:rsidP="00465DBF">
      <w:pPr>
        <w:pStyle w:val="Caption"/>
        <w:keepNext/>
        <w:spacing w:after="0"/>
        <w:jc w:val="both"/>
        <w:rPr>
          <w:rFonts w:ascii="Times New Roman" w:hAnsi="Times New Roman"/>
          <w:color w:val="000000"/>
          <w:sz w:val="22"/>
        </w:rPr>
      </w:pPr>
    </w:p>
    <w:p w:rsidR="00CE1313" w:rsidRDefault="00CE1313" w:rsidP="00465DBF">
      <w:pPr>
        <w:pStyle w:val="Caption"/>
        <w:keepNext/>
        <w:spacing w:after="0"/>
        <w:jc w:val="both"/>
        <w:rPr>
          <w:rFonts w:ascii="Times New Roman" w:hAnsi="Times New Roman"/>
          <w:color w:val="000000"/>
          <w:sz w:val="22"/>
        </w:rPr>
      </w:pPr>
      <w:r w:rsidRPr="00465DBF">
        <w:rPr>
          <w:rFonts w:ascii="Times New Roman" w:hAnsi="Times New Roman"/>
          <w:color w:val="000000"/>
          <w:sz w:val="22"/>
        </w:rPr>
        <w:t xml:space="preserve">Tablica </w:t>
      </w:r>
      <w:r w:rsidRPr="00465DBF">
        <w:rPr>
          <w:rFonts w:ascii="Times New Roman" w:hAnsi="Times New Roman"/>
          <w:color w:val="000000"/>
          <w:sz w:val="22"/>
        </w:rPr>
        <w:fldChar w:fldCharType="begin"/>
      </w:r>
      <w:r w:rsidRPr="00465DBF">
        <w:rPr>
          <w:rFonts w:ascii="Times New Roman" w:hAnsi="Times New Roman"/>
          <w:color w:val="000000"/>
          <w:sz w:val="22"/>
        </w:rPr>
        <w:instrText xml:space="preserve"> SEQ Tablica \* ARABIC </w:instrText>
      </w:r>
      <w:r w:rsidRPr="00465DBF">
        <w:rPr>
          <w:rFonts w:ascii="Times New Roman" w:hAnsi="Times New Roman"/>
          <w:color w:val="000000"/>
          <w:sz w:val="22"/>
        </w:rPr>
        <w:fldChar w:fldCharType="separate"/>
      </w:r>
      <w:r w:rsidRPr="00465DBF">
        <w:rPr>
          <w:rFonts w:ascii="Times New Roman" w:hAnsi="Times New Roman"/>
          <w:noProof/>
          <w:color w:val="000000"/>
          <w:sz w:val="22"/>
        </w:rPr>
        <w:t>12.</w:t>
      </w:r>
      <w:r w:rsidRPr="00465DBF">
        <w:rPr>
          <w:rFonts w:ascii="Times New Roman" w:hAnsi="Times New Roman"/>
          <w:color w:val="000000"/>
          <w:sz w:val="22"/>
        </w:rPr>
        <w:fldChar w:fldCharType="end"/>
      </w:r>
      <w:r w:rsidRPr="00465DBF">
        <w:rPr>
          <w:rFonts w:ascii="Times New Roman" w:hAnsi="Times New Roman"/>
          <w:color w:val="000000"/>
          <w:sz w:val="22"/>
        </w:rPr>
        <w:t xml:space="preserve"> Analitički prikaz odgovora ispitanika na pitanje „Znate li da u Republici Hrvatskoj postoji zakon o GMO-u?“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8"/>
        <w:gridCol w:w="4648"/>
      </w:tblGrid>
      <w:tr w:rsidR="00CE1313" w:rsidRPr="00370B40" w:rsidTr="00370B40">
        <w:tc>
          <w:tcPr>
            <w:tcW w:w="398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833"/>
              <w:gridCol w:w="833"/>
              <w:gridCol w:w="966"/>
            </w:tblGrid>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239B9">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Da</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Ne</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20"/>
                      <w:szCs w:val="20"/>
                    </w:rPr>
                  </w:pPr>
                  <w:r w:rsidRPr="00370B40">
                    <w:rPr>
                      <w:rFonts w:ascii="Times New Roman" w:hAnsi="Times New Roman"/>
                      <w:b/>
                      <w:color w:val="auto"/>
                      <w:sz w:val="20"/>
                      <w:szCs w:val="20"/>
                    </w:rPr>
                    <w:t>Ne znam</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35,12%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41,22%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23,66%</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b/>
                      <w:color w:val="auto"/>
                      <w:sz w:val="20"/>
                      <w:szCs w:val="20"/>
                    </w:rPr>
                  </w:pPr>
                  <w:r w:rsidRPr="00370B40">
                    <w:rPr>
                      <w:rFonts w:ascii="Times New Roman" w:hAnsi="Times New Roman"/>
                      <w:b/>
                      <w:color w:val="auto"/>
                      <w:sz w:val="20"/>
                      <w:szCs w:val="20"/>
                    </w:rPr>
                    <w:t>Spol</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38,82%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45,88%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15,29%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34,58%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40,55%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24,87%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b/>
                      <w:color w:val="auto"/>
                      <w:sz w:val="20"/>
                      <w:szCs w:val="20"/>
                    </w:rPr>
                  </w:pPr>
                  <w:r w:rsidRPr="00370B40">
                    <w:rPr>
                      <w:rFonts w:ascii="Times New Roman" w:hAnsi="Times New Roman"/>
                      <w:b/>
                      <w:color w:val="auto"/>
                      <w:sz w:val="20"/>
                      <w:szCs w:val="20"/>
                    </w:rPr>
                    <w:t>Dob</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18 – 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32,57%</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47,71%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19,72%</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26 – 35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28,69%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39,34%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31,97%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36 – 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45,11%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37,59%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17,29%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46 – 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47,73%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36,36%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15,91%</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&gt;56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42,42%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24,24%</w:t>
                  </w:r>
                </w:p>
              </w:tc>
            </w:tr>
          </w:tbl>
          <w:p w:rsidR="00CE1313" w:rsidRPr="00370B40" w:rsidRDefault="00CE1313" w:rsidP="00D239B9">
            <w:pPr>
              <w:rPr>
                <w:sz w:val="22"/>
                <w:szCs w:val="22"/>
                <w:lang w:val="hr-HR"/>
              </w:rPr>
            </w:pPr>
          </w:p>
        </w:tc>
        <w:tc>
          <w:tcPr>
            <w:tcW w:w="464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3"/>
              <w:gridCol w:w="833"/>
              <w:gridCol w:w="833"/>
              <w:gridCol w:w="833"/>
            </w:tblGrid>
            <w:tr w:rsidR="00CE1313" w:rsidRPr="00370B40" w:rsidTr="00370B40">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370B40">
                  <w:pPr>
                    <w:pStyle w:val="Heading3"/>
                    <w:jc w:val="center"/>
                    <w:rPr>
                      <w:rFonts w:ascii="Times New Roman" w:hAnsi="Times New Roman"/>
                      <w:color w:val="auto"/>
                      <w:sz w:val="20"/>
                      <w:szCs w:val="20"/>
                    </w:rPr>
                  </w:pPr>
                  <w:r w:rsidRPr="00370B40">
                    <w:rPr>
                      <w:rFonts w:ascii="Times New Roman" w:hAnsi="Times New Roman"/>
                      <w:b/>
                      <w:color w:val="auto"/>
                      <w:sz w:val="20"/>
                      <w:szCs w:val="20"/>
                    </w:rPr>
                    <w:t>Razina obrazovanja</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25,00%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41,67%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30,34%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47,01%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22,65%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35,42%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58,33%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6,25%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32,70%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27,04%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40,25%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40,16%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43,44%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16,39%</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45,00%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15,00%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Poslijediplomski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46,75%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38,96%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8D364A">
                  <w:pPr>
                    <w:pStyle w:val="Heading3"/>
                    <w:rPr>
                      <w:rFonts w:ascii="Times New Roman" w:hAnsi="Times New Roman"/>
                      <w:color w:val="auto"/>
                      <w:sz w:val="20"/>
                      <w:szCs w:val="20"/>
                    </w:rPr>
                  </w:pPr>
                  <w:r w:rsidRPr="00370B40">
                    <w:rPr>
                      <w:rFonts w:ascii="Times New Roman" w:hAnsi="Times New Roman"/>
                      <w:color w:val="auto"/>
                      <w:sz w:val="20"/>
                      <w:szCs w:val="20"/>
                    </w:rPr>
                    <w:t>14,29%</w:t>
                  </w:r>
                </w:p>
              </w:tc>
            </w:tr>
          </w:tbl>
          <w:p w:rsidR="00CE1313" w:rsidRPr="00370B40" w:rsidRDefault="00CE1313" w:rsidP="00D239B9">
            <w:pPr>
              <w:rPr>
                <w:sz w:val="22"/>
                <w:szCs w:val="22"/>
                <w:lang w:val="hr-HR"/>
              </w:rPr>
            </w:pPr>
          </w:p>
        </w:tc>
      </w:tr>
    </w:tbl>
    <w:p w:rsidR="00CE1313" w:rsidRPr="008C31A9" w:rsidRDefault="00CE1313" w:rsidP="008C31A9">
      <w:pPr>
        <w:ind w:firstLine="720"/>
        <w:rPr>
          <w:color w:val="000000"/>
        </w:rPr>
      </w:pPr>
      <w:r w:rsidRPr="0015206D">
        <w:rPr>
          <w:color w:val="000000"/>
        </w:rPr>
        <w:t>Na pitanje „</w:t>
      </w:r>
      <w:r w:rsidRPr="0015206D">
        <w:rPr>
          <w:i/>
          <w:color w:val="000000"/>
        </w:rPr>
        <w:t>Prema Vašem mišljenju, kako GMO utječe na zdravlje ljudi?“</w:t>
      </w:r>
      <w:r>
        <w:rPr>
          <w:color w:val="000000"/>
        </w:rPr>
        <w:t xml:space="preserve"> (t</w:t>
      </w:r>
      <w:r w:rsidRPr="0015206D">
        <w:rPr>
          <w:color w:val="000000"/>
        </w:rPr>
        <w:t>ablica 13) 41,07% ispitanika smatra da GMO veoma loše utječe na zdravlje ljudi, 34,52% ispitanika smatra da GMO loše utječe, a 11,61% ispitanika smatra da „GMO utječe na zdravlje ljudi ni loše ni dobro“. Samo 0,45% ispitanika smatra da „GMOdobro utječe na zdravlje ljudi“, dok niti jedan od ispitanika ne smatra da GMO utječe na zdravlje ljudi veoma dobro, a njih 12,35% je odgovorilo „Ne znam“. Na temelju navedenog se može zaključiti kako značajan broj ispitanika smatra da GMO veoma loše utječe na zdravlje ljudi. Iako ispitanici svih dobnih skupina i razine obrazovanja imaju istu percepciju o GMO-u, značajno se ističe skupina ispitani</w:t>
      </w:r>
      <w:r>
        <w:rPr>
          <w:color w:val="000000"/>
        </w:rPr>
        <w:t>ka sa osnovnom</w:t>
      </w:r>
      <w:r w:rsidRPr="0015206D">
        <w:rPr>
          <w:color w:val="000000"/>
        </w:rPr>
        <w:t xml:space="preserve"> škol</w:t>
      </w:r>
      <w:r>
        <w:rPr>
          <w:color w:val="000000"/>
        </w:rPr>
        <w:t xml:space="preserve">om sa </w:t>
      </w:r>
      <w:r w:rsidRPr="0015206D">
        <w:rPr>
          <w:color w:val="000000"/>
        </w:rPr>
        <w:t>odgovor</w:t>
      </w:r>
      <w:r>
        <w:rPr>
          <w:color w:val="000000"/>
        </w:rPr>
        <w:t>om</w:t>
      </w:r>
      <w:r w:rsidRPr="0015206D">
        <w:rPr>
          <w:color w:val="000000"/>
        </w:rPr>
        <w:t xml:space="preserve"> „Ne znam“ (58,33%), a jedan od razloga može biti nedovoljno znanje o GMO-u. </w:t>
      </w:r>
    </w:p>
    <w:p w:rsidR="00CE1313" w:rsidRPr="00465DBF" w:rsidRDefault="00CE1313" w:rsidP="00465DBF">
      <w:pPr>
        <w:pStyle w:val="Caption"/>
        <w:keepNext/>
        <w:spacing w:after="0"/>
        <w:jc w:val="both"/>
        <w:rPr>
          <w:rFonts w:ascii="Times New Roman" w:hAnsi="Times New Roman"/>
          <w:color w:val="000000"/>
          <w:sz w:val="22"/>
        </w:rPr>
      </w:pPr>
      <w:r w:rsidRPr="00465DBF">
        <w:rPr>
          <w:rFonts w:ascii="Times New Roman" w:hAnsi="Times New Roman"/>
          <w:color w:val="000000"/>
          <w:sz w:val="22"/>
        </w:rPr>
        <w:t xml:space="preserve">Tablica </w:t>
      </w:r>
      <w:r w:rsidRPr="00465DBF">
        <w:rPr>
          <w:rFonts w:ascii="Times New Roman" w:hAnsi="Times New Roman"/>
          <w:color w:val="000000"/>
          <w:sz w:val="22"/>
        </w:rPr>
        <w:fldChar w:fldCharType="begin"/>
      </w:r>
      <w:r w:rsidRPr="00465DBF">
        <w:rPr>
          <w:rFonts w:ascii="Times New Roman" w:hAnsi="Times New Roman"/>
          <w:color w:val="000000"/>
          <w:sz w:val="22"/>
        </w:rPr>
        <w:instrText xml:space="preserve"> SEQ Tablica \* ARABIC </w:instrText>
      </w:r>
      <w:r w:rsidRPr="00465DBF">
        <w:rPr>
          <w:rFonts w:ascii="Times New Roman" w:hAnsi="Times New Roman"/>
          <w:color w:val="000000"/>
          <w:sz w:val="22"/>
        </w:rPr>
        <w:fldChar w:fldCharType="separate"/>
      </w:r>
      <w:r w:rsidRPr="00465DBF">
        <w:rPr>
          <w:rFonts w:ascii="Times New Roman" w:hAnsi="Times New Roman"/>
          <w:noProof/>
          <w:color w:val="000000"/>
          <w:sz w:val="22"/>
        </w:rPr>
        <w:t>13.</w:t>
      </w:r>
      <w:r w:rsidRPr="00465DBF">
        <w:rPr>
          <w:rFonts w:ascii="Times New Roman" w:hAnsi="Times New Roman"/>
          <w:color w:val="000000"/>
          <w:sz w:val="22"/>
        </w:rPr>
        <w:fldChar w:fldCharType="end"/>
      </w:r>
      <w:r w:rsidRPr="00465DBF">
        <w:rPr>
          <w:rFonts w:ascii="Times New Roman" w:hAnsi="Times New Roman"/>
          <w:color w:val="000000"/>
          <w:sz w:val="22"/>
        </w:rPr>
        <w:t xml:space="preserve"> Analitički prikaz odgovora ispitanika na pitanje „Prema Vašem mišljenju, kako GMO utječe na zdravlje ljudi?“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6"/>
        <w:gridCol w:w="1166"/>
        <w:gridCol w:w="833"/>
        <w:gridCol w:w="1561"/>
        <w:gridCol w:w="733"/>
        <w:gridCol w:w="1311"/>
        <w:gridCol w:w="933"/>
      </w:tblGrid>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p>
        </w:tc>
        <w:tc>
          <w:tcPr>
            <w:tcW w:w="0" w:type="auto"/>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Veoma loše</w:t>
            </w:r>
          </w:p>
        </w:tc>
        <w:tc>
          <w:tcPr>
            <w:tcW w:w="0" w:type="auto"/>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Loše</w:t>
            </w:r>
          </w:p>
        </w:tc>
        <w:tc>
          <w:tcPr>
            <w:tcW w:w="0" w:type="auto"/>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Ni loše, ni dobro</w:t>
            </w:r>
          </w:p>
        </w:tc>
        <w:tc>
          <w:tcPr>
            <w:tcW w:w="0" w:type="auto"/>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Dobro</w:t>
            </w:r>
          </w:p>
        </w:tc>
        <w:tc>
          <w:tcPr>
            <w:tcW w:w="0" w:type="auto"/>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Veoma dobro</w:t>
            </w:r>
          </w:p>
        </w:tc>
        <w:tc>
          <w:tcPr>
            <w:tcW w:w="0" w:type="auto"/>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Ne znam</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41,07%</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34,52%</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11,61%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0,45%</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12,35%</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24,71%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29,41%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17,65%</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28,24%</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43,44%</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35,26%</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10,73%</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0,51%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10,05%</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Dob: 18 – 25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33,94%</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36,70%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17,43%</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0,92%</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11,01%</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Dob: 26 – 35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47,54%</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33,61%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8,61%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10,25%</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Dob: 36 – 45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42,11%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39,10%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7,52%</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0,75%</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10,53%</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Dob: 46 – 55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43,18%</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22,73%</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13,64%</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20,45%</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Dob: &gt;56</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33,33%</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24,24%</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9,09%</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33,33%</w:t>
            </w:r>
          </w:p>
        </w:tc>
      </w:tr>
      <w:tr w:rsidR="00CE1313" w:rsidRPr="00370B40" w:rsidTr="00370B40">
        <w:trPr>
          <w:jc w:val="center"/>
        </w:trPr>
        <w:tc>
          <w:tcPr>
            <w:tcW w:w="0" w:type="auto"/>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Razina obrazovanja</w:t>
            </w: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16,67%</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16,67%</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58,33%</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38,89%</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37,61%</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10,26%</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13,25%</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31,25%</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43,75%</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12,50%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12,50%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59,12%</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25,79%</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8,18%</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6,92%</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31,15%</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38,52%</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15,57%</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1,64%</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13,11%</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36,36%</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38,96%</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14,29%</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9,09%</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Poslijediplomski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15,00%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0" w:type="auto"/>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25,00%</w:t>
            </w:r>
          </w:p>
        </w:tc>
      </w:tr>
    </w:tbl>
    <w:p w:rsidR="00CE1313" w:rsidRPr="00150E07" w:rsidRDefault="00CE1313" w:rsidP="001D275B">
      <w:pPr>
        <w:ind w:firstLine="720"/>
        <w:rPr>
          <w:color w:val="000000"/>
          <w:lang w:val="de-DE"/>
        </w:rPr>
      </w:pPr>
      <w:r w:rsidRPr="0015206D">
        <w:rPr>
          <w:color w:val="000000"/>
        </w:rPr>
        <w:t>Na pitanje „</w:t>
      </w:r>
      <w:r w:rsidRPr="0015206D">
        <w:rPr>
          <w:i/>
          <w:color w:val="000000"/>
        </w:rPr>
        <w:t>Treba li GMO, po Vašem mišljenju, zabraniti ili ne</w:t>
      </w:r>
      <w:r>
        <w:rPr>
          <w:color w:val="000000"/>
        </w:rPr>
        <w:t>?“ (t</w:t>
      </w:r>
      <w:r w:rsidRPr="0015206D">
        <w:rPr>
          <w:color w:val="000000"/>
        </w:rPr>
        <w:t xml:space="preserve">ablica 14) 68,45% ispitanika smatra da GMO treba zabraniti, 7,29% ispitanika smatra da GMO ne treba zabraniti, dok je odgovor „Ne znam“ odabralo 24,26% ispitanika. </w:t>
      </w:r>
      <w:r w:rsidRPr="00150E07">
        <w:rPr>
          <w:color w:val="000000"/>
          <w:lang w:val="de-DE"/>
        </w:rPr>
        <w:t xml:space="preserve">Zaključujemo da značajan broj ispitanika smatra da GMO treba zabraniti. Nešto manji postotak ispitanika </w:t>
      </w:r>
      <w:r>
        <w:rPr>
          <w:color w:val="000000"/>
          <w:lang w:val="de-DE"/>
        </w:rPr>
        <w:t>u</w:t>
      </w:r>
      <w:r w:rsidRPr="00150E07">
        <w:rPr>
          <w:color w:val="000000"/>
          <w:lang w:val="de-DE"/>
        </w:rPr>
        <w:t xml:space="preserve"> skupini od 18 do 25 godina, kao i skupini st</w:t>
      </w:r>
      <w:r>
        <w:rPr>
          <w:color w:val="000000"/>
          <w:lang w:val="de-DE"/>
        </w:rPr>
        <w:t xml:space="preserve">arijih od 56 ispitanika, </w:t>
      </w:r>
      <w:r w:rsidRPr="00150E07">
        <w:rPr>
          <w:color w:val="000000"/>
          <w:lang w:val="de-DE"/>
        </w:rPr>
        <w:t>smatraju da GMO treba zabraniti, što je ujedno i povezano s manjim postotkom ispitanika koji pripadaju razini obrazovanja sa završenom osnovnom školom i koji su na fakultetu, a koji smatraju to isto.</w:t>
      </w:r>
    </w:p>
    <w:p w:rsidR="00CE1313" w:rsidRDefault="00CE1313" w:rsidP="00465DBF">
      <w:pPr>
        <w:pStyle w:val="Caption"/>
        <w:keepNext/>
        <w:spacing w:after="0"/>
        <w:jc w:val="both"/>
        <w:rPr>
          <w:rFonts w:ascii="Times New Roman" w:hAnsi="Times New Roman"/>
          <w:color w:val="000000"/>
          <w:sz w:val="22"/>
        </w:rPr>
      </w:pPr>
    </w:p>
    <w:p w:rsidR="00CE1313" w:rsidRPr="008D364A" w:rsidRDefault="00CE1313" w:rsidP="00150E07">
      <w:pPr>
        <w:pStyle w:val="Caption"/>
        <w:keepNext/>
        <w:spacing w:after="0"/>
        <w:jc w:val="both"/>
      </w:pPr>
      <w:r w:rsidRPr="00465DBF">
        <w:rPr>
          <w:rFonts w:ascii="Times New Roman" w:hAnsi="Times New Roman"/>
          <w:color w:val="000000"/>
          <w:sz w:val="22"/>
        </w:rPr>
        <w:t xml:space="preserve">Tablica </w:t>
      </w:r>
      <w:r w:rsidRPr="00465DBF">
        <w:rPr>
          <w:rFonts w:ascii="Times New Roman" w:hAnsi="Times New Roman"/>
          <w:color w:val="000000"/>
          <w:sz w:val="22"/>
        </w:rPr>
        <w:fldChar w:fldCharType="begin"/>
      </w:r>
      <w:r w:rsidRPr="00465DBF">
        <w:rPr>
          <w:rFonts w:ascii="Times New Roman" w:hAnsi="Times New Roman"/>
          <w:color w:val="000000"/>
          <w:sz w:val="22"/>
        </w:rPr>
        <w:instrText xml:space="preserve"> SEQ Tablica \* ARABIC </w:instrText>
      </w:r>
      <w:r w:rsidRPr="00465DBF">
        <w:rPr>
          <w:rFonts w:ascii="Times New Roman" w:hAnsi="Times New Roman"/>
          <w:color w:val="000000"/>
          <w:sz w:val="22"/>
        </w:rPr>
        <w:fldChar w:fldCharType="separate"/>
      </w:r>
      <w:r w:rsidRPr="00465DBF">
        <w:rPr>
          <w:rFonts w:ascii="Times New Roman" w:hAnsi="Times New Roman"/>
          <w:noProof/>
          <w:color w:val="000000"/>
          <w:sz w:val="22"/>
        </w:rPr>
        <w:t>14.</w:t>
      </w:r>
      <w:r w:rsidRPr="00465DBF">
        <w:rPr>
          <w:rFonts w:ascii="Times New Roman" w:hAnsi="Times New Roman"/>
          <w:color w:val="000000"/>
          <w:sz w:val="22"/>
        </w:rPr>
        <w:fldChar w:fldCharType="end"/>
      </w:r>
      <w:r w:rsidRPr="008C31A9">
        <w:rPr>
          <w:rFonts w:ascii="Times New Roman" w:hAnsi="Times New Roman"/>
          <w:color w:val="000000"/>
          <w:sz w:val="22"/>
        </w:rPr>
        <w:t>Analitički prikaz odgovora ispitanika na pitanje „Treba li GMO, po Vašem mišljenju, zabraniti ili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8"/>
        <w:gridCol w:w="4648"/>
      </w:tblGrid>
      <w:tr w:rsidR="00CE1313" w:rsidRPr="00370B40" w:rsidTr="00370B40">
        <w:tc>
          <w:tcPr>
            <w:tcW w:w="398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7"/>
              <w:gridCol w:w="771"/>
              <w:gridCol w:w="771"/>
              <w:gridCol w:w="891"/>
            </w:tblGrid>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D239B9">
                  <w:pPr>
                    <w:pStyle w:val="Heading3"/>
                    <w:rPr>
                      <w:rFonts w:ascii="Times New Roman" w:hAnsi="Times New Roman"/>
                      <w:color w:val="auto"/>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18"/>
                      <w:szCs w:val="18"/>
                    </w:rPr>
                  </w:pPr>
                  <w:r w:rsidRPr="00370B40">
                    <w:rPr>
                      <w:rFonts w:ascii="Times New Roman" w:hAnsi="Times New Roman"/>
                      <w:b/>
                      <w:color w:val="auto"/>
                      <w:sz w:val="18"/>
                      <w:szCs w:val="18"/>
                    </w:rPr>
                    <w:t>Da</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18"/>
                      <w:szCs w:val="18"/>
                    </w:rPr>
                  </w:pPr>
                  <w:r w:rsidRPr="00370B40">
                    <w:rPr>
                      <w:rFonts w:ascii="Times New Roman" w:hAnsi="Times New Roman"/>
                      <w:b/>
                      <w:color w:val="auto"/>
                      <w:sz w:val="18"/>
                      <w:szCs w:val="18"/>
                    </w:rPr>
                    <w:t>Ne</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D239B9">
                  <w:pPr>
                    <w:pStyle w:val="Heading3"/>
                    <w:rPr>
                      <w:rFonts w:ascii="Times New Roman" w:hAnsi="Times New Roman"/>
                      <w:b/>
                      <w:color w:val="auto"/>
                      <w:sz w:val="18"/>
                      <w:szCs w:val="18"/>
                    </w:rPr>
                  </w:pPr>
                  <w:r w:rsidRPr="00370B40">
                    <w:rPr>
                      <w:rFonts w:ascii="Times New Roman" w:hAnsi="Times New Roman"/>
                      <w:b/>
                      <w:color w:val="auto"/>
                      <w:sz w:val="18"/>
                      <w:szCs w:val="18"/>
                    </w:rPr>
                    <w:t>Ne znam</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68,45%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7,29%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24,26%</w:t>
                  </w:r>
                </w:p>
              </w:tc>
            </w:tr>
            <w:tr w:rsidR="00CE1313" w:rsidRPr="00370B40" w:rsidTr="00370B40">
              <w:trPr>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b/>
                      <w:color w:val="auto"/>
                      <w:sz w:val="18"/>
                      <w:szCs w:val="18"/>
                    </w:rPr>
                    <w:t>Spol</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57,65%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2,35%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40,00%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70,02%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8,01%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21,98%</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b/>
                      <w:color w:val="auto"/>
                      <w:sz w:val="18"/>
                      <w:szCs w:val="18"/>
                    </w:rPr>
                  </w:pPr>
                  <w:r w:rsidRPr="00370B40">
                    <w:rPr>
                      <w:rFonts w:ascii="Times New Roman" w:hAnsi="Times New Roman"/>
                      <w:b/>
                      <w:color w:val="auto"/>
                      <w:sz w:val="18"/>
                      <w:szCs w:val="18"/>
                    </w:rPr>
                    <w:t>Dob</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55,96%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13,76%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30,28%</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76,64%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4,51%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18,85%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76,69%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3,01%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20,30%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70,45%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6,82%</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22,73%</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54,55%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3,03%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42,42%</w:t>
                  </w:r>
                </w:p>
              </w:tc>
            </w:tr>
          </w:tbl>
          <w:p w:rsidR="00CE1313" w:rsidRPr="00370B40" w:rsidRDefault="00CE1313" w:rsidP="00D239B9">
            <w:pPr>
              <w:rPr>
                <w:sz w:val="18"/>
                <w:szCs w:val="18"/>
                <w:lang w:val="hr-HR"/>
              </w:rPr>
            </w:pPr>
          </w:p>
        </w:tc>
        <w:tc>
          <w:tcPr>
            <w:tcW w:w="464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771"/>
              <w:gridCol w:w="771"/>
              <w:gridCol w:w="771"/>
            </w:tblGrid>
            <w:tr w:rsidR="00CE1313" w:rsidRPr="00370B40" w:rsidTr="00370B40">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BE5F1"/>
                  <w:vAlign w:val="center"/>
                </w:tcPr>
                <w:p w:rsidR="00CE1313" w:rsidRPr="00370B40" w:rsidRDefault="00CE1313" w:rsidP="00370B40">
                  <w:pPr>
                    <w:pStyle w:val="Heading3"/>
                    <w:jc w:val="center"/>
                    <w:rPr>
                      <w:rFonts w:ascii="Times New Roman" w:hAnsi="Times New Roman"/>
                      <w:color w:val="auto"/>
                      <w:sz w:val="18"/>
                      <w:szCs w:val="18"/>
                    </w:rPr>
                  </w:pPr>
                  <w:r w:rsidRPr="00370B40">
                    <w:rPr>
                      <w:rFonts w:ascii="Times New Roman" w:hAnsi="Times New Roman"/>
                      <w:b/>
                      <w:color w:val="auto"/>
                      <w:sz w:val="18"/>
                      <w:szCs w:val="18"/>
                    </w:rPr>
                    <w:t>Razina obrazovanja</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Osnovna škola</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33,33%</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66,67%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70,51%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5,56%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23,93%</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81,25%</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2,08%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16,67%</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81,76%</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6,29%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11,95%</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Preddiplomski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53,28%</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13,11%</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33,61%</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55,00%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35,00%</w:t>
                  </w:r>
                </w:p>
              </w:tc>
            </w:tr>
            <w:tr w:rsidR="00CE1313" w:rsidRPr="00370B40" w:rsidTr="00370B4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Poslijediplomski studij</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59,74%</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0" w:type="auto"/>
                  <w:tcBorders>
                    <w:top w:val="single" w:sz="4" w:space="0" w:color="auto"/>
                    <w:left w:val="single" w:sz="4" w:space="0" w:color="auto"/>
                    <w:bottom w:val="single" w:sz="4" w:space="0" w:color="auto"/>
                    <w:right w:val="single" w:sz="4" w:space="0" w:color="auto"/>
                  </w:tcBorders>
                  <w:vAlign w:val="center"/>
                </w:tcPr>
                <w:p w:rsidR="00CE1313" w:rsidRPr="00370B40" w:rsidRDefault="00CE1313" w:rsidP="00150E07">
                  <w:pPr>
                    <w:pStyle w:val="Heading3"/>
                    <w:rPr>
                      <w:rFonts w:ascii="Times New Roman" w:hAnsi="Times New Roman"/>
                      <w:color w:val="auto"/>
                      <w:sz w:val="18"/>
                      <w:szCs w:val="18"/>
                    </w:rPr>
                  </w:pPr>
                  <w:r w:rsidRPr="00370B40">
                    <w:rPr>
                      <w:rFonts w:ascii="Times New Roman" w:hAnsi="Times New Roman"/>
                      <w:color w:val="auto"/>
                      <w:sz w:val="18"/>
                      <w:szCs w:val="18"/>
                    </w:rPr>
                    <w:t>31,17%</w:t>
                  </w:r>
                </w:p>
              </w:tc>
            </w:tr>
          </w:tbl>
          <w:p w:rsidR="00CE1313" w:rsidRPr="00370B40" w:rsidRDefault="00CE1313" w:rsidP="00D239B9">
            <w:pPr>
              <w:rPr>
                <w:sz w:val="18"/>
                <w:szCs w:val="18"/>
                <w:lang w:val="hr-HR"/>
              </w:rPr>
            </w:pPr>
          </w:p>
        </w:tc>
      </w:tr>
    </w:tbl>
    <w:p w:rsidR="00CE1313" w:rsidRDefault="00CE1313" w:rsidP="001D275B">
      <w:pPr>
        <w:ind w:firstLine="720"/>
        <w:rPr>
          <w:color w:val="000000"/>
        </w:rPr>
      </w:pPr>
      <w:r w:rsidRPr="0015206D">
        <w:rPr>
          <w:color w:val="000000"/>
        </w:rPr>
        <w:t xml:space="preserve">Na izjavu </w:t>
      </w:r>
      <w:r w:rsidRPr="0015206D">
        <w:rPr>
          <w:i/>
          <w:color w:val="000000"/>
        </w:rPr>
        <w:t>„Trgovci na malo općenito poštuju Vaša prava potrošača“</w:t>
      </w:r>
      <w:r>
        <w:rPr>
          <w:color w:val="000000"/>
        </w:rPr>
        <w:t xml:space="preserve"> (t</w:t>
      </w:r>
      <w:r w:rsidRPr="0015206D">
        <w:rPr>
          <w:color w:val="000000"/>
        </w:rPr>
        <w:t xml:space="preserve">ablica 15) 6,70% ispitanika se u potpunosti slaže, 39,43% se slaže, 37,05% se ne slaže, 5,51% uopće se ne slaže, a 11,31% ispitanika je odgovorilo „Ne znam“. Iz dobivenih podataka može se uočiti kako su ispitanici podijeljenog stava glede izjave o tome da trgovcina malo općenito poštuju njihova prava potrošača. Komparacijom dobivenih rezultata ankete </w:t>
      </w:r>
      <w:r w:rsidRPr="0015206D">
        <w:rPr>
          <w:i/>
          <w:color w:val="000000"/>
        </w:rPr>
        <w:t>Flash Eurobarometer-a</w:t>
      </w:r>
      <w:r w:rsidRPr="0015206D">
        <w:rPr>
          <w:color w:val="000000"/>
        </w:rPr>
        <w:t xml:space="preserve"> i provedene ankete u Republici Hrvatskoj uviđa se da se percepcija ispitanika o poštivanju njihovih prava od strane trgovaca na malo znatno razlikuje. Rezultati </w:t>
      </w:r>
      <w:r w:rsidRPr="0015206D">
        <w:rPr>
          <w:i/>
          <w:color w:val="000000"/>
        </w:rPr>
        <w:t>Flash Eurobarometer-a</w:t>
      </w:r>
      <w:r w:rsidRPr="0015206D">
        <w:rPr>
          <w:color w:val="000000"/>
        </w:rPr>
        <w:t xml:space="preserve"> ukazuju da je 71% ispitanika uvjereno da trgovci i pružatelji usluga poštuju njihova prava dok u provedenoj anketi u Republici Hrvatskoj 39,43% ispitanika slaže se s tom tvrdnjom, a tek se 6,70% njih u potpunosti se slaže sa tom tvrdnjom.</w:t>
      </w:r>
    </w:p>
    <w:p w:rsidR="00CE1313" w:rsidRDefault="00CE1313" w:rsidP="00465DBF">
      <w:pPr>
        <w:pStyle w:val="Caption"/>
        <w:keepNext/>
        <w:spacing w:after="0"/>
        <w:jc w:val="both"/>
        <w:rPr>
          <w:rFonts w:ascii="Times New Roman" w:hAnsi="Times New Roman"/>
          <w:color w:val="000000"/>
          <w:sz w:val="22"/>
        </w:rPr>
      </w:pPr>
    </w:p>
    <w:p w:rsidR="00CE1313" w:rsidRPr="00465DBF" w:rsidRDefault="00CE1313" w:rsidP="00465DBF">
      <w:pPr>
        <w:pStyle w:val="Caption"/>
        <w:keepNext/>
        <w:spacing w:after="0"/>
        <w:jc w:val="both"/>
        <w:rPr>
          <w:rFonts w:ascii="Times New Roman" w:hAnsi="Times New Roman"/>
          <w:color w:val="000000"/>
          <w:sz w:val="22"/>
        </w:rPr>
      </w:pPr>
      <w:r w:rsidRPr="00465DBF">
        <w:rPr>
          <w:rFonts w:ascii="Times New Roman" w:hAnsi="Times New Roman"/>
          <w:color w:val="000000"/>
          <w:sz w:val="22"/>
        </w:rPr>
        <w:t xml:space="preserve">Tablica </w:t>
      </w:r>
      <w:r w:rsidRPr="00465DBF">
        <w:rPr>
          <w:rFonts w:ascii="Times New Roman" w:hAnsi="Times New Roman"/>
          <w:color w:val="000000"/>
          <w:sz w:val="22"/>
        </w:rPr>
        <w:fldChar w:fldCharType="begin"/>
      </w:r>
      <w:r w:rsidRPr="00465DBF">
        <w:rPr>
          <w:rFonts w:ascii="Times New Roman" w:hAnsi="Times New Roman"/>
          <w:color w:val="000000"/>
          <w:sz w:val="22"/>
        </w:rPr>
        <w:instrText xml:space="preserve"> SEQ Tablica \* ARABIC </w:instrText>
      </w:r>
      <w:r w:rsidRPr="00465DBF">
        <w:rPr>
          <w:rFonts w:ascii="Times New Roman" w:hAnsi="Times New Roman"/>
          <w:color w:val="000000"/>
          <w:sz w:val="22"/>
        </w:rPr>
        <w:fldChar w:fldCharType="separate"/>
      </w:r>
      <w:r w:rsidRPr="00465DBF">
        <w:rPr>
          <w:rFonts w:ascii="Times New Roman" w:hAnsi="Times New Roman"/>
          <w:noProof/>
          <w:color w:val="000000"/>
          <w:sz w:val="22"/>
        </w:rPr>
        <w:t>15.</w:t>
      </w:r>
      <w:r w:rsidRPr="00465DBF">
        <w:rPr>
          <w:rFonts w:ascii="Times New Roman" w:hAnsi="Times New Roman"/>
          <w:color w:val="000000"/>
          <w:sz w:val="22"/>
        </w:rPr>
        <w:fldChar w:fldCharType="end"/>
      </w:r>
      <w:r w:rsidRPr="00465DBF">
        <w:rPr>
          <w:rFonts w:ascii="Times New Roman" w:hAnsi="Times New Roman"/>
          <w:color w:val="000000"/>
          <w:sz w:val="22"/>
        </w:rPr>
        <w:t xml:space="preserve"> Analitički prikaz izjave ispitanika „Trgovci na malo općenito poštuju Vaša prava potrošača“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0"/>
        <w:gridCol w:w="1944"/>
        <w:gridCol w:w="1028"/>
        <w:gridCol w:w="1232"/>
        <w:gridCol w:w="1643"/>
        <w:gridCol w:w="955"/>
      </w:tblGrid>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p>
        </w:tc>
        <w:tc>
          <w:tcPr>
            <w:tcW w:w="1097" w:type="pct"/>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U potpunosti se slažem</w:t>
            </w:r>
          </w:p>
        </w:tc>
        <w:tc>
          <w:tcPr>
            <w:tcW w:w="580" w:type="pct"/>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Slažem se</w:t>
            </w:r>
          </w:p>
        </w:tc>
        <w:tc>
          <w:tcPr>
            <w:tcW w:w="695" w:type="pct"/>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Ne slažem se</w:t>
            </w:r>
          </w:p>
        </w:tc>
        <w:tc>
          <w:tcPr>
            <w:tcW w:w="927" w:type="pct"/>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Uopće se ne slažem</w:t>
            </w:r>
          </w:p>
        </w:tc>
        <w:tc>
          <w:tcPr>
            <w:tcW w:w="539" w:type="pct"/>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Ne znam</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6,70%</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39,43%</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37,05%</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5,51%</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11,31%</w:t>
            </w:r>
          </w:p>
        </w:tc>
      </w:tr>
      <w:tr w:rsidR="00CE1313" w:rsidRPr="00370B40" w:rsidTr="00370B40">
        <w:trPr>
          <w:jc w:val="center"/>
        </w:trPr>
        <w:tc>
          <w:tcPr>
            <w:tcW w:w="1162" w:type="pct"/>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Spol</w:t>
            </w:r>
          </w:p>
        </w:tc>
        <w:tc>
          <w:tcPr>
            <w:tcW w:w="1097"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580"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695"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927"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539" w:type="pct"/>
            <w:tcBorders>
              <w:left w:val="nil"/>
            </w:tcBorders>
            <w:vAlign w:val="center"/>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5,88%</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40,00%</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24,71%</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8,24%</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21,18%</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6,81%</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39,35%</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38,84%</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5,11%</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9,88%</w:t>
            </w:r>
          </w:p>
        </w:tc>
      </w:tr>
      <w:tr w:rsidR="00CE1313" w:rsidRPr="00370B40" w:rsidTr="00370B40">
        <w:trPr>
          <w:jc w:val="center"/>
        </w:trPr>
        <w:tc>
          <w:tcPr>
            <w:tcW w:w="1162" w:type="pct"/>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Dob</w:t>
            </w:r>
          </w:p>
        </w:tc>
        <w:tc>
          <w:tcPr>
            <w:tcW w:w="1097"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580"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695"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927"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539" w:type="pct"/>
            <w:tcBorders>
              <w:left w:val="nil"/>
            </w:tcBorders>
            <w:vAlign w:val="center"/>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18 – 25</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8,72%</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42,66%</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29,36%</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5,96%</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13,30%</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26 – 35</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5,33%</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36,07%</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45,49%</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5,33%</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7,79%</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 – 45</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2,26%</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36,09%</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47,37%</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4,51%</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9,77%</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46 – 55</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15,91%</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59,09%</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13,64%</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4,55%</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6,82%</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&gt;56</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9,09%</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30,30%</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15,15%</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9,09%</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36,36%</w:t>
            </w:r>
          </w:p>
        </w:tc>
      </w:tr>
      <w:tr w:rsidR="00CE1313" w:rsidRPr="00370B40" w:rsidTr="00370B40">
        <w:trPr>
          <w:jc w:val="center"/>
        </w:trPr>
        <w:tc>
          <w:tcPr>
            <w:tcW w:w="1162" w:type="pct"/>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Razina obrazovanja</w:t>
            </w:r>
          </w:p>
        </w:tc>
        <w:tc>
          <w:tcPr>
            <w:tcW w:w="1097"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580"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695"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927" w:type="pct"/>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539" w:type="pct"/>
            <w:tcBorders>
              <w:left w:val="nil"/>
            </w:tcBorders>
            <w:vAlign w:val="center"/>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25,00%</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16,67%</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50,00%</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11,11%</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47,86%</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25,21%</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5,56%</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10,26%</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47,92%</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29,17%</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4,17%</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10,42%</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2,52%</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25,16%</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60,38%</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5,03%</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6,92%</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5,74%</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45,90%</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30,33%</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6,56%</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11,48%</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2,60%</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33,77%</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38,96%</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6,49%</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18,18%</w:t>
            </w:r>
          </w:p>
        </w:tc>
      </w:tr>
      <w:tr w:rsidR="00CE1313" w:rsidRPr="00370B40" w:rsidTr="00370B40">
        <w:trPr>
          <w:jc w:val="center"/>
        </w:trPr>
        <w:tc>
          <w:tcPr>
            <w:tcW w:w="1162"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Poslijediplomski studij</w:t>
            </w:r>
          </w:p>
        </w:tc>
        <w:tc>
          <w:tcPr>
            <w:tcW w:w="1097" w:type="pct"/>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w:t>
            </w:r>
          </w:p>
        </w:tc>
        <w:tc>
          <w:tcPr>
            <w:tcW w:w="580"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25,00%</w:t>
            </w:r>
          </w:p>
        </w:tc>
        <w:tc>
          <w:tcPr>
            <w:tcW w:w="695"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55,00%</w:t>
            </w:r>
          </w:p>
        </w:tc>
        <w:tc>
          <w:tcPr>
            <w:tcW w:w="927"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w:t>
            </w:r>
          </w:p>
        </w:tc>
        <w:tc>
          <w:tcPr>
            <w:tcW w:w="539" w:type="pct"/>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10,00%</w:t>
            </w:r>
          </w:p>
        </w:tc>
      </w:tr>
    </w:tbl>
    <w:p w:rsidR="00CE1313" w:rsidRPr="008C31A9" w:rsidRDefault="00CE1313" w:rsidP="008C31A9">
      <w:pPr>
        <w:ind w:firstLine="720"/>
        <w:rPr>
          <w:color w:val="000000"/>
        </w:rPr>
      </w:pPr>
      <w:r w:rsidRPr="0015206D">
        <w:rPr>
          <w:color w:val="000000"/>
        </w:rPr>
        <w:t xml:space="preserve">Na izjavu </w:t>
      </w:r>
      <w:r w:rsidRPr="0015206D">
        <w:rPr>
          <w:i/>
          <w:color w:val="000000"/>
        </w:rPr>
        <w:t>Imam povjerenja u ulogu neovisnih potrošačkih udruga da štite moja prava kao potrošača“</w:t>
      </w:r>
      <w:r w:rsidRPr="0015206D">
        <w:rPr>
          <w:color w:val="000000"/>
        </w:rPr>
        <w:t xml:space="preserve"> (Tablica 16) 4,61% ispitanika se u potpunosti slaže, 36,01% se slaže, 35,57% se ne slaže, 5,95% uopće se ne slaže, a 17,86% ispitanika je odgovorilo „Ne znam“. Iz navedenih podataka može se zaključiti da su ispitanici podijeljenog stava glede izjave da imaju povjerenja u ulogu neovisnih potrošačkih udruga da štite njihova prava kao potrošača.</w:t>
      </w:r>
    </w:p>
    <w:p w:rsidR="00CE1313" w:rsidRPr="00465DBF" w:rsidRDefault="00CE1313" w:rsidP="00465DBF">
      <w:pPr>
        <w:pStyle w:val="Caption"/>
        <w:keepNext/>
        <w:spacing w:after="0"/>
        <w:jc w:val="both"/>
        <w:rPr>
          <w:rFonts w:ascii="Times New Roman" w:hAnsi="Times New Roman"/>
          <w:color w:val="000000"/>
          <w:sz w:val="22"/>
        </w:rPr>
      </w:pPr>
      <w:r w:rsidRPr="00465DBF">
        <w:rPr>
          <w:rFonts w:ascii="Times New Roman" w:hAnsi="Times New Roman"/>
          <w:color w:val="000000"/>
          <w:sz w:val="22"/>
        </w:rPr>
        <w:t xml:space="preserve">Tablica </w:t>
      </w:r>
      <w:r w:rsidRPr="00465DBF">
        <w:rPr>
          <w:rFonts w:ascii="Times New Roman" w:hAnsi="Times New Roman"/>
          <w:color w:val="000000"/>
          <w:sz w:val="22"/>
        </w:rPr>
        <w:fldChar w:fldCharType="begin"/>
      </w:r>
      <w:r w:rsidRPr="00465DBF">
        <w:rPr>
          <w:rFonts w:ascii="Times New Roman" w:hAnsi="Times New Roman"/>
          <w:color w:val="000000"/>
          <w:sz w:val="22"/>
        </w:rPr>
        <w:instrText xml:space="preserve"> SEQ Tablica \* ARABIC </w:instrText>
      </w:r>
      <w:r w:rsidRPr="00465DBF">
        <w:rPr>
          <w:rFonts w:ascii="Times New Roman" w:hAnsi="Times New Roman"/>
          <w:color w:val="000000"/>
          <w:sz w:val="22"/>
        </w:rPr>
        <w:fldChar w:fldCharType="separate"/>
      </w:r>
      <w:r w:rsidRPr="00465DBF">
        <w:rPr>
          <w:rFonts w:ascii="Times New Roman" w:hAnsi="Times New Roman"/>
          <w:noProof/>
          <w:color w:val="000000"/>
          <w:sz w:val="22"/>
        </w:rPr>
        <w:t>16.</w:t>
      </w:r>
      <w:r w:rsidRPr="00465DBF">
        <w:rPr>
          <w:rFonts w:ascii="Times New Roman" w:hAnsi="Times New Roman"/>
          <w:color w:val="000000"/>
          <w:sz w:val="22"/>
        </w:rPr>
        <w:fldChar w:fldCharType="end"/>
      </w:r>
      <w:r w:rsidRPr="00465DBF">
        <w:rPr>
          <w:rFonts w:ascii="Times New Roman" w:hAnsi="Times New Roman"/>
          <w:color w:val="000000"/>
          <w:sz w:val="22"/>
        </w:rPr>
        <w:t xml:space="preserve"> Analitički prikaz izjave ispitanika „Imam povjerenja u ulogu neovisnih potrošačkih udruga da štite moja prava kao potrošača“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7"/>
        <w:gridCol w:w="1553"/>
        <w:gridCol w:w="1134"/>
        <w:gridCol w:w="1276"/>
        <w:gridCol w:w="1984"/>
        <w:gridCol w:w="1128"/>
      </w:tblGrid>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p>
        </w:tc>
        <w:tc>
          <w:tcPr>
            <w:tcW w:w="1553" w:type="dxa"/>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U potpunosti se slažem</w:t>
            </w:r>
          </w:p>
        </w:tc>
        <w:tc>
          <w:tcPr>
            <w:tcW w:w="1134" w:type="dxa"/>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Slažem se</w:t>
            </w:r>
          </w:p>
        </w:tc>
        <w:tc>
          <w:tcPr>
            <w:tcW w:w="1276" w:type="dxa"/>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Ne slažem se</w:t>
            </w:r>
          </w:p>
        </w:tc>
        <w:tc>
          <w:tcPr>
            <w:tcW w:w="1984" w:type="dxa"/>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Uopće se ne slažem</w:t>
            </w:r>
          </w:p>
        </w:tc>
        <w:tc>
          <w:tcPr>
            <w:tcW w:w="1128" w:type="dxa"/>
            <w:shd w:val="clear" w:color="auto" w:fill="DBE5F1"/>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Ne znam</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4,61%</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36,01%</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35,57%</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5,95%</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17,86%</w:t>
            </w:r>
          </w:p>
        </w:tc>
      </w:tr>
      <w:tr w:rsidR="00CE1313" w:rsidRPr="00370B40" w:rsidTr="00370B40">
        <w:trPr>
          <w:jc w:val="center"/>
        </w:trPr>
        <w:tc>
          <w:tcPr>
            <w:tcW w:w="1561" w:type="dxa"/>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Spol</w:t>
            </w:r>
          </w:p>
        </w:tc>
        <w:tc>
          <w:tcPr>
            <w:tcW w:w="1553"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3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276"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98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28" w:type="dxa"/>
            <w:tcBorders>
              <w:left w:val="nil"/>
            </w:tcBorders>
            <w:vAlign w:val="center"/>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3,53%</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31,76%</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36,47%</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8,24%</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20,00%</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4,77%</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36,63%</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35,43%</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5,62%</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17,55%</w:t>
            </w:r>
          </w:p>
        </w:tc>
      </w:tr>
      <w:tr w:rsidR="00CE1313" w:rsidRPr="00370B40" w:rsidTr="00370B40">
        <w:trPr>
          <w:jc w:val="center"/>
        </w:trPr>
        <w:tc>
          <w:tcPr>
            <w:tcW w:w="1561" w:type="dxa"/>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Dob</w:t>
            </w:r>
          </w:p>
        </w:tc>
        <w:tc>
          <w:tcPr>
            <w:tcW w:w="1553"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3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276"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98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28" w:type="dxa"/>
            <w:tcBorders>
              <w:left w:val="nil"/>
            </w:tcBorders>
            <w:vAlign w:val="center"/>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18 – 25</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5,05%</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37,61%</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28,44%</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8,26%</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20,64%</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26 – 35</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4,10%</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33,61%</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45,08%</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2,87%</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14,34%</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 – 45</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3,76%</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38,35%</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30,08%</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5,26%</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22,56%</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46 – 55</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11,36%</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40,91%</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22,73%</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13,64%</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11,36%</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&gt;56</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27,27%</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51,52%</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6,06%</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15,15%</w:t>
            </w:r>
          </w:p>
        </w:tc>
      </w:tr>
      <w:tr w:rsidR="00CE1313" w:rsidRPr="00370B40" w:rsidTr="00370B40">
        <w:trPr>
          <w:jc w:val="center"/>
        </w:trPr>
        <w:tc>
          <w:tcPr>
            <w:tcW w:w="1561" w:type="dxa"/>
            <w:tcBorders>
              <w:right w:val="nil"/>
            </w:tcBorders>
            <w:vAlign w:val="center"/>
          </w:tcPr>
          <w:p w:rsidR="00CE1313" w:rsidRPr="00370B40" w:rsidRDefault="00CE1313" w:rsidP="00465DBF">
            <w:pPr>
              <w:pStyle w:val="Heading3"/>
              <w:rPr>
                <w:rFonts w:ascii="Times New Roman" w:hAnsi="Times New Roman"/>
                <w:b/>
                <w:color w:val="auto"/>
                <w:sz w:val="20"/>
                <w:szCs w:val="20"/>
              </w:rPr>
            </w:pPr>
            <w:r w:rsidRPr="00370B40">
              <w:rPr>
                <w:rFonts w:ascii="Times New Roman" w:hAnsi="Times New Roman"/>
                <w:b/>
                <w:color w:val="auto"/>
                <w:sz w:val="20"/>
                <w:szCs w:val="20"/>
              </w:rPr>
              <w:t>Razina obraz.</w:t>
            </w:r>
          </w:p>
        </w:tc>
        <w:tc>
          <w:tcPr>
            <w:tcW w:w="1553"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3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276"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98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28" w:type="dxa"/>
            <w:tcBorders>
              <w:left w:val="nil"/>
            </w:tcBorders>
            <w:vAlign w:val="center"/>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66,67%</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16,67%</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5,13%</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38,03%</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28,21%</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8,55%</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20,09%</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12,50%</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39,58%</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27,08%</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12,50%</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1,26%</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27,67%</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54,72%</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2,52%</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13,84%</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Preddiplomski studij</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3,28%</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38,52%</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28,69%</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4,92%</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24,59%</w:t>
            </w:r>
          </w:p>
        </w:tc>
      </w:tr>
      <w:tr w:rsidR="00CE1313" w:rsidRPr="00370B40" w:rsidTr="00370B40">
        <w:trPr>
          <w:jc w:val="center"/>
        </w:trPr>
        <w:tc>
          <w:tcPr>
            <w:tcW w:w="1561"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1553" w:type="dxa"/>
            <w:tcBorders>
              <w:left w:val="nil"/>
            </w:tcBorders>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5,19%</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38,96%</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32,47%</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6,49%</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16,88%</w:t>
            </w:r>
          </w:p>
        </w:tc>
      </w:tr>
      <w:tr w:rsidR="00CE1313" w:rsidRPr="00370B40" w:rsidTr="00370B40">
        <w:trPr>
          <w:jc w:val="center"/>
        </w:trPr>
        <w:tc>
          <w:tcPr>
            <w:tcW w:w="1561" w:type="dxa"/>
            <w:vAlign w:val="center"/>
          </w:tcPr>
          <w:p w:rsidR="00CE1313" w:rsidRPr="00370B40" w:rsidRDefault="00CE1313" w:rsidP="00465DBF">
            <w:pPr>
              <w:pStyle w:val="Heading3"/>
              <w:rPr>
                <w:rFonts w:ascii="Times New Roman" w:hAnsi="Times New Roman"/>
                <w:color w:val="auto"/>
                <w:sz w:val="20"/>
                <w:szCs w:val="20"/>
              </w:rPr>
            </w:pPr>
            <w:r w:rsidRPr="00370B40">
              <w:rPr>
                <w:rFonts w:ascii="Times New Roman" w:hAnsi="Times New Roman"/>
                <w:color w:val="auto"/>
                <w:sz w:val="20"/>
                <w:szCs w:val="20"/>
              </w:rPr>
              <w:t>Poslijedipl.studij</w:t>
            </w:r>
          </w:p>
        </w:tc>
        <w:tc>
          <w:tcPr>
            <w:tcW w:w="1553"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10,00%</w:t>
            </w:r>
          </w:p>
        </w:tc>
        <w:tc>
          <w:tcPr>
            <w:tcW w:w="113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60,00%</w:t>
            </w:r>
          </w:p>
        </w:tc>
        <w:tc>
          <w:tcPr>
            <w:tcW w:w="1276"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25,00%</w:t>
            </w:r>
          </w:p>
        </w:tc>
        <w:tc>
          <w:tcPr>
            <w:tcW w:w="1984"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w:t>
            </w:r>
          </w:p>
        </w:tc>
        <w:tc>
          <w:tcPr>
            <w:tcW w:w="1128"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bl>
    <w:p w:rsidR="00CE1313" w:rsidRDefault="00CE1313" w:rsidP="001D275B">
      <w:pPr>
        <w:ind w:firstLine="720"/>
        <w:rPr>
          <w:color w:val="000000"/>
        </w:rPr>
      </w:pPr>
      <w:r w:rsidRPr="0015206D">
        <w:rPr>
          <w:color w:val="000000"/>
        </w:rPr>
        <w:t>Na izjavu „</w:t>
      </w:r>
      <w:r w:rsidRPr="0015206D">
        <w:rPr>
          <w:i/>
          <w:color w:val="000000"/>
        </w:rPr>
        <w:t>Imam povjerenja u institucije vlasti da štite moja prava kao potrošača</w:t>
      </w:r>
      <w:r>
        <w:rPr>
          <w:color w:val="000000"/>
        </w:rPr>
        <w:t>“ (t</w:t>
      </w:r>
      <w:r w:rsidRPr="0015206D">
        <w:rPr>
          <w:color w:val="000000"/>
        </w:rPr>
        <w:t xml:space="preserve">ablica 17) 2,08% ispitanika se u potpunosti slaže, 22,17% se slaže, 44,05% se ne slaže, 22,02% uopće se ne slaže, a 9,67% ispitanika je odgovorilo „Ne znam“. Iz navedenih podataka može se zaključiti da značajan broj ispitanika svih dobnih skupina i razina obrazovanja nema povjerenje u institucije vlasti da štite njihova prava kao potrošača. Komparacijom dobivenih rezultata ankete koju je proveo </w:t>
      </w:r>
      <w:r w:rsidRPr="0015206D">
        <w:rPr>
          <w:i/>
          <w:color w:val="000000"/>
        </w:rPr>
        <w:t>Flash Eurobarometer</w:t>
      </w:r>
      <w:r w:rsidRPr="0015206D">
        <w:rPr>
          <w:color w:val="000000"/>
        </w:rPr>
        <w:t xml:space="preserve"> i provedene ankete i uviđa se da je percepcija ispitanika o zaštiti njihovih prava od strane institucija različita. Naime 62% ispitanika, prema europskom istraživanju, vjeruje institucijama dok provedenom anketom rezultati ukazuju na nepovjerenje institucijama i nevladinim organizacijama s obzirom da je 44,05% ispitanika odgovorilo da nema povjerenja u institucije, 22,02% da uopće u njih nema povjerenja, a 9,67 % ne zna.</w:t>
      </w:r>
    </w:p>
    <w:p w:rsidR="00CE1313" w:rsidRDefault="00CE1313" w:rsidP="002F5E76">
      <w:pPr>
        <w:rPr>
          <w:color w:val="000000"/>
        </w:rPr>
      </w:pPr>
    </w:p>
    <w:p w:rsidR="00CE1313" w:rsidRPr="00465DBF" w:rsidRDefault="00CE1313" w:rsidP="00465DBF">
      <w:pPr>
        <w:pStyle w:val="Caption"/>
        <w:keepNext/>
        <w:spacing w:after="0"/>
        <w:jc w:val="both"/>
      </w:pPr>
      <w:r w:rsidRPr="00465DBF">
        <w:rPr>
          <w:rFonts w:ascii="Times New Roman" w:hAnsi="Times New Roman"/>
          <w:color w:val="000000"/>
          <w:sz w:val="22"/>
        </w:rPr>
        <w:t>Tablica 17. Analitički prikaz izjave ispitanika „Imam povjerenja u institucije vlasti da štite moja prava kao potrošača“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7"/>
        <w:gridCol w:w="1978"/>
        <w:gridCol w:w="1134"/>
        <w:gridCol w:w="1270"/>
        <w:gridCol w:w="1696"/>
        <w:gridCol w:w="991"/>
      </w:tblGrid>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p>
        </w:tc>
        <w:tc>
          <w:tcPr>
            <w:tcW w:w="1978" w:type="dxa"/>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 potpunosti se slažem</w:t>
            </w:r>
          </w:p>
        </w:tc>
        <w:tc>
          <w:tcPr>
            <w:tcW w:w="1134" w:type="dxa"/>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Slažem se</w:t>
            </w:r>
          </w:p>
        </w:tc>
        <w:tc>
          <w:tcPr>
            <w:tcW w:w="1270" w:type="dxa"/>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slažem se</w:t>
            </w:r>
          </w:p>
        </w:tc>
        <w:tc>
          <w:tcPr>
            <w:tcW w:w="1696" w:type="dxa"/>
            <w:shd w:val="clear" w:color="auto" w:fill="DBE5F1"/>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Uopće se ne slažem</w:t>
            </w:r>
          </w:p>
        </w:tc>
        <w:tc>
          <w:tcPr>
            <w:tcW w:w="991" w:type="dxa"/>
            <w:shd w:val="clear" w:color="auto" w:fill="DBE5F1"/>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znam</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Ukupno</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2,08%</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22,17%</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44,05%</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22,02%</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9,67%</w:t>
            </w:r>
          </w:p>
        </w:tc>
      </w:tr>
      <w:tr w:rsidR="00CE1313" w:rsidRPr="00370B40" w:rsidTr="00370B40">
        <w:trPr>
          <w:jc w:val="center"/>
        </w:trPr>
        <w:tc>
          <w:tcPr>
            <w:tcW w:w="1567" w:type="dxa"/>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Spol</w:t>
            </w:r>
          </w:p>
        </w:tc>
        <w:tc>
          <w:tcPr>
            <w:tcW w:w="1978"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3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270"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696" w:type="dxa"/>
            <w:tcBorders>
              <w:left w:val="nil"/>
              <w:right w:val="nil"/>
            </w:tcBorders>
          </w:tcPr>
          <w:p w:rsidR="00CE1313" w:rsidRPr="00370B40" w:rsidRDefault="00CE1313" w:rsidP="001D275B">
            <w:pPr>
              <w:pStyle w:val="Heading3"/>
              <w:rPr>
                <w:rFonts w:ascii="Times New Roman" w:hAnsi="Times New Roman"/>
                <w:color w:val="auto"/>
                <w:sz w:val="20"/>
                <w:szCs w:val="20"/>
              </w:rPr>
            </w:pPr>
          </w:p>
        </w:tc>
        <w:tc>
          <w:tcPr>
            <w:tcW w:w="991" w:type="dxa"/>
            <w:tcBorders>
              <w:left w:val="nil"/>
            </w:tcBorders>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Muško</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2,35%</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20,00%</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40,00%</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29,41%</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8,24%</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Žensko</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2,04%</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22,49%</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44,63%</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20,95%</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9,88%</w:t>
            </w:r>
          </w:p>
        </w:tc>
      </w:tr>
      <w:tr w:rsidR="00CE1313" w:rsidRPr="00370B40" w:rsidTr="00370B40">
        <w:trPr>
          <w:jc w:val="center"/>
        </w:trPr>
        <w:tc>
          <w:tcPr>
            <w:tcW w:w="1567" w:type="dxa"/>
            <w:tcBorders>
              <w:right w:val="nil"/>
            </w:tcBorders>
            <w:vAlign w:val="center"/>
          </w:tcPr>
          <w:p w:rsidR="00CE1313" w:rsidRPr="00370B40" w:rsidRDefault="00CE1313" w:rsidP="001D275B">
            <w:pPr>
              <w:pStyle w:val="Heading3"/>
              <w:rPr>
                <w:rFonts w:ascii="Times New Roman" w:hAnsi="Times New Roman"/>
                <w:b/>
                <w:color w:val="auto"/>
                <w:sz w:val="20"/>
                <w:szCs w:val="20"/>
              </w:rPr>
            </w:pPr>
            <w:r w:rsidRPr="00370B40">
              <w:rPr>
                <w:rFonts w:ascii="Times New Roman" w:hAnsi="Times New Roman"/>
                <w:b/>
                <w:color w:val="auto"/>
                <w:sz w:val="20"/>
                <w:szCs w:val="20"/>
              </w:rPr>
              <w:t>Dob</w:t>
            </w:r>
          </w:p>
        </w:tc>
        <w:tc>
          <w:tcPr>
            <w:tcW w:w="1978"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3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270"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696" w:type="dxa"/>
            <w:tcBorders>
              <w:left w:val="nil"/>
              <w:right w:val="nil"/>
            </w:tcBorders>
          </w:tcPr>
          <w:p w:rsidR="00CE1313" w:rsidRPr="00370B40" w:rsidRDefault="00CE1313" w:rsidP="001D275B">
            <w:pPr>
              <w:pStyle w:val="Heading3"/>
              <w:rPr>
                <w:rFonts w:ascii="Times New Roman" w:hAnsi="Times New Roman"/>
                <w:color w:val="auto"/>
                <w:sz w:val="20"/>
                <w:szCs w:val="20"/>
              </w:rPr>
            </w:pPr>
          </w:p>
        </w:tc>
        <w:tc>
          <w:tcPr>
            <w:tcW w:w="991" w:type="dxa"/>
            <w:tcBorders>
              <w:left w:val="nil"/>
            </w:tcBorders>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18 – 25</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2,75%</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28,90%</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35,78%</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19,27%</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13,30%</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26 – 35</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0,82%</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17,21%</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53,69%</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20,90%</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7,38%</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36 – 45</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0,75%</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19,55%</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48,12%</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25,56%</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6,02%</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46 – 55</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4,55%</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29,55%</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34,09%</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22,73%</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9,09%</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&gt;56</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9,09%</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15,15%</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24,24%</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33,33%</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18,18%</w:t>
            </w:r>
          </w:p>
        </w:tc>
      </w:tr>
      <w:tr w:rsidR="00CE1313" w:rsidRPr="00370B40" w:rsidTr="00370B40">
        <w:trPr>
          <w:jc w:val="center"/>
        </w:trPr>
        <w:tc>
          <w:tcPr>
            <w:tcW w:w="1567" w:type="dxa"/>
            <w:tcBorders>
              <w:right w:val="nil"/>
            </w:tcBorders>
            <w:vAlign w:val="center"/>
          </w:tcPr>
          <w:p w:rsidR="00CE1313" w:rsidRPr="00370B40" w:rsidRDefault="00CE1313" w:rsidP="00465DBF">
            <w:pPr>
              <w:pStyle w:val="Heading3"/>
              <w:rPr>
                <w:rFonts w:ascii="Times New Roman" w:hAnsi="Times New Roman"/>
                <w:b/>
                <w:color w:val="auto"/>
                <w:sz w:val="20"/>
                <w:szCs w:val="20"/>
              </w:rPr>
            </w:pPr>
            <w:r w:rsidRPr="00370B40">
              <w:rPr>
                <w:rFonts w:ascii="Times New Roman" w:hAnsi="Times New Roman"/>
                <w:b/>
                <w:color w:val="auto"/>
                <w:sz w:val="20"/>
                <w:szCs w:val="20"/>
              </w:rPr>
              <w:t>Razina obraz.</w:t>
            </w:r>
          </w:p>
        </w:tc>
        <w:tc>
          <w:tcPr>
            <w:tcW w:w="1978"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134"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270" w:type="dxa"/>
            <w:tcBorders>
              <w:left w:val="nil"/>
              <w:right w:val="nil"/>
            </w:tcBorders>
            <w:vAlign w:val="center"/>
          </w:tcPr>
          <w:p w:rsidR="00CE1313" w:rsidRPr="00370B40" w:rsidRDefault="00CE1313" w:rsidP="001D275B">
            <w:pPr>
              <w:pStyle w:val="Heading3"/>
              <w:rPr>
                <w:rFonts w:ascii="Times New Roman" w:hAnsi="Times New Roman"/>
                <w:color w:val="auto"/>
                <w:sz w:val="20"/>
                <w:szCs w:val="20"/>
              </w:rPr>
            </w:pPr>
          </w:p>
        </w:tc>
        <w:tc>
          <w:tcPr>
            <w:tcW w:w="1696" w:type="dxa"/>
            <w:tcBorders>
              <w:left w:val="nil"/>
              <w:right w:val="nil"/>
            </w:tcBorders>
          </w:tcPr>
          <w:p w:rsidR="00CE1313" w:rsidRPr="00370B40" w:rsidRDefault="00CE1313" w:rsidP="001D275B">
            <w:pPr>
              <w:pStyle w:val="Heading3"/>
              <w:rPr>
                <w:rFonts w:ascii="Times New Roman" w:hAnsi="Times New Roman"/>
                <w:color w:val="auto"/>
                <w:sz w:val="20"/>
                <w:szCs w:val="20"/>
              </w:rPr>
            </w:pPr>
          </w:p>
        </w:tc>
        <w:tc>
          <w:tcPr>
            <w:tcW w:w="991" w:type="dxa"/>
            <w:tcBorders>
              <w:left w:val="nil"/>
            </w:tcBorders>
          </w:tcPr>
          <w:p w:rsidR="00CE1313" w:rsidRPr="00370B40" w:rsidRDefault="00CE1313" w:rsidP="001D275B">
            <w:pPr>
              <w:pStyle w:val="Heading3"/>
              <w:rPr>
                <w:rFonts w:ascii="Times New Roman" w:hAnsi="Times New Roman"/>
                <w:color w:val="auto"/>
                <w:sz w:val="20"/>
                <w:szCs w:val="20"/>
              </w:rPr>
            </w:pP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Osnovna škola</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25,00%</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16,67%</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50,00%</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SSS</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2,14%</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26,92%</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39,74%</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20,94%</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10,26%</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VŠS</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2,08%</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20,83%</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50,00%</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18,75%</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8,33%</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VSS</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0,63%</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10,69%</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61,64%</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21,38%</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5,66%</w:t>
            </w:r>
          </w:p>
        </w:tc>
      </w:tr>
      <w:tr w:rsidR="00CE1313" w:rsidRPr="00370B40" w:rsidTr="00370B40">
        <w:trPr>
          <w:jc w:val="center"/>
        </w:trPr>
        <w:tc>
          <w:tcPr>
            <w:tcW w:w="1567" w:type="dxa"/>
            <w:vAlign w:val="center"/>
          </w:tcPr>
          <w:p w:rsidR="00CE1313" w:rsidRPr="00370B40" w:rsidRDefault="00CE1313" w:rsidP="008D12D1">
            <w:pPr>
              <w:pStyle w:val="Heading3"/>
              <w:rPr>
                <w:rFonts w:ascii="Times New Roman" w:hAnsi="Times New Roman"/>
                <w:color w:val="auto"/>
                <w:sz w:val="20"/>
                <w:szCs w:val="20"/>
              </w:rPr>
            </w:pPr>
            <w:r w:rsidRPr="00370B40">
              <w:rPr>
                <w:rFonts w:ascii="Times New Roman" w:hAnsi="Times New Roman"/>
                <w:color w:val="auto"/>
                <w:sz w:val="20"/>
                <w:szCs w:val="20"/>
              </w:rPr>
              <w:t>Preddipl. studij</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4,92%</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27,05%</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31,97%</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25,41%</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10,66%</w:t>
            </w:r>
          </w:p>
        </w:tc>
      </w:tr>
      <w:tr w:rsidR="00CE1313" w:rsidRPr="00370B40" w:rsidTr="00370B40">
        <w:trPr>
          <w:jc w:val="center"/>
        </w:trPr>
        <w:tc>
          <w:tcPr>
            <w:tcW w:w="1567" w:type="dxa"/>
            <w:vAlign w:val="center"/>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Diplomski studij</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25,97%</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38,96%</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16,88%</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18,18%</w:t>
            </w:r>
          </w:p>
        </w:tc>
      </w:tr>
      <w:tr w:rsidR="00CE1313" w:rsidRPr="00370B40" w:rsidTr="00370B40">
        <w:trPr>
          <w:jc w:val="center"/>
        </w:trPr>
        <w:tc>
          <w:tcPr>
            <w:tcW w:w="1567" w:type="dxa"/>
            <w:vAlign w:val="center"/>
          </w:tcPr>
          <w:p w:rsidR="00CE1313" w:rsidRPr="00370B40" w:rsidRDefault="00CE1313" w:rsidP="008D12D1">
            <w:pPr>
              <w:pStyle w:val="Heading3"/>
              <w:rPr>
                <w:rFonts w:ascii="Times New Roman" w:hAnsi="Times New Roman"/>
                <w:color w:val="auto"/>
                <w:sz w:val="20"/>
                <w:szCs w:val="20"/>
              </w:rPr>
            </w:pPr>
            <w:r w:rsidRPr="00370B40">
              <w:rPr>
                <w:rFonts w:ascii="Times New Roman" w:hAnsi="Times New Roman"/>
                <w:color w:val="auto"/>
                <w:sz w:val="20"/>
                <w:szCs w:val="20"/>
              </w:rPr>
              <w:t>Poslijedipl.studij</w:t>
            </w:r>
          </w:p>
        </w:tc>
        <w:tc>
          <w:tcPr>
            <w:tcW w:w="1978" w:type="dxa"/>
            <w:tcBorders>
              <w:left w:val="nil"/>
            </w:tcBorders>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w:t>
            </w:r>
          </w:p>
        </w:tc>
        <w:tc>
          <w:tcPr>
            <w:tcW w:w="1134"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15,00%</w:t>
            </w:r>
          </w:p>
        </w:tc>
        <w:tc>
          <w:tcPr>
            <w:tcW w:w="1270"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50,00%</w:t>
            </w:r>
          </w:p>
        </w:tc>
        <w:tc>
          <w:tcPr>
            <w:tcW w:w="1696"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30,00%</w:t>
            </w:r>
          </w:p>
        </w:tc>
        <w:tc>
          <w:tcPr>
            <w:tcW w:w="991" w:type="dxa"/>
            <w:vAlign w:val="bottom"/>
          </w:tcPr>
          <w:p w:rsidR="00CE1313" w:rsidRPr="00370B40" w:rsidRDefault="00CE1313" w:rsidP="001D275B">
            <w:pPr>
              <w:pStyle w:val="Heading3"/>
              <w:rPr>
                <w:rFonts w:ascii="Times New Roman" w:hAnsi="Times New Roman"/>
                <w:color w:val="auto"/>
                <w:sz w:val="20"/>
                <w:szCs w:val="20"/>
              </w:rPr>
            </w:pPr>
            <w:r w:rsidRPr="00370B40">
              <w:rPr>
                <w:rFonts w:ascii="Times New Roman" w:hAnsi="Times New Roman"/>
                <w:color w:val="auto"/>
                <w:sz w:val="20"/>
                <w:szCs w:val="20"/>
              </w:rPr>
              <w:t>0,00%</w:t>
            </w:r>
          </w:p>
        </w:tc>
      </w:tr>
    </w:tbl>
    <w:p w:rsidR="00CE1313" w:rsidRDefault="00CE1313" w:rsidP="002F5E76">
      <w:pPr>
        <w:pStyle w:val="Caption"/>
        <w:keepNext/>
        <w:spacing w:after="0"/>
        <w:jc w:val="both"/>
        <w:rPr>
          <w:rFonts w:ascii="Times New Roman" w:hAnsi="Times New Roman"/>
          <w:b/>
          <w:i w:val="0"/>
          <w:color w:val="000000"/>
          <w:sz w:val="24"/>
        </w:rPr>
      </w:pPr>
    </w:p>
    <w:p w:rsidR="00CE1313" w:rsidRDefault="00CE1313" w:rsidP="001D275B">
      <w:pPr>
        <w:pStyle w:val="Caption"/>
        <w:keepNext/>
        <w:spacing w:after="0"/>
        <w:ind w:firstLine="720"/>
        <w:jc w:val="both"/>
        <w:rPr>
          <w:rFonts w:ascii="Times New Roman" w:hAnsi="Times New Roman"/>
          <w:i w:val="0"/>
          <w:color w:val="000000"/>
          <w:sz w:val="24"/>
          <w:szCs w:val="24"/>
        </w:rPr>
      </w:pPr>
      <w:r w:rsidRPr="0015206D">
        <w:rPr>
          <w:rFonts w:ascii="Times New Roman" w:hAnsi="Times New Roman"/>
          <w:i w:val="0"/>
          <w:color w:val="000000"/>
          <w:sz w:val="24"/>
          <w:szCs w:val="24"/>
        </w:rPr>
        <w:t>Na izjavu</w:t>
      </w:r>
      <w:r w:rsidRPr="0015206D">
        <w:rPr>
          <w:rFonts w:ascii="Times New Roman" w:hAnsi="Times New Roman"/>
          <w:color w:val="000000"/>
          <w:sz w:val="24"/>
          <w:szCs w:val="24"/>
        </w:rPr>
        <w:t xml:space="preserve"> „Osjećam se primjereno zaštićen/om uz postojeće mjere zaštite potrošača“</w:t>
      </w:r>
      <w:r>
        <w:rPr>
          <w:rFonts w:ascii="Times New Roman" w:hAnsi="Times New Roman"/>
          <w:i w:val="0"/>
          <w:color w:val="000000"/>
          <w:sz w:val="24"/>
          <w:szCs w:val="24"/>
        </w:rPr>
        <w:t xml:space="preserve"> (t</w:t>
      </w:r>
      <w:r w:rsidRPr="0015206D">
        <w:rPr>
          <w:rFonts w:ascii="Times New Roman" w:hAnsi="Times New Roman"/>
          <w:i w:val="0"/>
          <w:color w:val="000000"/>
          <w:sz w:val="24"/>
          <w:szCs w:val="24"/>
        </w:rPr>
        <w:t>ablica 18) 3,13% ispitanika se u potpunosti slaže, 24,85% se slaže, 41,82% se ne slaže, 19,35% uopće se ne slaže, a 10,86% ispitanika je odgovorilo „Ne znam“. Na temelju dobivenih podataka može se zaključiti da se značajan broj ispitanika svih dobnih skupina i razina obrazovanja se ne osjeća primjereno zaštićenima uz postojeće mjere zaštite potrošača.</w:t>
      </w:r>
    </w:p>
    <w:p w:rsidR="00CE1313" w:rsidRPr="00445E5A" w:rsidRDefault="00CE1313" w:rsidP="002F5E76">
      <w:pPr>
        <w:rPr>
          <w:lang w:val="hr-HR"/>
        </w:rPr>
      </w:pPr>
    </w:p>
    <w:p w:rsidR="00CE1313" w:rsidRPr="008D12D1" w:rsidRDefault="00CE1313" w:rsidP="008D12D1">
      <w:pPr>
        <w:pStyle w:val="Caption"/>
        <w:keepNext/>
        <w:spacing w:after="0"/>
        <w:jc w:val="both"/>
        <w:rPr>
          <w:rFonts w:ascii="Times New Roman" w:hAnsi="Times New Roman"/>
          <w:color w:val="000000"/>
          <w:sz w:val="22"/>
        </w:rPr>
      </w:pPr>
      <w:r w:rsidRPr="008D12D1">
        <w:rPr>
          <w:rFonts w:ascii="Times New Roman" w:hAnsi="Times New Roman"/>
          <w:color w:val="000000"/>
          <w:sz w:val="22"/>
        </w:rPr>
        <w:t>Tablica 18. Analitički prikaz izjave ispitanika „Osjećam se primjereno zaštićen/om uz postojeće mjere zaštite potrošača“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2"/>
        <w:gridCol w:w="2036"/>
        <w:gridCol w:w="1016"/>
        <w:gridCol w:w="1310"/>
        <w:gridCol w:w="1804"/>
        <w:gridCol w:w="954"/>
      </w:tblGrid>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p>
        </w:tc>
        <w:tc>
          <w:tcPr>
            <w:tcW w:w="1149" w:type="pct"/>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 potpunosti se slažem</w:t>
            </w:r>
          </w:p>
        </w:tc>
        <w:tc>
          <w:tcPr>
            <w:tcW w:w="573" w:type="pct"/>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Slažem se</w:t>
            </w:r>
          </w:p>
        </w:tc>
        <w:tc>
          <w:tcPr>
            <w:tcW w:w="739" w:type="pct"/>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slažem se</w:t>
            </w:r>
          </w:p>
        </w:tc>
        <w:tc>
          <w:tcPr>
            <w:tcW w:w="1018" w:type="pct"/>
            <w:shd w:val="clear" w:color="auto" w:fill="DBE5F1"/>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Uopće se ne slažem</w:t>
            </w:r>
          </w:p>
        </w:tc>
        <w:tc>
          <w:tcPr>
            <w:tcW w:w="538" w:type="pct"/>
            <w:shd w:val="clear" w:color="auto" w:fill="DBE5F1"/>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znam</w:t>
            </w:r>
          </w:p>
        </w:tc>
      </w:tr>
      <w:tr w:rsidR="00CE1313" w:rsidRPr="00370B40" w:rsidTr="00370B40">
        <w:trPr>
          <w:jc w:val="center"/>
        </w:trPr>
        <w:tc>
          <w:tcPr>
            <w:tcW w:w="983" w:type="pct"/>
            <w:vAlign w:val="center"/>
          </w:tcPr>
          <w:p w:rsidR="00CE1313" w:rsidRPr="00370B40" w:rsidRDefault="00CE1313" w:rsidP="001D275B">
            <w:pPr>
              <w:pStyle w:val="Heading3"/>
              <w:rPr>
                <w:b/>
                <w:color w:val="auto"/>
                <w:sz w:val="20"/>
                <w:szCs w:val="20"/>
              </w:rPr>
            </w:pPr>
            <w:r w:rsidRPr="00370B40">
              <w:rPr>
                <w:b/>
                <w:color w:val="auto"/>
                <w:sz w:val="20"/>
                <w:szCs w:val="20"/>
              </w:rPr>
              <w:t>Ukupno</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3,13%</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24,85%</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41,82%</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19,35%</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10,86%</w:t>
            </w:r>
          </w:p>
        </w:tc>
      </w:tr>
      <w:tr w:rsidR="00CE1313" w:rsidRPr="00370B40" w:rsidTr="00370B40">
        <w:trPr>
          <w:jc w:val="center"/>
        </w:trPr>
        <w:tc>
          <w:tcPr>
            <w:tcW w:w="983" w:type="pct"/>
            <w:tcBorders>
              <w:right w:val="nil"/>
            </w:tcBorders>
            <w:vAlign w:val="center"/>
          </w:tcPr>
          <w:p w:rsidR="00CE1313" w:rsidRPr="00370B40" w:rsidRDefault="00CE1313" w:rsidP="001D275B">
            <w:pPr>
              <w:pStyle w:val="Heading3"/>
              <w:rPr>
                <w:b/>
                <w:color w:val="auto"/>
                <w:sz w:val="20"/>
                <w:szCs w:val="20"/>
              </w:rPr>
            </w:pPr>
            <w:r w:rsidRPr="00370B40">
              <w:rPr>
                <w:b/>
                <w:color w:val="auto"/>
                <w:sz w:val="20"/>
                <w:szCs w:val="20"/>
              </w:rPr>
              <w:t>Spol</w:t>
            </w:r>
          </w:p>
        </w:tc>
        <w:tc>
          <w:tcPr>
            <w:tcW w:w="1149" w:type="pct"/>
            <w:tcBorders>
              <w:left w:val="nil"/>
              <w:right w:val="nil"/>
            </w:tcBorders>
            <w:vAlign w:val="center"/>
          </w:tcPr>
          <w:p w:rsidR="00CE1313" w:rsidRPr="00370B40" w:rsidRDefault="00CE1313" w:rsidP="001D275B">
            <w:pPr>
              <w:pStyle w:val="Heading3"/>
              <w:rPr>
                <w:color w:val="auto"/>
                <w:sz w:val="20"/>
                <w:szCs w:val="20"/>
              </w:rPr>
            </w:pPr>
          </w:p>
        </w:tc>
        <w:tc>
          <w:tcPr>
            <w:tcW w:w="573" w:type="pct"/>
            <w:tcBorders>
              <w:left w:val="nil"/>
              <w:right w:val="nil"/>
            </w:tcBorders>
            <w:vAlign w:val="center"/>
          </w:tcPr>
          <w:p w:rsidR="00CE1313" w:rsidRPr="00370B40" w:rsidRDefault="00CE1313" w:rsidP="001D275B">
            <w:pPr>
              <w:pStyle w:val="Heading3"/>
              <w:rPr>
                <w:color w:val="auto"/>
                <w:sz w:val="20"/>
                <w:szCs w:val="20"/>
              </w:rPr>
            </w:pPr>
          </w:p>
        </w:tc>
        <w:tc>
          <w:tcPr>
            <w:tcW w:w="739" w:type="pct"/>
            <w:tcBorders>
              <w:left w:val="nil"/>
              <w:right w:val="nil"/>
            </w:tcBorders>
            <w:vAlign w:val="center"/>
          </w:tcPr>
          <w:p w:rsidR="00CE1313" w:rsidRPr="00370B40" w:rsidRDefault="00CE1313" w:rsidP="001D275B">
            <w:pPr>
              <w:pStyle w:val="Heading3"/>
              <w:rPr>
                <w:color w:val="auto"/>
                <w:sz w:val="20"/>
                <w:szCs w:val="20"/>
              </w:rPr>
            </w:pPr>
          </w:p>
        </w:tc>
        <w:tc>
          <w:tcPr>
            <w:tcW w:w="1018" w:type="pct"/>
            <w:tcBorders>
              <w:left w:val="nil"/>
              <w:right w:val="nil"/>
            </w:tcBorders>
          </w:tcPr>
          <w:p w:rsidR="00CE1313" w:rsidRPr="00370B40" w:rsidRDefault="00CE1313" w:rsidP="001D275B">
            <w:pPr>
              <w:pStyle w:val="Heading3"/>
              <w:rPr>
                <w:color w:val="auto"/>
                <w:sz w:val="20"/>
                <w:szCs w:val="20"/>
              </w:rPr>
            </w:pPr>
          </w:p>
        </w:tc>
        <w:tc>
          <w:tcPr>
            <w:tcW w:w="538" w:type="pct"/>
            <w:tcBorders>
              <w:left w:val="nil"/>
            </w:tcBorders>
          </w:tcPr>
          <w:p w:rsidR="00CE1313" w:rsidRPr="00370B40" w:rsidRDefault="00CE1313" w:rsidP="001D275B">
            <w:pPr>
              <w:pStyle w:val="Heading3"/>
              <w:rPr>
                <w:color w:val="auto"/>
                <w:sz w:val="20"/>
                <w:szCs w:val="20"/>
              </w:rPr>
            </w:pP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Muško</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3,53%</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16,47%</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40,00%</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23,53%</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16,47%</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Žensko</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3,07%</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26,06%</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42,08%</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18,74%</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10,05%</w:t>
            </w:r>
          </w:p>
        </w:tc>
      </w:tr>
      <w:tr w:rsidR="00CE1313" w:rsidRPr="00370B40" w:rsidTr="00370B40">
        <w:trPr>
          <w:jc w:val="center"/>
        </w:trPr>
        <w:tc>
          <w:tcPr>
            <w:tcW w:w="983" w:type="pct"/>
            <w:tcBorders>
              <w:right w:val="nil"/>
            </w:tcBorders>
            <w:vAlign w:val="center"/>
          </w:tcPr>
          <w:p w:rsidR="00CE1313" w:rsidRPr="00370B40" w:rsidRDefault="00CE1313" w:rsidP="001D275B">
            <w:pPr>
              <w:pStyle w:val="Heading3"/>
              <w:rPr>
                <w:b/>
                <w:color w:val="auto"/>
                <w:sz w:val="20"/>
                <w:szCs w:val="20"/>
              </w:rPr>
            </w:pPr>
            <w:r w:rsidRPr="00370B40">
              <w:rPr>
                <w:b/>
                <w:color w:val="auto"/>
                <w:sz w:val="20"/>
                <w:szCs w:val="20"/>
              </w:rPr>
              <w:t>Dob</w:t>
            </w:r>
          </w:p>
        </w:tc>
        <w:tc>
          <w:tcPr>
            <w:tcW w:w="1149" w:type="pct"/>
            <w:tcBorders>
              <w:left w:val="nil"/>
              <w:right w:val="nil"/>
            </w:tcBorders>
            <w:vAlign w:val="center"/>
          </w:tcPr>
          <w:p w:rsidR="00CE1313" w:rsidRPr="00370B40" w:rsidRDefault="00CE1313" w:rsidP="001D275B">
            <w:pPr>
              <w:pStyle w:val="Heading3"/>
              <w:rPr>
                <w:color w:val="auto"/>
                <w:sz w:val="20"/>
                <w:szCs w:val="20"/>
              </w:rPr>
            </w:pPr>
          </w:p>
        </w:tc>
        <w:tc>
          <w:tcPr>
            <w:tcW w:w="573" w:type="pct"/>
            <w:tcBorders>
              <w:left w:val="nil"/>
              <w:right w:val="nil"/>
            </w:tcBorders>
            <w:vAlign w:val="center"/>
          </w:tcPr>
          <w:p w:rsidR="00CE1313" w:rsidRPr="00370B40" w:rsidRDefault="00CE1313" w:rsidP="001D275B">
            <w:pPr>
              <w:pStyle w:val="Heading3"/>
              <w:rPr>
                <w:color w:val="auto"/>
                <w:sz w:val="20"/>
                <w:szCs w:val="20"/>
              </w:rPr>
            </w:pPr>
          </w:p>
        </w:tc>
        <w:tc>
          <w:tcPr>
            <w:tcW w:w="739" w:type="pct"/>
            <w:tcBorders>
              <w:left w:val="nil"/>
              <w:right w:val="nil"/>
            </w:tcBorders>
            <w:vAlign w:val="center"/>
          </w:tcPr>
          <w:p w:rsidR="00CE1313" w:rsidRPr="00370B40" w:rsidRDefault="00CE1313" w:rsidP="001D275B">
            <w:pPr>
              <w:pStyle w:val="Heading3"/>
              <w:rPr>
                <w:color w:val="auto"/>
                <w:sz w:val="20"/>
                <w:szCs w:val="20"/>
              </w:rPr>
            </w:pPr>
          </w:p>
        </w:tc>
        <w:tc>
          <w:tcPr>
            <w:tcW w:w="1018" w:type="pct"/>
            <w:tcBorders>
              <w:left w:val="nil"/>
              <w:right w:val="nil"/>
            </w:tcBorders>
          </w:tcPr>
          <w:p w:rsidR="00CE1313" w:rsidRPr="00370B40" w:rsidRDefault="00CE1313" w:rsidP="001D275B">
            <w:pPr>
              <w:pStyle w:val="Heading3"/>
              <w:rPr>
                <w:color w:val="auto"/>
                <w:sz w:val="20"/>
                <w:szCs w:val="20"/>
              </w:rPr>
            </w:pPr>
          </w:p>
        </w:tc>
        <w:tc>
          <w:tcPr>
            <w:tcW w:w="538" w:type="pct"/>
            <w:tcBorders>
              <w:left w:val="nil"/>
            </w:tcBorders>
          </w:tcPr>
          <w:p w:rsidR="00CE1313" w:rsidRPr="00370B40" w:rsidRDefault="00CE1313" w:rsidP="001D275B">
            <w:pPr>
              <w:pStyle w:val="Heading3"/>
              <w:rPr>
                <w:color w:val="auto"/>
                <w:sz w:val="20"/>
                <w:szCs w:val="20"/>
              </w:rPr>
            </w:pP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18 – 25</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2,75%</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33,03%</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33,03%</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12,84%</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18,35%</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26 – 35</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2,87%</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20,90%</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49,18%</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19,67%</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7,38%</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36 – 45</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1,50%</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19,55%</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48,12%</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25,56%</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5,26%</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46 – 55</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11,36%</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27,27%</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31,82%</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20,45%</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9,09%</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&gt;56</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3,03%</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18,18%</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33,33%</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33,33%</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12,12%</w:t>
            </w:r>
          </w:p>
        </w:tc>
      </w:tr>
      <w:tr w:rsidR="00CE1313" w:rsidRPr="00370B40" w:rsidTr="00370B40">
        <w:trPr>
          <w:jc w:val="center"/>
        </w:trPr>
        <w:tc>
          <w:tcPr>
            <w:tcW w:w="983" w:type="pct"/>
            <w:tcBorders>
              <w:right w:val="nil"/>
            </w:tcBorders>
            <w:vAlign w:val="center"/>
          </w:tcPr>
          <w:p w:rsidR="00CE1313" w:rsidRPr="00370B40" w:rsidRDefault="00CE1313" w:rsidP="008D12D1">
            <w:pPr>
              <w:pStyle w:val="Heading3"/>
              <w:rPr>
                <w:b/>
                <w:color w:val="auto"/>
                <w:sz w:val="20"/>
                <w:szCs w:val="20"/>
              </w:rPr>
            </w:pPr>
            <w:r w:rsidRPr="00370B40">
              <w:rPr>
                <w:b/>
                <w:color w:val="auto"/>
                <w:sz w:val="20"/>
                <w:szCs w:val="20"/>
              </w:rPr>
              <w:t>Razina obrazov.</w:t>
            </w:r>
          </w:p>
        </w:tc>
        <w:tc>
          <w:tcPr>
            <w:tcW w:w="1149" w:type="pct"/>
            <w:tcBorders>
              <w:left w:val="nil"/>
              <w:right w:val="nil"/>
            </w:tcBorders>
            <w:vAlign w:val="center"/>
          </w:tcPr>
          <w:p w:rsidR="00CE1313" w:rsidRPr="00370B40" w:rsidRDefault="00CE1313" w:rsidP="001D275B">
            <w:pPr>
              <w:pStyle w:val="Heading3"/>
              <w:rPr>
                <w:color w:val="auto"/>
                <w:sz w:val="20"/>
                <w:szCs w:val="20"/>
              </w:rPr>
            </w:pPr>
          </w:p>
        </w:tc>
        <w:tc>
          <w:tcPr>
            <w:tcW w:w="573" w:type="pct"/>
            <w:tcBorders>
              <w:left w:val="nil"/>
              <w:right w:val="nil"/>
            </w:tcBorders>
            <w:vAlign w:val="center"/>
          </w:tcPr>
          <w:p w:rsidR="00CE1313" w:rsidRPr="00370B40" w:rsidRDefault="00CE1313" w:rsidP="001D275B">
            <w:pPr>
              <w:pStyle w:val="Heading3"/>
              <w:rPr>
                <w:color w:val="auto"/>
                <w:sz w:val="20"/>
                <w:szCs w:val="20"/>
              </w:rPr>
            </w:pPr>
          </w:p>
        </w:tc>
        <w:tc>
          <w:tcPr>
            <w:tcW w:w="739" w:type="pct"/>
            <w:tcBorders>
              <w:left w:val="nil"/>
              <w:right w:val="nil"/>
            </w:tcBorders>
            <w:vAlign w:val="center"/>
          </w:tcPr>
          <w:p w:rsidR="00CE1313" w:rsidRPr="00370B40" w:rsidRDefault="00CE1313" w:rsidP="001D275B">
            <w:pPr>
              <w:pStyle w:val="Heading3"/>
              <w:rPr>
                <w:color w:val="auto"/>
                <w:sz w:val="20"/>
                <w:szCs w:val="20"/>
              </w:rPr>
            </w:pPr>
          </w:p>
        </w:tc>
        <w:tc>
          <w:tcPr>
            <w:tcW w:w="1018" w:type="pct"/>
            <w:tcBorders>
              <w:left w:val="nil"/>
              <w:right w:val="nil"/>
            </w:tcBorders>
          </w:tcPr>
          <w:p w:rsidR="00CE1313" w:rsidRPr="00370B40" w:rsidRDefault="00CE1313" w:rsidP="001D275B">
            <w:pPr>
              <w:pStyle w:val="Heading3"/>
              <w:rPr>
                <w:color w:val="auto"/>
                <w:sz w:val="20"/>
                <w:szCs w:val="20"/>
              </w:rPr>
            </w:pPr>
          </w:p>
        </w:tc>
        <w:tc>
          <w:tcPr>
            <w:tcW w:w="538" w:type="pct"/>
            <w:tcBorders>
              <w:left w:val="nil"/>
            </w:tcBorders>
          </w:tcPr>
          <w:p w:rsidR="00CE1313" w:rsidRPr="00370B40" w:rsidRDefault="00CE1313" w:rsidP="001D275B">
            <w:pPr>
              <w:pStyle w:val="Heading3"/>
              <w:rPr>
                <w:color w:val="auto"/>
                <w:sz w:val="20"/>
                <w:szCs w:val="20"/>
              </w:rPr>
            </w:pP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Osnovna škola</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8,33%</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8,33%</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25,00%</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58,33%</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0,00%</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SSS</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2,99%</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31,20%</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35,04%</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18,80%</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11,97%</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VŠS</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6,25%</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27,08%</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41,67%</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16,67%</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8,33%</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VSS</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2,52%</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11,32%</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62,89%</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16,35%</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6,92%</w:t>
            </w:r>
          </w:p>
        </w:tc>
      </w:tr>
      <w:tr w:rsidR="00CE1313" w:rsidRPr="00370B40" w:rsidTr="00370B40">
        <w:trPr>
          <w:jc w:val="center"/>
        </w:trPr>
        <w:tc>
          <w:tcPr>
            <w:tcW w:w="983" w:type="pct"/>
            <w:vAlign w:val="center"/>
          </w:tcPr>
          <w:p w:rsidR="00CE1313" w:rsidRPr="00370B40" w:rsidRDefault="00CE1313" w:rsidP="002F0B9C">
            <w:pPr>
              <w:pStyle w:val="Heading3"/>
              <w:rPr>
                <w:color w:val="auto"/>
                <w:sz w:val="20"/>
                <w:szCs w:val="20"/>
              </w:rPr>
            </w:pPr>
            <w:r w:rsidRPr="00370B40">
              <w:rPr>
                <w:color w:val="auto"/>
                <w:sz w:val="20"/>
                <w:szCs w:val="20"/>
              </w:rPr>
              <w:t>Preddipl. studij</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2,46%</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30,33%</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31,97%</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22,13%</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13,11%</w:t>
            </w:r>
          </w:p>
        </w:tc>
      </w:tr>
      <w:tr w:rsidR="00CE1313" w:rsidRPr="00370B40" w:rsidTr="00370B40">
        <w:trPr>
          <w:jc w:val="center"/>
        </w:trPr>
        <w:tc>
          <w:tcPr>
            <w:tcW w:w="983" w:type="pct"/>
            <w:vAlign w:val="center"/>
          </w:tcPr>
          <w:p w:rsidR="00CE1313" w:rsidRPr="00370B40" w:rsidRDefault="00CE1313" w:rsidP="001D275B">
            <w:pPr>
              <w:pStyle w:val="Heading3"/>
              <w:rPr>
                <w:color w:val="auto"/>
                <w:sz w:val="20"/>
                <w:szCs w:val="20"/>
              </w:rPr>
            </w:pPr>
            <w:r w:rsidRPr="00370B40">
              <w:rPr>
                <w:color w:val="auto"/>
                <w:sz w:val="20"/>
                <w:szCs w:val="20"/>
              </w:rPr>
              <w:t>Diplomski studij</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3,90%</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24,68%</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37,66%</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15,58%</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18,18%</w:t>
            </w:r>
          </w:p>
        </w:tc>
      </w:tr>
      <w:tr w:rsidR="00CE1313" w:rsidRPr="00370B40" w:rsidTr="00370B40">
        <w:trPr>
          <w:jc w:val="center"/>
        </w:trPr>
        <w:tc>
          <w:tcPr>
            <w:tcW w:w="983" w:type="pct"/>
            <w:vAlign w:val="center"/>
          </w:tcPr>
          <w:p w:rsidR="00CE1313" w:rsidRPr="00370B40" w:rsidRDefault="00CE1313" w:rsidP="008D12D1">
            <w:pPr>
              <w:pStyle w:val="Heading3"/>
              <w:rPr>
                <w:color w:val="auto"/>
                <w:sz w:val="20"/>
                <w:szCs w:val="20"/>
              </w:rPr>
            </w:pPr>
            <w:r w:rsidRPr="00370B40">
              <w:rPr>
                <w:color w:val="auto"/>
                <w:sz w:val="20"/>
                <w:szCs w:val="20"/>
              </w:rPr>
              <w:t>Poslijedipl. studij</w:t>
            </w:r>
          </w:p>
        </w:tc>
        <w:tc>
          <w:tcPr>
            <w:tcW w:w="1149" w:type="pct"/>
            <w:tcBorders>
              <w:left w:val="nil"/>
            </w:tcBorders>
            <w:vAlign w:val="bottom"/>
          </w:tcPr>
          <w:p w:rsidR="00CE1313" w:rsidRPr="00370B40" w:rsidRDefault="00CE1313" w:rsidP="001D275B">
            <w:pPr>
              <w:pStyle w:val="Heading3"/>
              <w:rPr>
                <w:color w:val="auto"/>
                <w:sz w:val="20"/>
                <w:szCs w:val="20"/>
              </w:rPr>
            </w:pPr>
            <w:r w:rsidRPr="00370B40">
              <w:rPr>
                <w:color w:val="auto"/>
                <w:sz w:val="20"/>
                <w:szCs w:val="20"/>
              </w:rPr>
              <w:t>0,00%</w:t>
            </w:r>
          </w:p>
        </w:tc>
        <w:tc>
          <w:tcPr>
            <w:tcW w:w="573" w:type="pct"/>
            <w:vAlign w:val="bottom"/>
          </w:tcPr>
          <w:p w:rsidR="00CE1313" w:rsidRPr="00370B40" w:rsidRDefault="00CE1313" w:rsidP="001D275B">
            <w:pPr>
              <w:pStyle w:val="Heading3"/>
              <w:rPr>
                <w:color w:val="auto"/>
                <w:sz w:val="20"/>
                <w:szCs w:val="20"/>
              </w:rPr>
            </w:pPr>
            <w:r w:rsidRPr="00370B40">
              <w:rPr>
                <w:color w:val="auto"/>
                <w:sz w:val="20"/>
                <w:szCs w:val="20"/>
              </w:rPr>
              <w:t>30,00%</w:t>
            </w:r>
          </w:p>
        </w:tc>
        <w:tc>
          <w:tcPr>
            <w:tcW w:w="739" w:type="pct"/>
            <w:vAlign w:val="bottom"/>
          </w:tcPr>
          <w:p w:rsidR="00CE1313" w:rsidRPr="00370B40" w:rsidRDefault="00CE1313" w:rsidP="001D275B">
            <w:pPr>
              <w:pStyle w:val="Heading3"/>
              <w:rPr>
                <w:color w:val="auto"/>
                <w:sz w:val="20"/>
                <w:szCs w:val="20"/>
              </w:rPr>
            </w:pPr>
            <w:r w:rsidRPr="00370B40">
              <w:rPr>
                <w:color w:val="auto"/>
                <w:sz w:val="20"/>
                <w:szCs w:val="20"/>
              </w:rPr>
              <w:t>40,00%</w:t>
            </w:r>
          </w:p>
        </w:tc>
        <w:tc>
          <w:tcPr>
            <w:tcW w:w="1018" w:type="pct"/>
            <w:vAlign w:val="bottom"/>
          </w:tcPr>
          <w:p w:rsidR="00CE1313" w:rsidRPr="00370B40" w:rsidRDefault="00CE1313" w:rsidP="001D275B">
            <w:pPr>
              <w:pStyle w:val="Heading3"/>
              <w:rPr>
                <w:color w:val="auto"/>
                <w:sz w:val="20"/>
                <w:szCs w:val="20"/>
              </w:rPr>
            </w:pPr>
            <w:r w:rsidRPr="00370B40">
              <w:rPr>
                <w:color w:val="auto"/>
                <w:sz w:val="20"/>
                <w:szCs w:val="20"/>
              </w:rPr>
              <w:t>30,00%</w:t>
            </w:r>
          </w:p>
        </w:tc>
        <w:tc>
          <w:tcPr>
            <w:tcW w:w="538" w:type="pct"/>
            <w:vAlign w:val="bottom"/>
          </w:tcPr>
          <w:p w:rsidR="00CE1313" w:rsidRPr="00370B40" w:rsidRDefault="00CE1313" w:rsidP="001D275B">
            <w:pPr>
              <w:pStyle w:val="Heading3"/>
              <w:rPr>
                <w:color w:val="auto"/>
                <w:sz w:val="20"/>
                <w:szCs w:val="20"/>
              </w:rPr>
            </w:pPr>
            <w:r w:rsidRPr="00370B40">
              <w:rPr>
                <w:color w:val="auto"/>
                <w:sz w:val="20"/>
                <w:szCs w:val="20"/>
              </w:rPr>
              <w:t>0,00%</w:t>
            </w:r>
          </w:p>
        </w:tc>
      </w:tr>
    </w:tbl>
    <w:p w:rsidR="00CE1313" w:rsidRDefault="00CE1313" w:rsidP="001D275B">
      <w:pPr>
        <w:ind w:firstLine="720"/>
        <w:rPr>
          <w:color w:val="000000"/>
        </w:rPr>
      </w:pPr>
      <w:r w:rsidRPr="0015206D">
        <w:rPr>
          <w:color w:val="000000"/>
        </w:rPr>
        <w:t>Na izjavu „</w:t>
      </w:r>
      <w:r w:rsidRPr="0015206D">
        <w:rPr>
          <w:i/>
          <w:color w:val="000000"/>
        </w:rPr>
        <w:t>Vjerujem više domaćim nego uvoznim proizvodima</w:t>
      </w:r>
      <w:r w:rsidRPr="0015206D">
        <w:rPr>
          <w:color w:val="000000"/>
        </w:rPr>
        <w:t>“ (Tablica 19) 34,52% ispitanika se u potpunosti slaže, 35,57% se slaže, 19,05% se ne slaže, 5,21% uopće se ne slaže, a 5,65% ispitanika je odgovorilo „Ne znam“. Na temelju dobivenih podataka može se zaključiti da značajan broj ispitanika svih dobnih skupina i razina obrazovanja više vjeruje domaćim nego uvoznim proizvodima.</w:t>
      </w:r>
    </w:p>
    <w:p w:rsidR="00CE1313" w:rsidRDefault="00CE1313" w:rsidP="002F5E76">
      <w:pPr>
        <w:rPr>
          <w:color w:val="000000"/>
        </w:rPr>
      </w:pPr>
    </w:p>
    <w:p w:rsidR="00CE1313" w:rsidRPr="008D12D1" w:rsidRDefault="00CE1313" w:rsidP="008D12D1">
      <w:pPr>
        <w:pStyle w:val="Caption"/>
        <w:keepNext/>
        <w:spacing w:after="0"/>
        <w:rPr>
          <w:rFonts w:ascii="Times New Roman" w:hAnsi="Times New Roman"/>
          <w:color w:val="000000"/>
          <w:sz w:val="22"/>
        </w:rPr>
      </w:pPr>
      <w:r w:rsidRPr="008D12D1">
        <w:rPr>
          <w:rFonts w:ascii="Times New Roman" w:hAnsi="Times New Roman"/>
          <w:color w:val="000000"/>
          <w:sz w:val="22"/>
        </w:rPr>
        <w:t>Tablica 19.Analitički prikaz izjave ispitanika „Vjerujem više domaćim nego uvoznim proizvodima“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1"/>
        <w:gridCol w:w="2038"/>
        <w:gridCol w:w="1017"/>
        <w:gridCol w:w="1308"/>
        <w:gridCol w:w="1803"/>
        <w:gridCol w:w="955"/>
      </w:tblGrid>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p>
        </w:tc>
        <w:tc>
          <w:tcPr>
            <w:tcW w:w="1150" w:type="pct"/>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 potpunosti se slažem</w:t>
            </w:r>
          </w:p>
        </w:tc>
        <w:tc>
          <w:tcPr>
            <w:tcW w:w="574" w:type="pct"/>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Slažem se</w:t>
            </w:r>
          </w:p>
        </w:tc>
        <w:tc>
          <w:tcPr>
            <w:tcW w:w="738" w:type="pct"/>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slažem se</w:t>
            </w:r>
          </w:p>
        </w:tc>
        <w:tc>
          <w:tcPr>
            <w:tcW w:w="1017" w:type="pct"/>
            <w:shd w:val="clear" w:color="auto" w:fill="DBE5F1"/>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Uopće se ne slažem</w:t>
            </w:r>
          </w:p>
        </w:tc>
        <w:tc>
          <w:tcPr>
            <w:tcW w:w="539" w:type="pct"/>
            <w:shd w:val="clear" w:color="auto" w:fill="DBE5F1"/>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znam</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34,52%</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35,57%</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19,05%</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5,21%</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5,65%</w:t>
            </w:r>
          </w:p>
        </w:tc>
      </w:tr>
      <w:tr w:rsidR="00CE1313" w:rsidRPr="00370B40" w:rsidTr="00370B40">
        <w:trPr>
          <w:jc w:val="center"/>
        </w:trPr>
        <w:tc>
          <w:tcPr>
            <w:tcW w:w="982" w:type="pct"/>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Spol</w:t>
            </w:r>
          </w:p>
        </w:tc>
        <w:tc>
          <w:tcPr>
            <w:tcW w:w="1150"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74"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73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17" w:type="pct"/>
            <w:tcBorders>
              <w:left w:val="nil"/>
              <w:right w:val="nil"/>
            </w:tcBorders>
          </w:tcPr>
          <w:p w:rsidR="00CE1313" w:rsidRPr="00370B40" w:rsidRDefault="00CE1313" w:rsidP="001D275B">
            <w:pPr>
              <w:pStyle w:val="Heading3"/>
              <w:rPr>
                <w:rFonts w:ascii="Times New Roman" w:hAnsi="Times New Roman"/>
                <w:color w:val="auto"/>
                <w:sz w:val="18"/>
                <w:szCs w:val="18"/>
              </w:rPr>
            </w:pPr>
          </w:p>
        </w:tc>
        <w:tc>
          <w:tcPr>
            <w:tcW w:w="539" w:type="pct"/>
            <w:tcBorders>
              <w:left w:val="nil"/>
            </w:tcBorders>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28,24%</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34,12%</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12,94%</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12,94%</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11,76%</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35,43%</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35,78%</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19,93%</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4,09%</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4,77%</w:t>
            </w:r>
          </w:p>
        </w:tc>
      </w:tr>
      <w:tr w:rsidR="00CE1313" w:rsidRPr="00370B40" w:rsidTr="00370B40">
        <w:trPr>
          <w:jc w:val="center"/>
        </w:trPr>
        <w:tc>
          <w:tcPr>
            <w:tcW w:w="982" w:type="pct"/>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Dob</w:t>
            </w:r>
          </w:p>
        </w:tc>
        <w:tc>
          <w:tcPr>
            <w:tcW w:w="1150"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74"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73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17" w:type="pct"/>
            <w:tcBorders>
              <w:left w:val="nil"/>
              <w:right w:val="nil"/>
            </w:tcBorders>
          </w:tcPr>
          <w:p w:rsidR="00CE1313" w:rsidRPr="00370B40" w:rsidRDefault="00CE1313" w:rsidP="001D275B">
            <w:pPr>
              <w:pStyle w:val="Heading3"/>
              <w:rPr>
                <w:rFonts w:ascii="Times New Roman" w:hAnsi="Times New Roman"/>
                <w:color w:val="auto"/>
                <w:sz w:val="18"/>
                <w:szCs w:val="18"/>
              </w:rPr>
            </w:pPr>
          </w:p>
        </w:tc>
        <w:tc>
          <w:tcPr>
            <w:tcW w:w="539" w:type="pct"/>
            <w:tcBorders>
              <w:left w:val="nil"/>
            </w:tcBorders>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32,57%</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40,37%</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14,68%</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5,05%</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7,34%</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36,89%</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29,51%</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27,05%</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3,69%</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2,87%</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33,83%</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39,10%</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18,80%</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3,01%</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5,26%</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38,64%</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40,91%</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4,55%</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6,82%</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27,27%</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27,27%</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24,24%</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12,12%</w:t>
            </w:r>
          </w:p>
        </w:tc>
      </w:tr>
      <w:tr w:rsidR="00CE1313" w:rsidRPr="00370B40" w:rsidTr="00370B40">
        <w:trPr>
          <w:jc w:val="center"/>
        </w:trPr>
        <w:tc>
          <w:tcPr>
            <w:tcW w:w="982" w:type="pct"/>
            <w:tcBorders>
              <w:right w:val="nil"/>
            </w:tcBorders>
            <w:vAlign w:val="center"/>
          </w:tcPr>
          <w:p w:rsidR="00CE1313" w:rsidRPr="00370B40" w:rsidRDefault="00CE1313" w:rsidP="008D12D1">
            <w:pPr>
              <w:pStyle w:val="Heading3"/>
              <w:rPr>
                <w:rFonts w:ascii="Times New Roman" w:hAnsi="Times New Roman"/>
                <w:b/>
                <w:color w:val="auto"/>
                <w:sz w:val="18"/>
                <w:szCs w:val="18"/>
              </w:rPr>
            </w:pPr>
            <w:r w:rsidRPr="00370B40">
              <w:rPr>
                <w:rFonts w:ascii="Times New Roman" w:hAnsi="Times New Roman"/>
                <w:b/>
                <w:color w:val="auto"/>
                <w:sz w:val="18"/>
                <w:szCs w:val="18"/>
              </w:rPr>
              <w:t>Razina obrazov.</w:t>
            </w:r>
          </w:p>
        </w:tc>
        <w:tc>
          <w:tcPr>
            <w:tcW w:w="1150"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574"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738" w:type="pct"/>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1017" w:type="pct"/>
            <w:tcBorders>
              <w:left w:val="nil"/>
              <w:right w:val="nil"/>
            </w:tcBorders>
          </w:tcPr>
          <w:p w:rsidR="00CE1313" w:rsidRPr="00370B40" w:rsidRDefault="00CE1313" w:rsidP="001D275B">
            <w:pPr>
              <w:pStyle w:val="Heading3"/>
              <w:rPr>
                <w:rFonts w:ascii="Times New Roman" w:hAnsi="Times New Roman"/>
                <w:color w:val="auto"/>
                <w:sz w:val="18"/>
                <w:szCs w:val="18"/>
              </w:rPr>
            </w:pPr>
          </w:p>
        </w:tc>
        <w:tc>
          <w:tcPr>
            <w:tcW w:w="539" w:type="pct"/>
            <w:tcBorders>
              <w:left w:val="nil"/>
            </w:tcBorders>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Osnovna škola</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36,36%</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35,06%</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14,29%</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7,79%</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6,49%</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33,33%</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25,00%</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15,00%</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31,15%</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36,89%</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18,03%</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6,56%</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7,38%</w:t>
            </w:r>
          </w:p>
        </w:tc>
      </w:tr>
      <w:tr w:rsidR="00CE1313" w:rsidRPr="00370B40" w:rsidTr="00370B40">
        <w:trPr>
          <w:jc w:val="center"/>
        </w:trPr>
        <w:tc>
          <w:tcPr>
            <w:tcW w:w="982" w:type="pct"/>
            <w:vAlign w:val="center"/>
          </w:tcPr>
          <w:p w:rsidR="00CE1313" w:rsidRPr="00370B40" w:rsidRDefault="00CE1313" w:rsidP="002F0B9C">
            <w:pPr>
              <w:pStyle w:val="Heading3"/>
              <w:rPr>
                <w:rFonts w:ascii="Times New Roman" w:hAnsi="Times New Roman"/>
                <w:color w:val="auto"/>
                <w:sz w:val="18"/>
                <w:szCs w:val="18"/>
              </w:rPr>
            </w:pPr>
            <w:r w:rsidRPr="00370B40">
              <w:rPr>
                <w:rFonts w:ascii="Times New Roman" w:hAnsi="Times New Roman"/>
                <w:color w:val="auto"/>
                <w:sz w:val="18"/>
                <w:szCs w:val="18"/>
              </w:rPr>
              <w:t>Preddipl. studij</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44,02%</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36,32%</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9,40%</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3,42%</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6,84%</w:t>
            </w:r>
          </w:p>
        </w:tc>
      </w:tr>
      <w:tr w:rsidR="00CE1313" w:rsidRPr="00370B40" w:rsidTr="00370B40">
        <w:trPr>
          <w:jc w:val="center"/>
        </w:trPr>
        <w:tc>
          <w:tcPr>
            <w:tcW w:w="982" w:type="pct"/>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Diplomski studij</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23,27%</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31,45%</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40,25%</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2,52%</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2,52%</w:t>
            </w:r>
          </w:p>
        </w:tc>
      </w:tr>
      <w:tr w:rsidR="00CE1313" w:rsidRPr="00370B40" w:rsidTr="00370B40">
        <w:trPr>
          <w:jc w:val="center"/>
        </w:trPr>
        <w:tc>
          <w:tcPr>
            <w:tcW w:w="982" w:type="pct"/>
            <w:vAlign w:val="center"/>
          </w:tcPr>
          <w:p w:rsidR="00CE1313" w:rsidRPr="00370B40" w:rsidRDefault="00CE1313" w:rsidP="002F0B9C">
            <w:pPr>
              <w:pStyle w:val="Heading3"/>
              <w:rPr>
                <w:rFonts w:ascii="Times New Roman" w:hAnsi="Times New Roman"/>
                <w:color w:val="auto"/>
                <w:sz w:val="18"/>
                <w:szCs w:val="18"/>
              </w:rPr>
            </w:pPr>
            <w:r w:rsidRPr="00370B40">
              <w:rPr>
                <w:rFonts w:ascii="Times New Roman" w:hAnsi="Times New Roman"/>
                <w:color w:val="auto"/>
                <w:sz w:val="18"/>
                <w:szCs w:val="18"/>
              </w:rPr>
              <w:t>Poslijedipl. studij</w:t>
            </w:r>
          </w:p>
        </w:tc>
        <w:tc>
          <w:tcPr>
            <w:tcW w:w="1150" w:type="pct"/>
            <w:tcBorders>
              <w:left w:val="nil"/>
            </w:tcBorders>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41,67%</w:t>
            </w:r>
          </w:p>
        </w:tc>
        <w:tc>
          <w:tcPr>
            <w:tcW w:w="574"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43,75%</w:t>
            </w:r>
          </w:p>
        </w:tc>
        <w:tc>
          <w:tcPr>
            <w:tcW w:w="738"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6,25%</w:t>
            </w:r>
          </w:p>
        </w:tc>
        <w:tc>
          <w:tcPr>
            <w:tcW w:w="1017"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539" w:type="pct"/>
            <w:vAlign w:val="bottom"/>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r>
    </w:tbl>
    <w:p w:rsidR="00CE1313" w:rsidRDefault="00CE1313" w:rsidP="001D275B">
      <w:pPr>
        <w:ind w:firstLine="720"/>
        <w:rPr>
          <w:color w:val="000000"/>
        </w:rPr>
      </w:pPr>
      <w:r w:rsidRPr="0015206D">
        <w:rPr>
          <w:color w:val="000000"/>
        </w:rPr>
        <w:t>Na izjavu „</w:t>
      </w:r>
      <w:r w:rsidRPr="0015206D">
        <w:rPr>
          <w:i/>
          <w:color w:val="000000"/>
        </w:rPr>
        <w:t>Smatram da hrvatski potrošači uživaju ista prava kao i potrošači u EU</w:t>
      </w:r>
      <w:r>
        <w:rPr>
          <w:color w:val="000000"/>
        </w:rPr>
        <w:t>“ (t</w:t>
      </w:r>
      <w:r w:rsidRPr="0015206D">
        <w:rPr>
          <w:color w:val="000000"/>
        </w:rPr>
        <w:t xml:space="preserve">ablica 20) 4,76% ispitanika se u potpunosti slaže, 11,76% se slaže, 36,16% se ne slaže, 29,76% uopće se ne slaže, a 17,56% ispitanika je odgovorilo „Ne znam“. Iz dobivenih podataka može se doći do zaključka da značajan broj ispitanika svih dobnih skupina i razina obrazovanja smatra da hrvatski potrošači ne uživaju ista prava kao i potrošači u </w:t>
      </w:r>
      <w:r w:rsidRPr="0015206D">
        <w:rPr>
          <w:i/>
          <w:color w:val="000000"/>
        </w:rPr>
        <w:t>EU</w:t>
      </w:r>
      <w:r w:rsidRPr="0015206D">
        <w:rPr>
          <w:color w:val="000000"/>
        </w:rPr>
        <w:t>.</w:t>
      </w:r>
    </w:p>
    <w:p w:rsidR="00CE1313" w:rsidRDefault="00CE1313" w:rsidP="002F5E76">
      <w:pPr>
        <w:rPr>
          <w:color w:val="000000"/>
        </w:rPr>
      </w:pPr>
    </w:p>
    <w:p w:rsidR="00CE1313" w:rsidRPr="008D12D1" w:rsidRDefault="00CE1313" w:rsidP="008D12D1">
      <w:pPr>
        <w:pStyle w:val="Caption"/>
        <w:keepNext/>
        <w:spacing w:after="0"/>
        <w:jc w:val="both"/>
        <w:rPr>
          <w:rFonts w:ascii="Times New Roman" w:hAnsi="Times New Roman"/>
          <w:color w:val="000000"/>
          <w:sz w:val="22"/>
        </w:rPr>
      </w:pPr>
      <w:r w:rsidRPr="008D12D1">
        <w:rPr>
          <w:rFonts w:ascii="Times New Roman" w:hAnsi="Times New Roman"/>
          <w:color w:val="000000"/>
          <w:sz w:val="22"/>
        </w:rPr>
        <w:t>Tablica 20. Analitički prikaz izjave ispitanika „Smatram da hrvatski potrošači uživaju ista prava kao i potrošači u EU“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1972"/>
        <w:gridCol w:w="961"/>
        <w:gridCol w:w="1186"/>
        <w:gridCol w:w="1681"/>
        <w:gridCol w:w="891"/>
      </w:tblGrid>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 potpunosti se slažem</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Slažem se</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slažem se</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Uopće se ne slažem</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znam</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4,76%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11,76%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36,16%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29,76%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17,56%</w:t>
            </w:r>
          </w:p>
        </w:tc>
      </w:tr>
      <w:tr w:rsidR="00CE1313" w:rsidRPr="00370B40" w:rsidTr="00370B40">
        <w:trPr>
          <w:jc w:val="center"/>
        </w:trPr>
        <w:tc>
          <w:tcPr>
            <w:tcW w:w="0" w:type="auto"/>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Spol</w:t>
            </w: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8,24%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8,24%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35,29%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34,12%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14,12%</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4,26%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12,27%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36,29%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29,13%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18,06%</w:t>
            </w:r>
          </w:p>
        </w:tc>
      </w:tr>
      <w:tr w:rsidR="00CE1313" w:rsidRPr="00370B40" w:rsidTr="00370B40">
        <w:trPr>
          <w:jc w:val="center"/>
        </w:trPr>
        <w:tc>
          <w:tcPr>
            <w:tcW w:w="0" w:type="auto"/>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Dob</w:t>
            </w: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15,60%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38,99%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25,23%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15,60%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5,33%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34,02%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26,64%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25,00%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9,77%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39,85%</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33,83%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14,29%</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13,64%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34,09%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43,18%</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12,12%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21,21%</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48,48%</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r>
      <w:tr w:rsidR="00CE1313" w:rsidRPr="00370B40" w:rsidTr="00370B40">
        <w:trPr>
          <w:jc w:val="center"/>
        </w:trPr>
        <w:tc>
          <w:tcPr>
            <w:tcW w:w="0" w:type="auto"/>
            <w:tcBorders>
              <w:right w:val="nil"/>
            </w:tcBorders>
            <w:vAlign w:val="center"/>
          </w:tcPr>
          <w:p w:rsidR="00CE1313" w:rsidRPr="00370B40" w:rsidRDefault="00CE1313" w:rsidP="008D12D1">
            <w:pPr>
              <w:pStyle w:val="Heading3"/>
              <w:rPr>
                <w:rFonts w:ascii="Times New Roman" w:hAnsi="Times New Roman"/>
                <w:b/>
                <w:color w:val="auto"/>
                <w:sz w:val="18"/>
                <w:szCs w:val="18"/>
              </w:rPr>
            </w:pPr>
            <w:r w:rsidRPr="00370B40">
              <w:rPr>
                <w:rFonts w:ascii="Times New Roman" w:hAnsi="Times New Roman"/>
                <w:b/>
                <w:color w:val="auto"/>
                <w:sz w:val="18"/>
                <w:szCs w:val="18"/>
              </w:rPr>
              <w:t>Razina obrazov.</w:t>
            </w: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Osnovna škola</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16,67%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16,67%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58,33%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5,13%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17,09%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35,90%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32,48%</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9,40%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12,50%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47,92%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18,75%</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12,50%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6,92%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30,19%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26,42%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36,48%</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Preddiplomski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4,92%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10,66%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40,16%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31,15%</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13,11%</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6,49%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40,26%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27,27%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16,88%</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Poslijediplomski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35,00%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15,00%</w:t>
            </w:r>
          </w:p>
        </w:tc>
      </w:tr>
    </w:tbl>
    <w:p w:rsidR="00CE1313" w:rsidRDefault="00CE1313" w:rsidP="001D275B">
      <w:pPr>
        <w:ind w:firstLine="720"/>
        <w:rPr>
          <w:color w:val="000000"/>
        </w:rPr>
      </w:pPr>
      <w:r w:rsidRPr="0015206D">
        <w:rPr>
          <w:color w:val="000000"/>
        </w:rPr>
        <w:t>Na izjavu „</w:t>
      </w:r>
      <w:r w:rsidRPr="0015206D">
        <w:rPr>
          <w:i/>
          <w:color w:val="000000"/>
        </w:rPr>
        <w:t>Prilikom svake kupnje prehrambenih proizvoda važni su mi podaci o porijeklu proizvoda</w:t>
      </w:r>
      <w:r>
        <w:rPr>
          <w:color w:val="000000"/>
        </w:rPr>
        <w:t>“ (t</w:t>
      </w:r>
      <w:r w:rsidRPr="0015206D">
        <w:rPr>
          <w:color w:val="000000"/>
        </w:rPr>
        <w:t>ablica 21) 40,33%  ispitanika se u potpunosti slaže, 40,92% se slaže, 8,33% se ne slaže, 5,36% uopće se ne slaže, a 5,06% ispitanika je odgovorilo „Ne znam“. Predstavljeni rezultati primarnog istraživanja o informiranosti potrošača potvrđuju pretpostavku da potrošači nisu u dovoljnoj mjeri upoznati sa svojim potrošačkim pravima.</w:t>
      </w:r>
    </w:p>
    <w:p w:rsidR="00CE1313" w:rsidRDefault="00CE1313" w:rsidP="002F5E76">
      <w:pPr>
        <w:rPr>
          <w:color w:val="000000"/>
        </w:rPr>
      </w:pPr>
    </w:p>
    <w:p w:rsidR="00CE1313" w:rsidRPr="002F0B9C" w:rsidRDefault="00CE1313" w:rsidP="002F0B9C">
      <w:pPr>
        <w:pStyle w:val="Caption"/>
        <w:keepNext/>
        <w:spacing w:after="0"/>
        <w:jc w:val="both"/>
        <w:rPr>
          <w:rFonts w:ascii="Times New Roman" w:hAnsi="Times New Roman"/>
          <w:color w:val="000000"/>
          <w:sz w:val="22"/>
        </w:rPr>
      </w:pPr>
      <w:r w:rsidRPr="002F0B9C">
        <w:rPr>
          <w:rFonts w:ascii="Times New Roman" w:hAnsi="Times New Roman"/>
          <w:color w:val="000000"/>
          <w:sz w:val="22"/>
        </w:rPr>
        <w:t xml:space="preserve">Tablica </w:t>
      </w:r>
      <w:r w:rsidRPr="002F0B9C">
        <w:rPr>
          <w:rFonts w:ascii="Times New Roman" w:hAnsi="Times New Roman"/>
          <w:color w:val="000000"/>
          <w:sz w:val="22"/>
        </w:rPr>
        <w:fldChar w:fldCharType="begin"/>
      </w:r>
      <w:r w:rsidRPr="002F0B9C">
        <w:rPr>
          <w:rFonts w:ascii="Times New Roman" w:hAnsi="Times New Roman"/>
          <w:color w:val="000000"/>
          <w:sz w:val="22"/>
        </w:rPr>
        <w:instrText xml:space="preserve"> SEQ Tablica \* ARABIC </w:instrText>
      </w:r>
      <w:r w:rsidRPr="002F0B9C">
        <w:rPr>
          <w:rFonts w:ascii="Times New Roman" w:hAnsi="Times New Roman"/>
          <w:color w:val="000000"/>
          <w:sz w:val="22"/>
        </w:rPr>
        <w:fldChar w:fldCharType="separate"/>
      </w:r>
      <w:r w:rsidRPr="002F0B9C">
        <w:rPr>
          <w:rFonts w:ascii="Times New Roman" w:hAnsi="Times New Roman"/>
          <w:noProof/>
          <w:color w:val="000000"/>
          <w:sz w:val="22"/>
        </w:rPr>
        <w:t>21.</w:t>
      </w:r>
      <w:r w:rsidRPr="002F0B9C">
        <w:rPr>
          <w:rFonts w:ascii="Times New Roman" w:hAnsi="Times New Roman"/>
          <w:color w:val="000000"/>
          <w:sz w:val="22"/>
        </w:rPr>
        <w:fldChar w:fldCharType="end"/>
      </w:r>
      <w:r w:rsidRPr="002F0B9C">
        <w:rPr>
          <w:rFonts w:ascii="Times New Roman" w:hAnsi="Times New Roman"/>
          <w:color w:val="000000"/>
          <w:sz w:val="22"/>
        </w:rPr>
        <w:t xml:space="preserve"> Analitički prikaz izjave ispitanika „Prilikom svake kupnje prehrambenih proizvoda važni su mi podaci o porijeklu proizvoda“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1972"/>
        <w:gridCol w:w="961"/>
        <w:gridCol w:w="1186"/>
        <w:gridCol w:w="1681"/>
        <w:gridCol w:w="891"/>
      </w:tblGrid>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 potpunosti se slažem</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Slažem se</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slažem se</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Uopće se ne slažem</w:t>
            </w:r>
          </w:p>
        </w:tc>
        <w:tc>
          <w:tcPr>
            <w:tcW w:w="0" w:type="auto"/>
            <w:shd w:val="clear" w:color="auto" w:fill="DBE5F1"/>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Ne znam</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Ukupno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40,33%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40,92%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5,36%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5,06%</w:t>
            </w:r>
          </w:p>
        </w:tc>
      </w:tr>
      <w:tr w:rsidR="00CE1313" w:rsidRPr="00370B40" w:rsidTr="00370B40">
        <w:trPr>
          <w:jc w:val="center"/>
        </w:trPr>
        <w:tc>
          <w:tcPr>
            <w:tcW w:w="0" w:type="auto"/>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Spol</w:t>
            </w: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Muško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28,24%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8,24%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11,76%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11,76%</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Žensko</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42,08%</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41,06%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8,35%</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4,43%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4,09%</w:t>
            </w:r>
          </w:p>
        </w:tc>
      </w:tr>
      <w:tr w:rsidR="00CE1313" w:rsidRPr="00370B40" w:rsidTr="00370B40">
        <w:trPr>
          <w:jc w:val="center"/>
        </w:trPr>
        <w:tc>
          <w:tcPr>
            <w:tcW w:w="0" w:type="auto"/>
            <w:tcBorders>
              <w:right w:val="nil"/>
            </w:tcBorders>
            <w:vAlign w:val="center"/>
          </w:tcPr>
          <w:p w:rsidR="00CE1313" w:rsidRPr="00370B40" w:rsidRDefault="00CE1313" w:rsidP="001D275B">
            <w:pPr>
              <w:pStyle w:val="Heading3"/>
              <w:rPr>
                <w:rFonts w:ascii="Times New Roman" w:hAnsi="Times New Roman"/>
                <w:b/>
                <w:color w:val="auto"/>
                <w:sz w:val="18"/>
                <w:szCs w:val="18"/>
              </w:rPr>
            </w:pPr>
            <w:r w:rsidRPr="00370B40">
              <w:rPr>
                <w:rFonts w:ascii="Times New Roman" w:hAnsi="Times New Roman"/>
                <w:b/>
                <w:color w:val="auto"/>
                <w:sz w:val="18"/>
                <w:szCs w:val="18"/>
              </w:rPr>
              <w:t>Dob</w:t>
            </w: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18 – 25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31,19%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39,91%</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13,76%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7,34%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7,80%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26 – 35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42,62%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44,26%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6,56%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3,28%</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3,28%</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36 – 45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49,62%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41,35%</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4,51%</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1,50%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3,01%</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46 – 55</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38,64%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6,82%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2,27%</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&gt;56</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33,33%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24,24%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21,21%</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12,12%</w:t>
            </w:r>
          </w:p>
        </w:tc>
      </w:tr>
      <w:tr w:rsidR="00CE1313" w:rsidRPr="00370B40" w:rsidTr="00370B40">
        <w:trPr>
          <w:jc w:val="center"/>
        </w:trPr>
        <w:tc>
          <w:tcPr>
            <w:tcW w:w="0" w:type="auto"/>
            <w:tcBorders>
              <w:right w:val="nil"/>
            </w:tcBorders>
            <w:vAlign w:val="center"/>
          </w:tcPr>
          <w:p w:rsidR="00CE1313" w:rsidRPr="00370B40" w:rsidRDefault="00CE1313" w:rsidP="008D12D1">
            <w:pPr>
              <w:pStyle w:val="Heading3"/>
              <w:rPr>
                <w:rFonts w:ascii="Times New Roman" w:hAnsi="Times New Roman"/>
                <w:b/>
                <w:color w:val="auto"/>
                <w:sz w:val="18"/>
                <w:szCs w:val="18"/>
              </w:rPr>
            </w:pPr>
            <w:r w:rsidRPr="00370B40">
              <w:rPr>
                <w:rFonts w:ascii="Times New Roman" w:hAnsi="Times New Roman"/>
                <w:b/>
                <w:color w:val="auto"/>
                <w:sz w:val="18"/>
                <w:szCs w:val="18"/>
              </w:rPr>
              <w:t>Razina obrazov.</w:t>
            </w: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right w:val="nil"/>
            </w:tcBorders>
            <w:vAlign w:val="center"/>
          </w:tcPr>
          <w:p w:rsidR="00CE1313" w:rsidRPr="00370B40" w:rsidRDefault="00CE1313" w:rsidP="001D275B">
            <w:pPr>
              <w:pStyle w:val="Heading3"/>
              <w:rPr>
                <w:rFonts w:ascii="Times New Roman" w:hAnsi="Times New Roman"/>
                <w:color w:val="auto"/>
                <w:sz w:val="18"/>
                <w:szCs w:val="18"/>
              </w:rPr>
            </w:pP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Osnovna škola</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25,00%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16,67%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8,33%</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SSS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43,59%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38,46%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8,97%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3,85%</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5,13%</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VŠS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52,08%</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29,17%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10,42%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4,17%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4,17%</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VSS</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38,99%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53,46%</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3,77%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0,63%</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3,14%</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Preddiplomski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27,87%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43,44%</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11,48%</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9,02%</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8,20%</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45,45%</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29,87%</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12,99%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6,49%</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5,19%</w:t>
            </w:r>
          </w:p>
        </w:tc>
      </w:tr>
      <w:tr w:rsidR="00CE1313" w:rsidRPr="00370B40" w:rsidTr="00370B40">
        <w:trPr>
          <w:jc w:val="center"/>
        </w:trPr>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Poslijediplomski studij</w:t>
            </w:r>
          </w:p>
        </w:tc>
        <w:tc>
          <w:tcPr>
            <w:tcW w:w="0" w:type="auto"/>
            <w:tcBorders>
              <w:left w:val="nil"/>
            </w:tcBorders>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50,00%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40,00%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10,00%</w:t>
            </w:r>
          </w:p>
        </w:tc>
        <w:tc>
          <w:tcPr>
            <w:tcW w:w="0" w:type="auto"/>
            <w:vAlign w:val="center"/>
          </w:tcPr>
          <w:p w:rsidR="00CE1313" w:rsidRPr="00370B40" w:rsidRDefault="00CE1313" w:rsidP="001D275B">
            <w:pPr>
              <w:pStyle w:val="Heading3"/>
              <w:rPr>
                <w:rFonts w:ascii="Times New Roman" w:hAnsi="Times New Roman"/>
                <w:color w:val="auto"/>
                <w:sz w:val="18"/>
                <w:szCs w:val="18"/>
              </w:rPr>
            </w:pPr>
            <w:r w:rsidRPr="00370B40">
              <w:rPr>
                <w:rFonts w:ascii="Times New Roman" w:hAnsi="Times New Roman"/>
                <w:color w:val="auto"/>
                <w:sz w:val="18"/>
                <w:szCs w:val="18"/>
              </w:rPr>
              <w:t>0,00%</w:t>
            </w:r>
          </w:p>
        </w:tc>
      </w:tr>
    </w:tbl>
    <w:p w:rsidR="00CE1313" w:rsidRPr="0015206D" w:rsidRDefault="00CE1313" w:rsidP="001D275B">
      <w:pPr>
        <w:ind w:firstLine="720"/>
        <w:rPr>
          <w:color w:val="000000"/>
        </w:rPr>
      </w:pPr>
      <w:r w:rsidRPr="0015206D">
        <w:rPr>
          <w:color w:val="000000"/>
        </w:rPr>
        <w:t>Na temelju dobivenih podataka provedene ankete može se doći do zaključka da značajan broj ispitanika svih dobnih skupina i razina obrazovanja prilikom svake kupnje prehrambenih proizvoda smatra da su im važni podaci o porijeklu proizvoda. Također, nisu im poznate institucije i udruge koje ih zastupaju i štite njihova prava kao potrošača. Ispitivanje je pokazalo da što je veća životna dob ispitanika to je manje znanje o ustanovama i organizacijama/udrugama za zaštitu potrošača. Značajan broj ispitanika svih dobnih skupina i razine obrazovanja nije zatražilo informaciju ili pomoć od prethodno navedenih organizacija, a jedan od razloga može biti neinformiranost, odnosno nedovoljno znanje o ustanovama i koje se bave zaštitom prava potrošača. Razlog nepovjerenja u sigurnost prehrambenih proizvoda na tržištu može biti posljedica stalnih afera koje su popraćene u medijima. Ispitanici imaju više povjerenje u domaće proizvode te im je prilikom kupnje bitan podatak o zemlji podrijetla, a jedan od mogućih razloga je problem “dvostrukih kriterija” gdje se na različita tržišta plasira hrana različite kvalitete i sastava. S obzirom na to da je proizvodnja sigurne i kvalitetne hrane dinamična gospodarska grana potrebne su stalne kontrole procesa proizvodnje i prerade hrane kako bi se osiguralo povjerenje krajnjeg potrošača. Nužno je uložiti dodatne aktivnosti kako bi se potrošačima omogućila točna informacija o proizvodu i njegovim potrošačkim pravima. Anketa je pokazala da značajan broj ispitanika svih dobnih skupina i razina obrazovanja nije u potpunosti upoznato sa zakonskom regulacijom GMO hrane na području Republike Hrvatske. Potrebno je educirati potrošače o posljedicama koje može izazvati GMO hrana. Potrebno je razviti sustavno informiranje i educiranje potrošača o njihovim pravima i pojačati kontakt s udrugama i institucijama koje štite prava potrošača. S obzirom na to da je zaštita potrošača i njihovo pravo na sigurnu i zdravu hranu područje od javnog interesa i kao takv</w:t>
      </w:r>
      <w:r>
        <w:rPr>
          <w:color w:val="000000"/>
        </w:rPr>
        <w:t>1</w:t>
      </w:r>
      <w:r w:rsidRPr="0015206D">
        <w:rPr>
          <w:color w:val="000000"/>
        </w:rPr>
        <w:t>o temelj je svakog učinkovitog, konkurentnog i pravičnog društva, nužna je suradnja svih aktera, od proizvođača do krajnjeg potrošača te implementacija sustava koji će osigurati sigurnu hranu i adekvatnu zaštitu i informiranost potrošača kroz poštenu trgovačku praksu.</w:t>
      </w:r>
    </w:p>
    <w:p w:rsidR="00CE1313" w:rsidRDefault="00CE1313" w:rsidP="00406C96">
      <w:pPr>
        <w:pStyle w:val="ListParagraph"/>
        <w:spacing w:before="0"/>
        <w:ind w:left="360"/>
        <w:rPr>
          <w:b/>
        </w:rPr>
      </w:pPr>
    </w:p>
    <w:p w:rsidR="00CE1313" w:rsidRPr="008D12D1" w:rsidRDefault="00CE1313" w:rsidP="008D12D1">
      <w:pPr>
        <w:spacing w:before="0"/>
        <w:rPr>
          <w:b/>
          <w:sz w:val="28"/>
          <w:szCs w:val="28"/>
        </w:rPr>
      </w:pPr>
      <w:r w:rsidRPr="008D12D1">
        <w:rPr>
          <w:b/>
          <w:sz w:val="28"/>
          <w:szCs w:val="28"/>
        </w:rPr>
        <w:t>Zaključak</w:t>
      </w:r>
    </w:p>
    <w:p w:rsidR="00CE1313" w:rsidRDefault="00CE1313" w:rsidP="00465DBF">
      <w:pPr>
        <w:ind w:firstLine="720"/>
        <w:rPr>
          <w:color w:val="000000"/>
        </w:rPr>
      </w:pPr>
      <w:r w:rsidRPr="0015206D">
        <w:t>Kroz primarno istraživanje autori su uočili kako ispitanici nisu značajno informirani i educirani o njihovim pravima te da oni nemaju povjerenja u ulogu neovisnih potrošačkih udruga i državnih vlasti da štite njihova prava kao potrošača. Kako bi se to promijenilo potrebno je educirati hrvatske potrošače kao i stvoriti takvu klimu u Republici Hrvatskoj u kojoj će hrvatski potrošači imati povjerenja u sve institucije koje su zadužene za zaštitu potrošača u prehrambenoj industriji.Djelotvorna zaštita potrošača iznimno je važna za učinkovito funkcioniranje unutarnjeg tržišta E</w:t>
      </w:r>
      <w:r>
        <w:t>U</w:t>
      </w:r>
      <w:r w:rsidRPr="0015206D">
        <w:t>, razvoj poslovnih aktivnosti i poticanje ekonomskog rasta. Zakonima i propisima Europske unije postavljaju se standardi po pitanju zaštite potrošača kojima se poduzeća moraju pridržavati s ciljem uspješnog zadovolj</w:t>
      </w:r>
      <w:r>
        <w:t xml:space="preserve">enja potreba potrošača. </w:t>
      </w:r>
      <w:r w:rsidRPr="0015206D">
        <w:t xml:space="preserve">Marketinški trikovi kojima se koriste poduzeća mogu obmanjivati potrošače i na taj način kršiti njihova potrošačka prava. </w:t>
      </w:r>
      <w:r>
        <w:t>Zakonodavstvo zemalja članica EU</w:t>
      </w:r>
      <w:r w:rsidRPr="0015206D">
        <w:t xml:space="preserve"> „smanjuje“ prostor marketinškim aktivnostima poduzeća kojima je cilj samo prodaja. Svi sudionici opskrbnog lanca trebaju se pridržavati zakonodavstva, ali i dobre trgovačke prakse kako bi potrošaču isporučili upravo onakav proizvod kojeg žele.Poduzeća u prehrambenoj industriji trebala bi se pozicionirati u svijest potrošača koristeći se dobrom trgovačkom praksom ne odašiljući dvosmislene poruke u svojim komunikacijskim kanalima upravo zato da se zaštite prava potrošača u prehrambenoj industriji.Zakonodavstvo, kao što je prethodno spomenuto, smanjuje prostor marketinškim aktivnostima poduzeća, no poduzeća u prehrambenoj industriji uvijek traže novi način kako privući pažnju pot</w:t>
      </w:r>
      <w:r>
        <w:t>rošača. Stoga u zakonodavstvu EU</w:t>
      </w:r>
      <w:r w:rsidRPr="0015206D">
        <w:t xml:space="preserve"> može se pronaći prostor za manipulaciju krajnjim kupcem i u konačnici bude obmanjen u pogledu tehnološke kvalitete hrane, sastojaka proizvoda i slično.Što se tiče tehnološke kvalitete prehrambenih proizvoda, ona ne bi smjela biti predmet konkurentske prednosti poduzeća u prehrambenoj industriji. Poduzeća se trebaju pozicionirati u odnosu na konkurente kroz izgradnju snažne tržišne vrijednosti marke poduzeća.Dakle, zakonodavstvo E</w:t>
      </w:r>
      <w:r>
        <w:t>U</w:t>
      </w:r>
      <w:r w:rsidRPr="0015206D">
        <w:t xml:space="preserve"> ima za cilj zaštiti prava potrošača u prehrambenoj industriji, osigurati sigurnu i hranjivu hranu te hranu za životinje, visoke standarde zdravlja i dobrobiti životinja te zaštitu bilja, kao i jasne informacije o podrijetlu, sadržaju/označavanju i uporabi hrane.Nadalje, važna je uspostava učinkovite komunikacije između svih subjekata u poslovanju s hranom, zakonodavnih i upravnih tijela te potrošača koji bi trebali biti pokretači promjena. Kako bi se osigurala bolja informiranost potrošača potrebno je provođenje aktivne politike zaštite potrošača kroz pojačano djelovanje jedinica lokalne samouprave i suradnju udruga s nadležnim tijelima državne uprave i tijelima jedinica lokalne i područne samouprave. Sinkroniziranim djelovanjem moguće je ostvariti dobru zaštitu potrošača. Krucijalni preduvjeti za funkcionalnu zaštitu potrošača u prehrambenoj industriji, pored zakonodavnog okvira kojeg E</w:t>
      </w:r>
      <w:r>
        <w:t>U</w:t>
      </w:r>
      <w:r w:rsidRPr="0015206D">
        <w:t xml:space="preserve"> ima, jesu kontrole tijekom cijelog proizvodnog lanca i dostupnost točnih informacija krajnjem potrošaču.U daljnjim istraživanjima naglasak bi se trebao dati, između ostalog, na ispitivanje imidža marki prehrambenih proizvoda koji su u Republici Hrvatskoj utvrđeni kao nesigurni za konzumaciju te ispitati kakve su posljedice ostavile na imidž trgovačkih lanaca koji su u svojoj ponudi imale iste. Pored toga, istraživanja bi se trebala usmjeriti na ispitivanje percepcija potrošača o markama prehrambenih proizvoda iz aktualnog istraživanja Biljane Borzan i </w:t>
      </w:r>
      <w:r w:rsidRPr="0015206D">
        <w:rPr>
          <w:color w:val="000000"/>
        </w:rPr>
        <w:t>Hrvatske agencije za hranu koje je potvrdilo hipotezu da hrvatski potrošači ne konzumiraju proizvode jednake kvalitete i sastava kao i potrošači na zapadnom tržištu E</w:t>
      </w:r>
      <w:r>
        <w:rPr>
          <w:color w:val="000000"/>
        </w:rPr>
        <w:t>U</w:t>
      </w:r>
      <w:r w:rsidRPr="0015206D">
        <w:rPr>
          <w:color w:val="000000"/>
        </w:rPr>
        <w:t>.</w:t>
      </w:r>
    </w:p>
    <w:p w:rsidR="00CE1313" w:rsidRDefault="00CE1313" w:rsidP="00465DBF">
      <w:pPr>
        <w:rPr>
          <w:rFonts w:ascii="s New Roman" w:hAnsi="s New Roman"/>
          <w:b/>
          <w:sz w:val="28"/>
          <w:szCs w:val="28"/>
        </w:rPr>
      </w:pPr>
      <w:r w:rsidRPr="00406C96">
        <w:rPr>
          <w:rFonts w:ascii="s New Roman" w:hAnsi="s New Roman"/>
          <w:b/>
          <w:sz w:val="28"/>
          <w:szCs w:val="28"/>
        </w:rPr>
        <w:t>Literatura</w:t>
      </w:r>
    </w:p>
    <w:p w:rsidR="00CE1313" w:rsidRDefault="00CE1313" w:rsidP="002F0B9C">
      <w:pPr>
        <w:pStyle w:val="ListParagraph"/>
        <w:numPr>
          <w:ilvl w:val="0"/>
          <w:numId w:val="5"/>
        </w:numPr>
        <w:rPr>
          <w:rFonts w:ascii="s New Roman" w:hAnsi="s New Roman"/>
        </w:rPr>
      </w:pPr>
      <w:r w:rsidRPr="002F0B9C">
        <w:rPr>
          <w:rFonts w:ascii="s New Roman" w:hAnsi="s New Roman"/>
        </w:rPr>
        <w:t>Bažok, R. et al. 2014. Sigurnost hrane: od polja do stola. Zagreb. M.E.P.</w:t>
      </w:r>
    </w:p>
    <w:p w:rsidR="00CE1313" w:rsidRDefault="00CE1313" w:rsidP="002F0B9C">
      <w:pPr>
        <w:pStyle w:val="ListParagraph"/>
        <w:numPr>
          <w:ilvl w:val="0"/>
          <w:numId w:val="5"/>
        </w:numPr>
        <w:rPr>
          <w:rFonts w:ascii="s New Roman" w:hAnsi="s New Roman"/>
        </w:rPr>
      </w:pPr>
      <w:r w:rsidRPr="002F0B9C">
        <w:rPr>
          <w:rFonts w:ascii="s New Roman" w:hAnsi="s New Roman"/>
        </w:rPr>
        <w:t>Comodo, N., &amp; Bonaccorsi, G. 2012. The new EU regulations for food safety. Italian Journal of Public Health, 4(1).</w:t>
      </w:r>
    </w:p>
    <w:p w:rsidR="00CE1313" w:rsidRDefault="00CE1313" w:rsidP="002F0B9C">
      <w:pPr>
        <w:pStyle w:val="ListParagraph"/>
        <w:numPr>
          <w:ilvl w:val="0"/>
          <w:numId w:val="5"/>
        </w:numPr>
        <w:rPr>
          <w:rFonts w:ascii="s New Roman" w:hAnsi="s New Roman"/>
        </w:rPr>
      </w:pPr>
      <w:r w:rsidRPr="002F0B9C">
        <w:rPr>
          <w:rFonts w:ascii="s New Roman" w:hAnsi="s New Roman"/>
        </w:rPr>
        <w:t>Dumičić, K., &amp; Gajdić, D. 2011. Istraživanje utjecaja primjene sustava upravljanja kvalitetom hrane na poslovni rezultat u hrvatskim prehrambenim poduzećima. Poslovna izvrsnost, 5(1).</w:t>
      </w:r>
      <w:r>
        <w:rPr>
          <w:rFonts w:ascii="s New Roman" w:hAnsi="s New Roman"/>
        </w:rPr>
        <w:tab/>
      </w:r>
      <w:r>
        <w:rPr>
          <w:rFonts w:ascii="s New Roman" w:hAnsi="s New Roman"/>
        </w:rPr>
        <w:tab/>
      </w:r>
      <w:r>
        <w:rPr>
          <w:rFonts w:ascii="s New Roman" w:hAnsi="s New Roman"/>
        </w:rPr>
        <w:tab/>
      </w:r>
      <w:r>
        <w:rPr>
          <w:rFonts w:ascii="s New Roman" w:hAnsi="s New Roman"/>
        </w:rPr>
        <w:tab/>
      </w:r>
      <w:r>
        <w:rPr>
          <w:rFonts w:ascii="s New Roman" w:hAnsi="s New Roman"/>
        </w:rPr>
        <w:tab/>
      </w:r>
    </w:p>
    <w:p w:rsidR="00CE1313" w:rsidRDefault="00CE1313" w:rsidP="002F0B9C">
      <w:pPr>
        <w:pStyle w:val="ListParagraph"/>
        <w:numPr>
          <w:ilvl w:val="0"/>
          <w:numId w:val="5"/>
        </w:numPr>
        <w:rPr>
          <w:rFonts w:ascii="s New Roman" w:hAnsi="s New Roman"/>
        </w:rPr>
      </w:pPr>
      <w:r w:rsidRPr="002F0B9C">
        <w:rPr>
          <w:rFonts w:ascii="s New Roman" w:hAnsi="s New Roman"/>
        </w:rPr>
        <w:t>Erceg, A. 2015. International Food Standard And Food Safety Supply Chain Of Croatian Chocolate Producer–Implication For The Final Products Transportation. Business Logistics in Modern Management.</w:t>
      </w:r>
      <w:r>
        <w:rPr>
          <w:rFonts w:ascii="s New Roman" w:hAnsi="s New Roman"/>
        </w:rPr>
        <w:tab/>
      </w:r>
    </w:p>
    <w:p w:rsidR="00CE1313" w:rsidRDefault="00CE1313" w:rsidP="002F0B9C">
      <w:pPr>
        <w:pStyle w:val="ListParagraph"/>
        <w:numPr>
          <w:ilvl w:val="0"/>
          <w:numId w:val="5"/>
        </w:numPr>
        <w:rPr>
          <w:rFonts w:ascii="s New Roman" w:hAnsi="s New Roman"/>
        </w:rPr>
      </w:pPr>
      <w:r w:rsidRPr="002F0B9C">
        <w:rPr>
          <w:rFonts w:ascii="s New Roman" w:hAnsi="s New Roman"/>
        </w:rPr>
        <w:t>Gašpić, K. 2017. Zaštita potrošača u prehrambenoj industriji, diplomski rad, Sveučilište u Zadru, Zadar.</w:t>
      </w:r>
      <w:r w:rsidRPr="002F0B9C">
        <w:rPr>
          <w:rFonts w:ascii="s New Roman" w:hAnsi="s New Roman"/>
        </w:rPr>
        <w:tab/>
      </w:r>
      <w:r w:rsidRPr="002F0B9C">
        <w:rPr>
          <w:rFonts w:ascii="s New Roman" w:hAnsi="s New Roman"/>
        </w:rPr>
        <w:tab/>
      </w:r>
      <w:r w:rsidRPr="002F0B9C">
        <w:rPr>
          <w:rFonts w:ascii="s New Roman" w:hAnsi="s New Roman"/>
        </w:rPr>
        <w:tab/>
      </w:r>
      <w:r w:rsidRPr="002F0B9C">
        <w:rPr>
          <w:rFonts w:ascii="s New Roman" w:hAnsi="s New Roman"/>
        </w:rPr>
        <w:tab/>
      </w:r>
      <w:r w:rsidRPr="002F0B9C">
        <w:rPr>
          <w:rFonts w:ascii="s New Roman" w:hAnsi="s New Roman"/>
        </w:rPr>
        <w:tab/>
      </w:r>
      <w:r>
        <w:rPr>
          <w:rFonts w:ascii="s New Roman" w:hAnsi="s New Roman"/>
        </w:rPr>
        <w:tab/>
      </w:r>
      <w:r>
        <w:rPr>
          <w:rFonts w:ascii="s New Roman" w:hAnsi="s New Roman"/>
        </w:rPr>
        <w:tab/>
      </w:r>
      <w:r>
        <w:rPr>
          <w:rFonts w:ascii="s New Roman" w:hAnsi="s New Roman"/>
        </w:rPr>
        <w:tab/>
      </w:r>
    </w:p>
    <w:p w:rsidR="00CE1313" w:rsidRDefault="00CE1313" w:rsidP="002F0B9C">
      <w:pPr>
        <w:pStyle w:val="ListParagraph"/>
        <w:numPr>
          <w:ilvl w:val="0"/>
          <w:numId w:val="5"/>
        </w:numPr>
        <w:rPr>
          <w:rFonts w:ascii="s New Roman" w:hAnsi="s New Roman"/>
        </w:rPr>
      </w:pPr>
      <w:r w:rsidRPr="002F0B9C">
        <w:rPr>
          <w:rFonts w:ascii="s New Roman" w:hAnsi="s New Roman"/>
        </w:rPr>
        <w:t>Knežević, N., Đugum, J., &amp; Frece, J. 2013. Sigurnost hrane u Hrvatskoj-pozadina i izazovi. Meso, 15(3).</w:t>
      </w:r>
      <w:r w:rsidRPr="002F0B9C">
        <w:rPr>
          <w:rFonts w:ascii="s New Roman" w:hAnsi="s New Roman"/>
        </w:rPr>
        <w:tab/>
      </w:r>
      <w:r w:rsidRPr="002F0B9C">
        <w:rPr>
          <w:rFonts w:ascii="s New Roman" w:hAnsi="s New Roman"/>
        </w:rPr>
        <w:tab/>
      </w:r>
      <w:r w:rsidRPr="002F0B9C">
        <w:rPr>
          <w:rFonts w:ascii="s New Roman" w:hAnsi="s New Roman"/>
        </w:rPr>
        <w:tab/>
      </w:r>
      <w:r w:rsidRPr="002F0B9C">
        <w:rPr>
          <w:rFonts w:ascii="s New Roman" w:hAnsi="s New Roman"/>
        </w:rPr>
        <w:tab/>
      </w:r>
      <w:r w:rsidRPr="002F0B9C">
        <w:rPr>
          <w:rFonts w:ascii="s New Roman" w:hAnsi="s New Roman"/>
        </w:rPr>
        <w:tab/>
      </w:r>
      <w:r w:rsidRPr="002F0B9C">
        <w:rPr>
          <w:rFonts w:ascii="s New Roman" w:hAnsi="s New Roman"/>
        </w:rPr>
        <w:tab/>
      </w:r>
    </w:p>
    <w:p w:rsidR="00CE1313" w:rsidRDefault="00CE1313" w:rsidP="002F0B9C">
      <w:pPr>
        <w:pStyle w:val="ListParagraph"/>
        <w:numPr>
          <w:ilvl w:val="0"/>
          <w:numId w:val="5"/>
        </w:numPr>
        <w:rPr>
          <w:rFonts w:ascii="s New Roman" w:hAnsi="s New Roman"/>
        </w:rPr>
      </w:pPr>
      <w:r w:rsidRPr="002F0B9C">
        <w:rPr>
          <w:rFonts w:ascii="s New Roman" w:hAnsi="s New Roman"/>
        </w:rPr>
        <w:t>Nefat, A., &amp; Pamić, K. 2008. Razvojni trendovi konzumerizma i stavova menadžera prehrambene industrije Hrvatske. Ekonomska istraživanja, 21(2).</w:t>
      </w:r>
    </w:p>
    <w:p w:rsidR="00CE1313" w:rsidRDefault="00CE1313" w:rsidP="002F0B9C">
      <w:pPr>
        <w:pStyle w:val="ListParagraph"/>
        <w:numPr>
          <w:ilvl w:val="0"/>
          <w:numId w:val="5"/>
        </w:numPr>
        <w:rPr>
          <w:rFonts w:ascii="s New Roman" w:hAnsi="s New Roman"/>
        </w:rPr>
      </w:pPr>
      <w:r w:rsidRPr="002F0B9C">
        <w:rPr>
          <w:rFonts w:ascii="s New Roman" w:hAnsi="s New Roman"/>
        </w:rPr>
        <w:t>Novaković, M., Dolenčić Špehar, I., &amp; Havranek, J. 2015. Zakonodavstvo u području sigurnosti hrane. Stočarstvo, 68(4).</w:t>
      </w:r>
    </w:p>
    <w:p w:rsidR="00CE1313" w:rsidRDefault="00CE1313" w:rsidP="002F0B9C">
      <w:pPr>
        <w:pStyle w:val="ListParagraph"/>
        <w:numPr>
          <w:ilvl w:val="0"/>
          <w:numId w:val="5"/>
        </w:numPr>
        <w:rPr>
          <w:rFonts w:ascii="s New Roman" w:hAnsi="s New Roman"/>
        </w:rPr>
      </w:pPr>
      <w:r w:rsidRPr="002F0B9C">
        <w:rPr>
          <w:rFonts w:ascii="s New Roman" w:hAnsi="s New Roman"/>
        </w:rPr>
        <w:t>Paul, K. T. 2008. Thought for Food (Safety) in the EU: A discourse-analytical approach. University of Warwick, Centre for the Study of Globalisation and Regionalisation.</w:t>
      </w:r>
    </w:p>
    <w:p w:rsidR="00CE1313" w:rsidRDefault="00CE1313" w:rsidP="002F0B9C">
      <w:pPr>
        <w:pStyle w:val="ListParagraph"/>
        <w:numPr>
          <w:ilvl w:val="0"/>
          <w:numId w:val="5"/>
        </w:numPr>
        <w:rPr>
          <w:rFonts w:ascii="s New Roman" w:hAnsi="s New Roman"/>
        </w:rPr>
      </w:pPr>
      <w:r w:rsidRPr="002F0B9C">
        <w:rPr>
          <w:rFonts w:ascii="s New Roman" w:hAnsi="s New Roman"/>
        </w:rPr>
        <w:t>Salai, S., Žnideršić, R. K., &amp; Grubor, A. 2010. Zaštita potrošača. Škola biznisa.</w:t>
      </w:r>
    </w:p>
    <w:p w:rsidR="00CE1313" w:rsidRPr="002F0B9C" w:rsidRDefault="00CE1313" w:rsidP="00445E5A">
      <w:pPr>
        <w:pStyle w:val="ListParagraph"/>
        <w:numPr>
          <w:ilvl w:val="0"/>
          <w:numId w:val="5"/>
        </w:numPr>
        <w:rPr>
          <w:rFonts w:ascii="s New Roman" w:hAnsi="s New Roman"/>
          <w:b/>
        </w:rPr>
      </w:pPr>
      <w:r w:rsidRPr="00445E5A">
        <w:rPr>
          <w:rFonts w:ascii="s New Roman" w:hAnsi="s New Roman"/>
          <w:lang w:val="de-DE"/>
        </w:rPr>
        <w:t xml:space="preserve">Van der Meulen, B. M. 2013. </w:t>
      </w:r>
      <w:r w:rsidRPr="002F0B9C">
        <w:rPr>
          <w:rFonts w:ascii="s New Roman" w:hAnsi="s New Roman"/>
        </w:rPr>
        <w:t>The structure of European food law. Laws, 2(2).</w:t>
      </w:r>
    </w:p>
    <w:p w:rsidR="00CE1313" w:rsidRDefault="00CE1313" w:rsidP="002F0B9C">
      <w:pPr>
        <w:pStyle w:val="ListParagraph"/>
        <w:rPr>
          <w:rFonts w:ascii="s New Roman" w:hAnsi="s New Roman"/>
        </w:rPr>
      </w:pPr>
    </w:p>
    <w:p w:rsidR="00CE1313" w:rsidRPr="002F0B9C" w:rsidRDefault="00CE1313" w:rsidP="002F0B9C">
      <w:pPr>
        <w:pStyle w:val="ListParagraph"/>
        <w:rPr>
          <w:rFonts w:ascii="s New Roman" w:hAnsi="s New Roman"/>
          <w:b/>
        </w:rPr>
      </w:pPr>
      <w:r w:rsidRPr="00406C96">
        <w:rPr>
          <w:rFonts w:ascii="s New Roman" w:hAnsi="s New Roman"/>
          <w:b/>
        </w:rPr>
        <w:t>Internetske stranice:</w:t>
      </w:r>
      <w:r>
        <w:rPr>
          <w:rFonts w:ascii="s New Roman" w:hAnsi="s New Roman"/>
          <w:b/>
        </w:rPr>
        <w:tab/>
      </w:r>
    </w:p>
    <w:p w:rsidR="00CE1313" w:rsidRPr="002F0B9C" w:rsidRDefault="00CE1313" w:rsidP="00445E5A">
      <w:pPr>
        <w:pStyle w:val="ListParagraph"/>
        <w:numPr>
          <w:ilvl w:val="0"/>
          <w:numId w:val="5"/>
        </w:numPr>
        <w:rPr>
          <w:rFonts w:ascii="s New Roman" w:hAnsi="s New Roman"/>
          <w:b/>
        </w:rPr>
      </w:pPr>
      <w:r w:rsidRPr="002F0B9C">
        <w:rPr>
          <w:rFonts w:ascii="s New Roman" w:hAnsi="s New Roman"/>
        </w:rPr>
        <w:t xml:space="preserve">Europska unija, dostupno na: </w:t>
      </w:r>
      <w:hyperlink r:id="rId8" w:history="1">
        <w:r w:rsidRPr="002F0B9C">
          <w:rPr>
            <w:rStyle w:val="Hyperlink"/>
            <w:rFonts w:ascii="s New Roman" w:hAnsi="s New Roman"/>
          </w:rPr>
          <w:t>http://ec.europa.eu/commfrontoffice/publicopinion/ flash/fl_358_en.pdf</w:t>
        </w:r>
      </w:hyperlink>
      <w:r w:rsidRPr="002F0B9C">
        <w:rPr>
          <w:rFonts w:ascii="s New Roman" w:hAnsi="s New Roman"/>
        </w:rPr>
        <w:t>[pristupljeno: 01.08.2017.]</w:t>
      </w:r>
    </w:p>
    <w:p w:rsidR="00CE1313" w:rsidRPr="002F0B9C" w:rsidRDefault="00CE1313" w:rsidP="00445E5A">
      <w:pPr>
        <w:pStyle w:val="ListParagraph"/>
        <w:numPr>
          <w:ilvl w:val="0"/>
          <w:numId w:val="5"/>
        </w:numPr>
        <w:rPr>
          <w:rFonts w:ascii="s New Roman" w:hAnsi="s New Roman"/>
          <w:b/>
        </w:rPr>
      </w:pPr>
      <w:r w:rsidRPr="002F0B9C">
        <w:rPr>
          <w:rFonts w:ascii="s New Roman" w:hAnsi="s New Roman"/>
        </w:rPr>
        <w:t xml:space="preserve">Europska unija, dostupno na: </w:t>
      </w:r>
      <w:hyperlink r:id="rId9" w:history="1">
        <w:r w:rsidRPr="00E80BF4">
          <w:rPr>
            <w:rStyle w:val="Hyperlink"/>
            <w:rFonts w:ascii="s New Roman" w:hAnsi="s New Roman"/>
          </w:rPr>
          <w:t>https://www.google.hr/url?sa=t&amp;rct=j&amp;q=&amp;esrc=s&amp;source=web&amp;cd=2&amp;cad=rja&amp;uact=8&amp;ved=0ahUKEwjLvOnrhfXTAhXB7BQKHf8KBZwQFggvMAE&amp;url=https%3A%2F%2Fec.europa.eu%2Fcommfrontoffice%2Fpublicopinion%2Findex.cfm%2FResultDoc%2Fdownload%2FDocumentKy%2F67562&amp;usg=AFQjCNEKzwQ-HJD7X6UrJZ8tszI5yrqASw&amp;sig2=Y7YCSv5dzOw FUAXFpWRIqQ</w:t>
        </w:r>
      </w:hyperlink>
      <w:r w:rsidRPr="002F0B9C">
        <w:rPr>
          <w:rFonts w:ascii="s New Roman" w:hAnsi="s New Roman"/>
        </w:rPr>
        <w:t xml:space="preserve"> [pristupljeno: 01.08.2017.]</w:t>
      </w:r>
    </w:p>
    <w:sectPr w:rsidR="00CE1313" w:rsidRPr="002F0B9C" w:rsidSect="008B2625">
      <w:headerReference w:type="even" r:id="rId10"/>
      <w:headerReference w:type="default" r:id="rId11"/>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313" w:rsidRDefault="00CE1313" w:rsidP="00D3231E">
      <w:pPr>
        <w:spacing w:before="0"/>
      </w:pPr>
      <w:r>
        <w:separator/>
      </w:r>
    </w:p>
  </w:endnote>
  <w:endnote w:type="continuationSeparator" w:id="1">
    <w:p w:rsidR="00CE1313" w:rsidRDefault="00CE1313"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zjava3">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 New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313" w:rsidRDefault="00CE1313" w:rsidP="00D3231E">
      <w:pPr>
        <w:spacing w:before="0"/>
      </w:pPr>
      <w:r>
        <w:separator/>
      </w:r>
    </w:p>
  </w:footnote>
  <w:footnote w:type="continuationSeparator" w:id="1">
    <w:p w:rsidR="00CE1313" w:rsidRDefault="00CE1313" w:rsidP="00D3231E">
      <w:pPr>
        <w:spacing w:before="0"/>
      </w:pPr>
      <w:r>
        <w:continuationSeparator/>
      </w:r>
    </w:p>
  </w:footnote>
  <w:footnote w:id="2">
    <w:p w:rsidR="00CE1313" w:rsidRDefault="00CE1313" w:rsidP="00C56B8A">
      <w:pPr>
        <w:jc w:val="left"/>
        <w:rPr>
          <w:i/>
          <w:sz w:val="22"/>
          <w:szCs w:val="22"/>
        </w:rPr>
      </w:pPr>
      <w:r>
        <w:rPr>
          <w:i/>
          <w:sz w:val="22"/>
          <w:szCs w:val="22"/>
        </w:rPr>
        <w:t>Primljeno: 30.01.2018; Prihvaćeno:09.03.2018                                                                                Submitted: 30-01-2018; Accepted: 09-03-2018</w:t>
      </w:r>
    </w:p>
    <w:p w:rsidR="00CE1313" w:rsidRPr="00C56B8A" w:rsidRDefault="00CE1313" w:rsidP="007C0EB4">
      <w:pPr>
        <w:pStyle w:val="Heading2"/>
        <w:numPr>
          <w:ilvl w:val="0"/>
          <w:numId w:val="0"/>
        </w:numPr>
        <w:ind w:left="360"/>
        <w:rPr>
          <w:rStyle w:val="FootnoteReference"/>
          <w:i w:val="0"/>
          <w:vertAlign w:val="baseline"/>
        </w:rPr>
      </w:pPr>
    </w:p>
    <w:p w:rsidR="00CE1313" w:rsidRPr="007C0EB4" w:rsidRDefault="00CE1313" w:rsidP="00715A05">
      <w:pPr>
        <w:pStyle w:val="NoSpacing"/>
        <w:rPr>
          <w:b/>
          <w:sz w:val="22"/>
          <w:szCs w:val="22"/>
        </w:rPr>
      </w:pPr>
      <w:r w:rsidRPr="007C0EB4">
        <w:rPr>
          <w:rStyle w:val="FootnoteReference"/>
          <w:b/>
          <w:sz w:val="22"/>
          <w:szCs w:val="22"/>
        </w:rPr>
        <w:t>*</w:t>
      </w:r>
      <w:r w:rsidRPr="007C0EB4">
        <w:rPr>
          <w:b/>
          <w:sz w:val="22"/>
          <w:szCs w:val="22"/>
          <w:lang w:val="bs-Latn-BA"/>
        </w:rPr>
        <w:t>I</w:t>
      </w:r>
      <w:r w:rsidRPr="007C0EB4">
        <w:rPr>
          <w:b/>
          <w:sz w:val="22"/>
          <w:szCs w:val="22"/>
        </w:rPr>
        <w:t>zv.prof. dr.sc. Aleksandra Krajnović, Sveučili</w:t>
      </w:r>
      <w:r>
        <w:rPr>
          <w:b/>
          <w:sz w:val="22"/>
          <w:szCs w:val="22"/>
        </w:rPr>
        <w:t>šte u Zadru, Odjel za ekonomiju</w:t>
      </w:r>
      <w:r w:rsidRPr="00637C08">
        <w:rPr>
          <w:sz w:val="22"/>
          <w:szCs w:val="22"/>
        </w:rPr>
        <w:t>;</w:t>
      </w:r>
    </w:p>
    <w:p w:rsidR="00CE1313" w:rsidRPr="00F021A8" w:rsidRDefault="00CE1313" w:rsidP="00C56B8A">
      <w:pPr>
        <w:pStyle w:val="NoSpacing"/>
        <w:rPr>
          <w:b/>
          <w:sz w:val="22"/>
          <w:szCs w:val="22"/>
        </w:rPr>
      </w:pPr>
      <w:hyperlink r:id="rId1" w:history="1">
        <w:r w:rsidRPr="007C0EB4">
          <w:rPr>
            <w:rStyle w:val="Hyperlink"/>
            <w:sz w:val="22"/>
            <w:szCs w:val="22"/>
          </w:rPr>
          <w:t>akrajnov@unizd.hr</w:t>
        </w:r>
      </w:hyperlink>
    </w:p>
    <w:p w:rsidR="00CE1313" w:rsidRPr="007C0EB4" w:rsidRDefault="00CE1313" w:rsidP="00715A05">
      <w:pPr>
        <w:pStyle w:val="NoSpacing"/>
        <w:rPr>
          <w:b/>
          <w:sz w:val="22"/>
          <w:szCs w:val="22"/>
        </w:rPr>
      </w:pPr>
      <w:r w:rsidRPr="007C0EB4">
        <w:rPr>
          <w:rStyle w:val="FootnoteReference"/>
          <w:b/>
          <w:sz w:val="22"/>
          <w:szCs w:val="22"/>
        </w:rPr>
        <w:t>**</w:t>
      </w:r>
      <w:r w:rsidRPr="007C0EB4">
        <w:rPr>
          <w:b/>
          <w:sz w:val="22"/>
          <w:szCs w:val="22"/>
        </w:rPr>
        <w:t xml:space="preserve">  Diplomirana studentica, Klaudija Gašpić, Sveučili</w:t>
      </w:r>
      <w:r>
        <w:rPr>
          <w:b/>
          <w:sz w:val="22"/>
          <w:szCs w:val="22"/>
        </w:rPr>
        <w:t>šte u Zadru, Odjel za ekonomiju</w:t>
      </w:r>
      <w:r w:rsidRPr="00637C08">
        <w:rPr>
          <w:sz w:val="22"/>
          <w:szCs w:val="22"/>
        </w:rPr>
        <w:t>;</w:t>
      </w:r>
    </w:p>
    <w:p w:rsidR="00CE1313" w:rsidRPr="007C0EB4" w:rsidRDefault="00CE1313" w:rsidP="00C56B8A">
      <w:pPr>
        <w:pStyle w:val="NoSpacing"/>
        <w:rPr>
          <w:b/>
          <w:sz w:val="22"/>
          <w:szCs w:val="22"/>
        </w:rPr>
      </w:pPr>
      <w:hyperlink r:id="rId2" w:history="1">
        <w:r w:rsidRPr="007C0EB4">
          <w:rPr>
            <w:rStyle w:val="Hyperlink"/>
            <w:sz w:val="22"/>
            <w:szCs w:val="22"/>
          </w:rPr>
          <w:t>kgaspic@student.unizd.hr</w:t>
        </w:r>
      </w:hyperlink>
    </w:p>
    <w:p w:rsidR="00CE1313" w:rsidRDefault="00CE1313" w:rsidP="00715A05">
      <w:pPr>
        <w:pStyle w:val="NoSpacing"/>
        <w:rPr>
          <w:b/>
          <w:sz w:val="22"/>
          <w:szCs w:val="22"/>
        </w:rPr>
      </w:pPr>
      <w:r w:rsidRPr="007C0EB4">
        <w:rPr>
          <w:rStyle w:val="FootnoteReference"/>
          <w:b/>
          <w:sz w:val="22"/>
          <w:szCs w:val="22"/>
        </w:rPr>
        <w:t>***</w:t>
      </w:r>
      <w:r w:rsidRPr="007C0EB4">
        <w:rPr>
          <w:b/>
          <w:sz w:val="22"/>
          <w:szCs w:val="22"/>
        </w:rPr>
        <w:t xml:space="preserve"> Diplomirani student Ivan Stipanov, Sveučili</w:t>
      </w:r>
      <w:r>
        <w:rPr>
          <w:b/>
          <w:sz w:val="22"/>
          <w:szCs w:val="22"/>
        </w:rPr>
        <w:t>šte u Zadru, Odjel za ekonomiju</w:t>
      </w:r>
      <w:r w:rsidRPr="00637C08">
        <w:rPr>
          <w:sz w:val="22"/>
          <w:szCs w:val="22"/>
        </w:rPr>
        <w:t>;</w:t>
      </w:r>
      <w:bookmarkStart w:id="0" w:name="_GoBack"/>
      <w:bookmarkEnd w:id="0"/>
    </w:p>
    <w:p w:rsidR="00CE1313" w:rsidRPr="007C0EB4" w:rsidRDefault="00CE1313" w:rsidP="00715A05">
      <w:pPr>
        <w:pStyle w:val="NoSpacing"/>
        <w:rPr>
          <w:b/>
          <w:sz w:val="22"/>
          <w:szCs w:val="22"/>
        </w:rPr>
      </w:pPr>
      <w:hyperlink r:id="rId3" w:history="1">
        <w:r w:rsidRPr="007C0EB4">
          <w:rPr>
            <w:rStyle w:val="Hyperlink"/>
            <w:sz w:val="22"/>
            <w:szCs w:val="22"/>
          </w:rPr>
          <w:t>istipanov@student.unizd.hr</w:t>
        </w:r>
      </w:hyperlink>
    </w:p>
    <w:p w:rsidR="00CE1313" w:rsidRDefault="00CE1313" w:rsidP="00C56B8A">
      <w:pPr>
        <w:pStyle w:val="NoSpacing"/>
      </w:pPr>
      <w:r w:rsidRPr="00C56B8A">
        <w:rPr>
          <w:b/>
          <w:sz w:val="22"/>
          <w:szCs w:val="22"/>
        </w:rPr>
        <w:tab/>
      </w:r>
      <w:r w:rsidRPr="00C56B8A">
        <w:rPr>
          <w:b/>
          <w:sz w:val="22"/>
          <w:szCs w:val="22"/>
        </w:rPr>
        <w:tab/>
      </w:r>
      <w:r w:rsidRPr="00C56B8A">
        <w:rPr>
          <w:b/>
          <w:sz w:val="22"/>
          <w:szCs w:val="22"/>
        </w:rPr>
        <w:tab/>
      </w:r>
      <w:r w:rsidRPr="00C56B8A">
        <w:rPr>
          <w:b/>
          <w:sz w:val="22"/>
          <w:szCs w:val="22"/>
        </w:rPr>
        <w:tab/>
      </w:r>
      <w:r w:rsidRPr="00C56B8A">
        <w:rPr>
          <w:b/>
          <w:sz w:val="22"/>
          <w:szCs w:val="22"/>
        </w:rPr>
        <w:tab/>
      </w:r>
      <w:r w:rsidRPr="00C56B8A">
        <w:rPr>
          <w:b/>
          <w:sz w:val="22"/>
          <w:szCs w:val="22"/>
        </w:rPr>
        <w:tab/>
      </w:r>
      <w:r w:rsidRPr="00C56B8A">
        <w:rPr>
          <w:b/>
          <w:sz w:val="22"/>
          <w:szCs w:val="22"/>
        </w:rPr>
        <w:tab/>
      </w:r>
      <w:r w:rsidRPr="00C56B8A">
        <w:rPr>
          <w:b/>
          <w:sz w:val="22"/>
          <w:szCs w:val="22"/>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13" w:rsidRDefault="00CE131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1313" w:rsidRDefault="00CE1313" w:rsidP="00370B40">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CE1313" w:rsidRDefault="00CE13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13" w:rsidRDefault="00CE131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CE1313" w:rsidRPr="00E01CAB" w:rsidRDefault="00CE1313" w:rsidP="00CC0B6B">
    <w:pPr>
      <w:pStyle w:val="Header"/>
      <w:ind w:right="360"/>
      <w:rPr>
        <w:sz w:val="16"/>
        <w:szCs w:val="16"/>
        <w:lang w:val="hr-HR"/>
      </w:rPr>
    </w:pPr>
    <w:r w:rsidRPr="00E01CAB">
      <w:rPr>
        <w:sz w:val="16"/>
        <w:szCs w:val="16"/>
        <w:lang w:val="hr-HR"/>
      </w:rPr>
      <w:t>A.Krajnović, K.Gaspić, I.Stipanov: SIGURNOST HRANE I PEERCEPCIJA POTROSAČA O SIGURNOSTI HRANE U EU I HRVATSKOJ, „TRANSITION/TRANZICIJA“,  2018, Vol. XX, No. 42</w:t>
    </w:r>
  </w:p>
  <w:p w:rsidR="00CE1313" w:rsidRDefault="00CE1313"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4ADC4CDE"/>
    <w:lvl w:ilvl="0" w:tplc="59C8C162">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399B1D35"/>
    <w:multiLevelType w:val="hybridMultilevel"/>
    <w:tmpl w:val="7E921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9B939C1"/>
    <w:multiLevelType w:val="hybridMultilevel"/>
    <w:tmpl w:val="8C7287A2"/>
    <w:lvl w:ilvl="0" w:tplc="DE2CB76E">
      <w:start w:val="1"/>
      <w:numFmt w:val="decimal"/>
      <w:lvlText w:val="%1."/>
      <w:lvlJc w:val="left"/>
      <w:pPr>
        <w:ind w:left="927" w:hanging="360"/>
      </w:pPr>
      <w:rPr>
        <w:rFonts w:cs="Times New Roman" w:hint="default"/>
        <w:b w:val="0"/>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3FB07FA6"/>
    <w:multiLevelType w:val="hybridMultilevel"/>
    <w:tmpl w:val="9CA0403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6FD91DDE"/>
    <w:multiLevelType w:val="hybridMultilevel"/>
    <w:tmpl w:val="EBA00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41D53"/>
    <w:rsid w:val="000451FF"/>
    <w:rsid w:val="00065702"/>
    <w:rsid w:val="000740DF"/>
    <w:rsid w:val="00087AAF"/>
    <w:rsid w:val="0009154C"/>
    <w:rsid w:val="00095750"/>
    <w:rsid w:val="00096EF7"/>
    <w:rsid w:val="000C64B6"/>
    <w:rsid w:val="000D5D7C"/>
    <w:rsid w:val="000E0D53"/>
    <w:rsid w:val="000F0A75"/>
    <w:rsid w:val="000F28FD"/>
    <w:rsid w:val="000F7BB1"/>
    <w:rsid w:val="00101117"/>
    <w:rsid w:val="00102BC8"/>
    <w:rsid w:val="00106CC7"/>
    <w:rsid w:val="001071B1"/>
    <w:rsid w:val="001154EE"/>
    <w:rsid w:val="001158A4"/>
    <w:rsid w:val="00122C71"/>
    <w:rsid w:val="001334BA"/>
    <w:rsid w:val="00135F40"/>
    <w:rsid w:val="001410E6"/>
    <w:rsid w:val="00143E4D"/>
    <w:rsid w:val="00150E07"/>
    <w:rsid w:val="0015206D"/>
    <w:rsid w:val="00152A0A"/>
    <w:rsid w:val="00155E30"/>
    <w:rsid w:val="00163B34"/>
    <w:rsid w:val="001653EA"/>
    <w:rsid w:val="0016647B"/>
    <w:rsid w:val="001703AC"/>
    <w:rsid w:val="00170A47"/>
    <w:rsid w:val="00172985"/>
    <w:rsid w:val="0019677B"/>
    <w:rsid w:val="001A04D5"/>
    <w:rsid w:val="001A2966"/>
    <w:rsid w:val="001A3FE1"/>
    <w:rsid w:val="001A7FAC"/>
    <w:rsid w:val="001B383D"/>
    <w:rsid w:val="001C0004"/>
    <w:rsid w:val="001C562A"/>
    <w:rsid w:val="001D275B"/>
    <w:rsid w:val="001E00CF"/>
    <w:rsid w:val="001E32DC"/>
    <w:rsid w:val="0022256D"/>
    <w:rsid w:val="0023309B"/>
    <w:rsid w:val="00241240"/>
    <w:rsid w:val="00243A5B"/>
    <w:rsid w:val="00246D56"/>
    <w:rsid w:val="00250ED2"/>
    <w:rsid w:val="00256813"/>
    <w:rsid w:val="0026384D"/>
    <w:rsid w:val="0026510A"/>
    <w:rsid w:val="00267AD3"/>
    <w:rsid w:val="00272307"/>
    <w:rsid w:val="00277681"/>
    <w:rsid w:val="002844E1"/>
    <w:rsid w:val="0028562E"/>
    <w:rsid w:val="00294CBC"/>
    <w:rsid w:val="002962D2"/>
    <w:rsid w:val="002B105D"/>
    <w:rsid w:val="002B23A0"/>
    <w:rsid w:val="002B42DE"/>
    <w:rsid w:val="002F0B9C"/>
    <w:rsid w:val="002F297D"/>
    <w:rsid w:val="002F5E76"/>
    <w:rsid w:val="00301183"/>
    <w:rsid w:val="00301969"/>
    <w:rsid w:val="00314BEF"/>
    <w:rsid w:val="00320BCB"/>
    <w:rsid w:val="00321752"/>
    <w:rsid w:val="00322ED3"/>
    <w:rsid w:val="00326CFA"/>
    <w:rsid w:val="0034089C"/>
    <w:rsid w:val="0037067A"/>
    <w:rsid w:val="00370B40"/>
    <w:rsid w:val="00370FE1"/>
    <w:rsid w:val="00371515"/>
    <w:rsid w:val="00381B59"/>
    <w:rsid w:val="003954BB"/>
    <w:rsid w:val="003A0DEF"/>
    <w:rsid w:val="003A3685"/>
    <w:rsid w:val="003B6218"/>
    <w:rsid w:val="003B6743"/>
    <w:rsid w:val="003D0620"/>
    <w:rsid w:val="003D2629"/>
    <w:rsid w:val="003D5E3A"/>
    <w:rsid w:val="003E0BC9"/>
    <w:rsid w:val="003E1192"/>
    <w:rsid w:val="003E3B8A"/>
    <w:rsid w:val="00400F6A"/>
    <w:rsid w:val="00406C96"/>
    <w:rsid w:val="00430955"/>
    <w:rsid w:val="00445E5A"/>
    <w:rsid w:val="00451C87"/>
    <w:rsid w:val="004553C1"/>
    <w:rsid w:val="004560BB"/>
    <w:rsid w:val="0045798B"/>
    <w:rsid w:val="00465DBF"/>
    <w:rsid w:val="004744FD"/>
    <w:rsid w:val="00475139"/>
    <w:rsid w:val="00476A9B"/>
    <w:rsid w:val="0048382D"/>
    <w:rsid w:val="004956C5"/>
    <w:rsid w:val="004974CA"/>
    <w:rsid w:val="004C360A"/>
    <w:rsid w:val="004D1E5D"/>
    <w:rsid w:val="004D334D"/>
    <w:rsid w:val="004E2870"/>
    <w:rsid w:val="0050618C"/>
    <w:rsid w:val="00510FF3"/>
    <w:rsid w:val="00513F42"/>
    <w:rsid w:val="00520B39"/>
    <w:rsid w:val="00537797"/>
    <w:rsid w:val="005441C4"/>
    <w:rsid w:val="00547EF1"/>
    <w:rsid w:val="0055799A"/>
    <w:rsid w:val="005836E1"/>
    <w:rsid w:val="00590C22"/>
    <w:rsid w:val="005B299D"/>
    <w:rsid w:val="005C0A8A"/>
    <w:rsid w:val="005D01DA"/>
    <w:rsid w:val="005D236A"/>
    <w:rsid w:val="005D329E"/>
    <w:rsid w:val="005E35C0"/>
    <w:rsid w:val="006079AA"/>
    <w:rsid w:val="006139FB"/>
    <w:rsid w:val="00622871"/>
    <w:rsid w:val="00625640"/>
    <w:rsid w:val="0063040A"/>
    <w:rsid w:val="00635F9C"/>
    <w:rsid w:val="006369D2"/>
    <w:rsid w:val="00637C08"/>
    <w:rsid w:val="00644BA4"/>
    <w:rsid w:val="00647B13"/>
    <w:rsid w:val="00655178"/>
    <w:rsid w:val="0067290A"/>
    <w:rsid w:val="006735AC"/>
    <w:rsid w:val="006809C1"/>
    <w:rsid w:val="00687D90"/>
    <w:rsid w:val="006A0F21"/>
    <w:rsid w:val="006B3E95"/>
    <w:rsid w:val="006D797B"/>
    <w:rsid w:val="006E7C83"/>
    <w:rsid w:val="00705F2F"/>
    <w:rsid w:val="00715A05"/>
    <w:rsid w:val="00736D64"/>
    <w:rsid w:val="0074164D"/>
    <w:rsid w:val="007509C7"/>
    <w:rsid w:val="00752FB4"/>
    <w:rsid w:val="007667B1"/>
    <w:rsid w:val="00775A75"/>
    <w:rsid w:val="00785E34"/>
    <w:rsid w:val="00787665"/>
    <w:rsid w:val="0079481A"/>
    <w:rsid w:val="00796CEF"/>
    <w:rsid w:val="007A04DD"/>
    <w:rsid w:val="007A3EFC"/>
    <w:rsid w:val="007A7198"/>
    <w:rsid w:val="007A79A5"/>
    <w:rsid w:val="007B1753"/>
    <w:rsid w:val="007C0EB4"/>
    <w:rsid w:val="007D7C29"/>
    <w:rsid w:val="007E6C67"/>
    <w:rsid w:val="007F4074"/>
    <w:rsid w:val="007F449C"/>
    <w:rsid w:val="00804BA9"/>
    <w:rsid w:val="00807D57"/>
    <w:rsid w:val="00843D1E"/>
    <w:rsid w:val="008530B0"/>
    <w:rsid w:val="008734B5"/>
    <w:rsid w:val="0088076D"/>
    <w:rsid w:val="00886FDA"/>
    <w:rsid w:val="00897853"/>
    <w:rsid w:val="008A3B9A"/>
    <w:rsid w:val="008A518F"/>
    <w:rsid w:val="008B2625"/>
    <w:rsid w:val="008B3196"/>
    <w:rsid w:val="008B4EC6"/>
    <w:rsid w:val="008B7B75"/>
    <w:rsid w:val="008C31A9"/>
    <w:rsid w:val="008C5D5D"/>
    <w:rsid w:val="008C7EF3"/>
    <w:rsid w:val="008D12D1"/>
    <w:rsid w:val="008D1D39"/>
    <w:rsid w:val="008D364A"/>
    <w:rsid w:val="008E5F6A"/>
    <w:rsid w:val="008F126B"/>
    <w:rsid w:val="00905873"/>
    <w:rsid w:val="00923202"/>
    <w:rsid w:val="0094511E"/>
    <w:rsid w:val="0096748B"/>
    <w:rsid w:val="009C0ED5"/>
    <w:rsid w:val="009C48E1"/>
    <w:rsid w:val="009E7DD5"/>
    <w:rsid w:val="00A346C6"/>
    <w:rsid w:val="00A47DB2"/>
    <w:rsid w:val="00A5168D"/>
    <w:rsid w:val="00A5560D"/>
    <w:rsid w:val="00A55DED"/>
    <w:rsid w:val="00A60DAC"/>
    <w:rsid w:val="00A71D82"/>
    <w:rsid w:val="00A71DB8"/>
    <w:rsid w:val="00A732CB"/>
    <w:rsid w:val="00A91470"/>
    <w:rsid w:val="00AA02F4"/>
    <w:rsid w:val="00AA322D"/>
    <w:rsid w:val="00AA5092"/>
    <w:rsid w:val="00AB3C48"/>
    <w:rsid w:val="00AB6B4A"/>
    <w:rsid w:val="00AC2355"/>
    <w:rsid w:val="00AC4683"/>
    <w:rsid w:val="00AC4C47"/>
    <w:rsid w:val="00AD1B65"/>
    <w:rsid w:val="00AE7EE3"/>
    <w:rsid w:val="00AF14AD"/>
    <w:rsid w:val="00AF472B"/>
    <w:rsid w:val="00AF50F6"/>
    <w:rsid w:val="00B11AD5"/>
    <w:rsid w:val="00B2529C"/>
    <w:rsid w:val="00B31EE0"/>
    <w:rsid w:val="00B32AB3"/>
    <w:rsid w:val="00B45292"/>
    <w:rsid w:val="00B5471D"/>
    <w:rsid w:val="00B65CFE"/>
    <w:rsid w:val="00B730DD"/>
    <w:rsid w:val="00B73D3F"/>
    <w:rsid w:val="00B76B21"/>
    <w:rsid w:val="00B82C22"/>
    <w:rsid w:val="00BA5DC1"/>
    <w:rsid w:val="00BB1875"/>
    <w:rsid w:val="00BC4477"/>
    <w:rsid w:val="00BC6F5F"/>
    <w:rsid w:val="00BE1FC6"/>
    <w:rsid w:val="00BE3E3D"/>
    <w:rsid w:val="00BE4C06"/>
    <w:rsid w:val="00BE7E04"/>
    <w:rsid w:val="00BF0400"/>
    <w:rsid w:val="00C01796"/>
    <w:rsid w:val="00C078DE"/>
    <w:rsid w:val="00C145CF"/>
    <w:rsid w:val="00C21AF9"/>
    <w:rsid w:val="00C316FD"/>
    <w:rsid w:val="00C3763D"/>
    <w:rsid w:val="00C37CB3"/>
    <w:rsid w:val="00C53457"/>
    <w:rsid w:val="00C56B8A"/>
    <w:rsid w:val="00C6633F"/>
    <w:rsid w:val="00C83C7F"/>
    <w:rsid w:val="00C90135"/>
    <w:rsid w:val="00CB7248"/>
    <w:rsid w:val="00CC0169"/>
    <w:rsid w:val="00CC0313"/>
    <w:rsid w:val="00CC0B6B"/>
    <w:rsid w:val="00CD57C2"/>
    <w:rsid w:val="00CD5909"/>
    <w:rsid w:val="00CD5DCB"/>
    <w:rsid w:val="00CD6F9C"/>
    <w:rsid w:val="00CE1313"/>
    <w:rsid w:val="00CE4788"/>
    <w:rsid w:val="00D025A5"/>
    <w:rsid w:val="00D06926"/>
    <w:rsid w:val="00D239B9"/>
    <w:rsid w:val="00D3231E"/>
    <w:rsid w:val="00D36B2E"/>
    <w:rsid w:val="00D41D3B"/>
    <w:rsid w:val="00D41FC5"/>
    <w:rsid w:val="00D50903"/>
    <w:rsid w:val="00D5245D"/>
    <w:rsid w:val="00D5778A"/>
    <w:rsid w:val="00D6002D"/>
    <w:rsid w:val="00D778A3"/>
    <w:rsid w:val="00D77C7F"/>
    <w:rsid w:val="00D91956"/>
    <w:rsid w:val="00D92E1C"/>
    <w:rsid w:val="00D930BE"/>
    <w:rsid w:val="00DA0E8D"/>
    <w:rsid w:val="00DA101E"/>
    <w:rsid w:val="00DA5B93"/>
    <w:rsid w:val="00DA635F"/>
    <w:rsid w:val="00DB0B17"/>
    <w:rsid w:val="00DB5700"/>
    <w:rsid w:val="00DC0189"/>
    <w:rsid w:val="00DC51DD"/>
    <w:rsid w:val="00DD47B0"/>
    <w:rsid w:val="00DD6216"/>
    <w:rsid w:val="00DE55E1"/>
    <w:rsid w:val="00DF27D4"/>
    <w:rsid w:val="00DF3665"/>
    <w:rsid w:val="00E01CAB"/>
    <w:rsid w:val="00E05ED5"/>
    <w:rsid w:val="00E2479B"/>
    <w:rsid w:val="00E41C65"/>
    <w:rsid w:val="00E433C6"/>
    <w:rsid w:val="00E43CC3"/>
    <w:rsid w:val="00E445C2"/>
    <w:rsid w:val="00E650AB"/>
    <w:rsid w:val="00E709EC"/>
    <w:rsid w:val="00E80BF4"/>
    <w:rsid w:val="00E866CA"/>
    <w:rsid w:val="00E90F14"/>
    <w:rsid w:val="00E952C2"/>
    <w:rsid w:val="00EC05B0"/>
    <w:rsid w:val="00EC0F7B"/>
    <w:rsid w:val="00EC1921"/>
    <w:rsid w:val="00EC3DD1"/>
    <w:rsid w:val="00EC5E2F"/>
    <w:rsid w:val="00ED5553"/>
    <w:rsid w:val="00EE3017"/>
    <w:rsid w:val="00EE5F56"/>
    <w:rsid w:val="00EF4F79"/>
    <w:rsid w:val="00EF71D7"/>
    <w:rsid w:val="00F021A8"/>
    <w:rsid w:val="00F164AE"/>
    <w:rsid w:val="00F16B26"/>
    <w:rsid w:val="00F20FAE"/>
    <w:rsid w:val="00F428FB"/>
    <w:rsid w:val="00F439F9"/>
    <w:rsid w:val="00F5082C"/>
    <w:rsid w:val="00F60C59"/>
    <w:rsid w:val="00F62BEE"/>
    <w:rsid w:val="00F63838"/>
    <w:rsid w:val="00F65125"/>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C01796"/>
    <w:pPr>
      <w:keepNext/>
      <w:keepLines/>
      <w:numPr>
        <w:numId w:val="1"/>
      </w:numPr>
      <w:spacing w:before="200"/>
      <w:ind w:left="360"/>
      <w:outlineLvl w:val="1"/>
    </w:pPr>
    <w:rPr>
      <w:bCs/>
      <w:i/>
      <w:sz w:val="22"/>
      <w:szCs w:val="22"/>
    </w:rPr>
  </w:style>
  <w:style w:type="paragraph" w:styleId="Heading3">
    <w:name w:val="heading 3"/>
    <w:basedOn w:val="Normal"/>
    <w:next w:val="Normal"/>
    <w:link w:val="Heading3Char"/>
    <w:uiPriority w:val="99"/>
    <w:qFormat/>
    <w:rsid w:val="002F5E76"/>
    <w:pPr>
      <w:keepNext/>
      <w:keepLines/>
      <w:spacing w:before="40" w:line="259" w:lineRule="auto"/>
      <w:jc w:val="left"/>
      <w:outlineLvl w:val="2"/>
    </w:pPr>
    <w:rPr>
      <w:rFonts w:ascii="Cambria" w:hAnsi="Cambria"/>
      <w:color w:val="243F60"/>
      <w:lang w:val="hr-HR"/>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C01796"/>
    <w:rPr>
      <w:rFonts w:ascii="Times New Roman" w:hAnsi="Times New Roman" w:cs="Times New Roman"/>
      <w:bCs/>
      <w:i/>
      <w:sz w:val="22"/>
      <w:szCs w:val="22"/>
      <w:lang w:val="en-GB"/>
    </w:rPr>
  </w:style>
  <w:style w:type="character" w:customStyle="1" w:styleId="Heading3Char">
    <w:name w:val="Heading 3 Char"/>
    <w:basedOn w:val="DefaultParagraphFont"/>
    <w:link w:val="Heading3"/>
    <w:uiPriority w:val="99"/>
    <w:locked/>
    <w:rsid w:val="002F5E76"/>
    <w:rPr>
      <w:rFonts w:ascii="Cambria" w:hAnsi="Cambria" w:cs="Times New Roman"/>
      <w:color w:val="243F60"/>
      <w:lang w:val="hr-HR"/>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6622A8"/>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6622A8"/>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6622A8"/>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paragraph" w:styleId="Caption">
    <w:name w:val="caption"/>
    <w:basedOn w:val="Normal"/>
    <w:next w:val="Normal"/>
    <w:uiPriority w:val="99"/>
    <w:qFormat/>
    <w:rsid w:val="002F5E76"/>
    <w:pPr>
      <w:spacing w:before="0" w:after="200"/>
      <w:jc w:val="left"/>
    </w:pPr>
    <w:rPr>
      <w:rFonts w:ascii="Cambria" w:hAnsi="Cambria"/>
      <w:i/>
      <w:iCs/>
      <w:color w:val="1F497D"/>
      <w:sz w:val="18"/>
      <w:szCs w:val="18"/>
      <w:lang w:val="hr-HR"/>
    </w:rPr>
  </w:style>
  <w:style w:type="character" w:customStyle="1" w:styleId="apple-converted-space">
    <w:name w:val="apple-converted-space"/>
    <w:basedOn w:val="DefaultParagraphFont"/>
    <w:uiPriority w:val="99"/>
    <w:rsid w:val="002F5E76"/>
    <w:rPr>
      <w:rFonts w:cs="Times New Roman"/>
    </w:rPr>
  </w:style>
  <w:style w:type="character" w:styleId="PlaceholderText">
    <w:name w:val="Placeholder Text"/>
    <w:basedOn w:val="DefaultParagraphFont"/>
    <w:uiPriority w:val="99"/>
    <w:semiHidden/>
    <w:rsid w:val="002F5E76"/>
    <w:rPr>
      <w:rFonts w:cs="Times New Roman"/>
      <w:color w:val="808080"/>
    </w:rPr>
  </w:style>
  <w:style w:type="character" w:customStyle="1" w:styleId="obrascitr12b">
    <w:name w:val="obrasci_tr_12_b"/>
    <w:basedOn w:val="DefaultParagraphFont"/>
    <w:uiPriority w:val="99"/>
    <w:rsid w:val="002F5E76"/>
    <w:rPr>
      <w:rFonts w:ascii="Times New Roman" w:hAnsi="Times New Roman" w:cs="Times New Roman"/>
      <w:b/>
      <w:color w:val="000000"/>
      <w:sz w:val="24"/>
    </w:rPr>
  </w:style>
  <w:style w:type="character" w:customStyle="1" w:styleId="Style1">
    <w:name w:val="Style1"/>
    <w:basedOn w:val="DefaultParagraphFont"/>
    <w:uiPriority w:val="99"/>
    <w:rsid w:val="002F5E76"/>
    <w:rPr>
      <w:rFonts w:ascii="Izjava3" w:hAnsi="Izjava3" w:cs="Times New Roman"/>
      <w:b/>
      <w:color w:val="auto"/>
      <w:sz w:val="28"/>
    </w:rPr>
  </w:style>
  <w:style w:type="character" w:customStyle="1" w:styleId="Style2">
    <w:name w:val="Style2"/>
    <w:basedOn w:val="DefaultParagraphFont"/>
    <w:uiPriority w:val="99"/>
    <w:rsid w:val="002F5E76"/>
    <w:rPr>
      <w:rFonts w:ascii="Izjava3" w:hAnsi="Izjava3" w:cs="Times New Roman"/>
      <w:b/>
      <w:color w:val="auto"/>
      <w:sz w:val="28"/>
    </w:rPr>
  </w:style>
  <w:style w:type="character" w:styleId="Strong">
    <w:name w:val="Strong"/>
    <w:basedOn w:val="DefaultParagraphFont"/>
    <w:uiPriority w:val="99"/>
    <w:qFormat/>
    <w:rsid w:val="002F5E76"/>
    <w:rPr>
      <w:rFonts w:cs="Times New Roman"/>
      <w:b/>
      <w:bCs/>
    </w:rPr>
  </w:style>
  <w:style w:type="paragraph" w:styleId="Subtitle">
    <w:name w:val="Subtitle"/>
    <w:basedOn w:val="Normal"/>
    <w:next w:val="Normal"/>
    <w:link w:val="SubtitleChar"/>
    <w:uiPriority w:val="99"/>
    <w:qFormat/>
    <w:rsid w:val="002F5E76"/>
    <w:pPr>
      <w:numPr>
        <w:ilvl w:val="1"/>
      </w:numPr>
      <w:spacing w:before="0" w:after="160" w:line="360" w:lineRule="auto"/>
      <w:jc w:val="left"/>
    </w:pPr>
    <w:rPr>
      <w:rFonts w:ascii="Cambria" w:hAnsi="Cambria"/>
      <w:color w:val="5A5A5A"/>
      <w:spacing w:val="15"/>
      <w:sz w:val="22"/>
      <w:szCs w:val="22"/>
      <w:lang w:val="hr-HR" w:eastAsia="hr-HR"/>
    </w:rPr>
  </w:style>
  <w:style w:type="character" w:customStyle="1" w:styleId="SubtitleChar">
    <w:name w:val="Subtitle Char"/>
    <w:basedOn w:val="DefaultParagraphFont"/>
    <w:link w:val="Subtitle"/>
    <w:uiPriority w:val="99"/>
    <w:locked/>
    <w:rsid w:val="002F5E76"/>
    <w:rPr>
      <w:rFonts w:cs="Times New Roman"/>
      <w:color w:val="5A5A5A"/>
      <w:spacing w:val="15"/>
      <w:sz w:val="22"/>
      <w:szCs w:val="22"/>
      <w:lang w:val="hr-HR" w:eastAsia="hr-HR"/>
    </w:rPr>
  </w:style>
  <w:style w:type="paragraph" w:styleId="z-TopofForm">
    <w:name w:val="HTML Top of Form"/>
    <w:basedOn w:val="Normal"/>
    <w:next w:val="Normal"/>
    <w:link w:val="z-TopofFormChar"/>
    <w:hidden/>
    <w:uiPriority w:val="99"/>
    <w:semiHidden/>
    <w:rsid w:val="002F5E76"/>
    <w:pPr>
      <w:pBdr>
        <w:bottom w:val="single" w:sz="6" w:space="1" w:color="auto"/>
      </w:pBdr>
      <w:spacing w:before="0" w:line="360" w:lineRule="auto"/>
      <w:jc w:val="center"/>
    </w:pPr>
    <w:rPr>
      <w:rFonts w:ascii="Arial" w:hAnsi="Arial" w:cs="Arial"/>
      <w:vanish/>
      <w:color w:val="000000"/>
      <w:sz w:val="16"/>
      <w:szCs w:val="16"/>
      <w:lang w:val="hr-HR" w:eastAsia="hr-HR"/>
    </w:rPr>
  </w:style>
  <w:style w:type="character" w:customStyle="1" w:styleId="z-TopofFormChar">
    <w:name w:val="z-Top of Form Char"/>
    <w:basedOn w:val="DefaultParagraphFont"/>
    <w:link w:val="z-TopofForm"/>
    <w:uiPriority w:val="99"/>
    <w:semiHidden/>
    <w:locked/>
    <w:rsid w:val="002F5E76"/>
    <w:rPr>
      <w:rFonts w:ascii="Arial" w:hAnsi="Arial" w:cs="Arial"/>
      <w:vanish/>
      <w:color w:val="000000"/>
      <w:sz w:val="16"/>
      <w:szCs w:val="16"/>
      <w:lang w:val="hr-HR" w:eastAsia="hr-HR"/>
    </w:rPr>
  </w:style>
  <w:style w:type="paragraph" w:styleId="z-BottomofForm">
    <w:name w:val="HTML Bottom of Form"/>
    <w:basedOn w:val="Normal"/>
    <w:next w:val="Normal"/>
    <w:link w:val="z-BottomofFormChar"/>
    <w:hidden/>
    <w:uiPriority w:val="99"/>
    <w:semiHidden/>
    <w:rsid w:val="002F5E76"/>
    <w:pPr>
      <w:pBdr>
        <w:top w:val="single" w:sz="6" w:space="1" w:color="auto"/>
      </w:pBdr>
      <w:spacing w:before="0" w:line="360" w:lineRule="auto"/>
      <w:jc w:val="center"/>
    </w:pPr>
    <w:rPr>
      <w:rFonts w:ascii="Arial" w:hAnsi="Arial" w:cs="Arial"/>
      <w:vanish/>
      <w:color w:val="000000"/>
      <w:sz w:val="16"/>
      <w:szCs w:val="16"/>
      <w:lang w:val="hr-HR" w:eastAsia="hr-HR"/>
    </w:rPr>
  </w:style>
  <w:style w:type="character" w:customStyle="1" w:styleId="z-BottomofFormChar">
    <w:name w:val="z-Bottom of Form Char"/>
    <w:basedOn w:val="DefaultParagraphFont"/>
    <w:link w:val="z-BottomofForm"/>
    <w:uiPriority w:val="99"/>
    <w:semiHidden/>
    <w:locked/>
    <w:rsid w:val="002F5E76"/>
    <w:rPr>
      <w:rFonts w:ascii="Arial" w:hAnsi="Arial" w:cs="Arial"/>
      <w:vanish/>
      <w:color w:val="000000"/>
      <w:sz w:val="16"/>
      <w:szCs w:val="16"/>
      <w:lang w:val="hr-HR" w:eastAsia="hr-HR"/>
    </w:rPr>
  </w:style>
  <w:style w:type="paragraph" w:customStyle="1" w:styleId="Normal2">
    <w:name w:val="Normal2"/>
    <w:basedOn w:val="Normal"/>
    <w:uiPriority w:val="99"/>
    <w:rsid w:val="002F5E76"/>
    <w:pPr>
      <w:spacing w:before="0"/>
    </w:pPr>
    <w:rPr>
      <w:lang w:val="hr-HR" w:eastAsia="hr-HR"/>
    </w:rPr>
  </w:style>
  <w:style w:type="character" w:customStyle="1" w:styleId="obrascitr16b">
    <w:name w:val="obrasci_tr_16_b"/>
    <w:basedOn w:val="DefaultParagraphFont"/>
    <w:uiPriority w:val="99"/>
    <w:rsid w:val="002F5E76"/>
    <w:rPr>
      <w:rFonts w:ascii="Times New Roman" w:hAnsi="Times New Roman" w:cs="Times New Roman"/>
      <w:b/>
      <w:sz w:val="32"/>
    </w:rPr>
  </w:style>
  <w:style w:type="character" w:customStyle="1" w:styleId="obrascitr20b">
    <w:name w:val="obrasci_tr_20_b"/>
    <w:basedOn w:val="DefaultParagraphFont"/>
    <w:uiPriority w:val="99"/>
    <w:rsid w:val="002F5E76"/>
    <w:rPr>
      <w:rFonts w:ascii="Times New Roman" w:hAnsi="Times New Roman" w:cs="Times New Roman"/>
      <w:b/>
      <w:sz w:val="40"/>
    </w:rPr>
  </w:style>
  <w:style w:type="character" w:customStyle="1" w:styleId="obrascitr16">
    <w:name w:val="obrasci_tr_16"/>
    <w:basedOn w:val="DefaultParagraphFont"/>
    <w:uiPriority w:val="99"/>
    <w:rsid w:val="002F5E76"/>
    <w:rPr>
      <w:rFonts w:ascii="Times New Roman" w:hAnsi="Times New Roman" w:cs="Times New Roman"/>
      <w:sz w:val="32"/>
    </w:rPr>
  </w:style>
  <w:style w:type="character" w:customStyle="1" w:styleId="obrascitr14">
    <w:name w:val="obrasci_tr_14"/>
    <w:basedOn w:val="DefaultParagraphFont"/>
    <w:uiPriority w:val="99"/>
    <w:rsid w:val="002F5E76"/>
    <w:rPr>
      <w:rFonts w:ascii="Times New Roman" w:hAnsi="Times New Roman" w:cs="Times New Roman"/>
      <w:sz w:val="28"/>
    </w:rPr>
  </w:style>
  <w:style w:type="paragraph" w:customStyle="1" w:styleId="obrascitr18">
    <w:name w:val="obrasci_tr_18"/>
    <w:basedOn w:val="Normal"/>
    <w:link w:val="obrascitr18Char"/>
    <w:uiPriority w:val="99"/>
    <w:rsid w:val="002F5E76"/>
    <w:pPr>
      <w:spacing w:before="0" w:line="360" w:lineRule="auto"/>
      <w:jc w:val="center"/>
    </w:pPr>
    <w:rPr>
      <w:sz w:val="36"/>
      <w:szCs w:val="36"/>
      <w:lang w:val="hr-HR"/>
    </w:rPr>
  </w:style>
  <w:style w:type="character" w:customStyle="1" w:styleId="obrascitr18Char">
    <w:name w:val="obrasci_tr_18 Char"/>
    <w:basedOn w:val="DefaultParagraphFont"/>
    <w:link w:val="obrascitr18"/>
    <w:uiPriority w:val="99"/>
    <w:locked/>
    <w:rsid w:val="002F5E76"/>
    <w:rPr>
      <w:rFonts w:ascii="Times New Roman" w:eastAsia="Times New Roman" w:hAnsi="Times New Roman" w:cs="Times New Roman"/>
      <w:sz w:val="36"/>
      <w:szCs w:val="36"/>
      <w:lang w:val="hr-HR"/>
    </w:rPr>
  </w:style>
  <w:style w:type="paragraph" w:customStyle="1" w:styleId="obrascitr12">
    <w:name w:val="obrasci_tr_12"/>
    <w:basedOn w:val="obrascitr18"/>
    <w:link w:val="obrascitr12Char"/>
    <w:uiPriority w:val="99"/>
    <w:rsid w:val="002F5E76"/>
    <w:rPr>
      <w:color w:val="000000"/>
      <w:lang w:eastAsia="hr-HR"/>
    </w:rPr>
  </w:style>
  <w:style w:type="character" w:customStyle="1" w:styleId="obrascitr12Char">
    <w:name w:val="obrasci_tr_12 Char"/>
    <w:basedOn w:val="obrascitr18Char"/>
    <w:link w:val="obrascitr12"/>
    <w:uiPriority w:val="99"/>
    <w:locked/>
    <w:rsid w:val="002F5E76"/>
    <w:rPr>
      <w:color w:val="000000"/>
      <w:lang w:eastAsia="hr-HR"/>
    </w:rPr>
  </w:style>
  <w:style w:type="character" w:customStyle="1" w:styleId="obrascitr12bold">
    <w:name w:val="obrasci_tr12_bold"/>
    <w:basedOn w:val="DefaultParagraphFont"/>
    <w:uiPriority w:val="99"/>
    <w:rsid w:val="002F5E76"/>
    <w:rPr>
      <w:rFonts w:ascii="Times New Roman" w:hAnsi="Times New Roman" w:cs="Times New Roman"/>
      <w:b/>
      <w:sz w:val="24"/>
    </w:rPr>
  </w:style>
  <w:style w:type="paragraph" w:customStyle="1" w:styleId="obrascitr14b">
    <w:name w:val="obrasci_tr_14_b"/>
    <w:basedOn w:val="obrascitr12"/>
    <w:link w:val="obrascitr14bChar"/>
    <w:uiPriority w:val="99"/>
    <w:rsid w:val="002F5E76"/>
    <w:pPr>
      <w:spacing w:before="1000" w:after="1000"/>
    </w:pPr>
    <w:rPr>
      <w:b/>
      <w:sz w:val="28"/>
      <w:szCs w:val="28"/>
    </w:rPr>
  </w:style>
  <w:style w:type="character" w:customStyle="1" w:styleId="obrascitr14bChar">
    <w:name w:val="obrasci_tr_14_b Char"/>
    <w:basedOn w:val="obrascitr12Char"/>
    <w:link w:val="obrascitr14b"/>
    <w:uiPriority w:val="99"/>
    <w:locked/>
    <w:rsid w:val="002F5E76"/>
    <w:rPr>
      <w:rFonts w:eastAsia="Times New Roman"/>
      <w:b/>
      <w:sz w:val="28"/>
      <w:szCs w:val="28"/>
    </w:rPr>
  </w:style>
  <w:style w:type="paragraph" w:styleId="TOCHeading">
    <w:name w:val="TOC Heading"/>
    <w:basedOn w:val="Heading1"/>
    <w:next w:val="Normal"/>
    <w:uiPriority w:val="99"/>
    <w:qFormat/>
    <w:rsid w:val="002F5E76"/>
    <w:pPr>
      <w:spacing w:before="240" w:after="0" w:line="259" w:lineRule="auto"/>
      <w:ind w:left="0" w:firstLine="0"/>
      <w:outlineLvl w:val="9"/>
    </w:pPr>
    <w:rPr>
      <w:rFonts w:ascii="Calibri" w:hAnsi="Calibri"/>
      <w:b w:val="0"/>
      <w:bCs w:val="0"/>
      <w:color w:val="365F91"/>
      <w:sz w:val="32"/>
      <w:szCs w:val="32"/>
      <w:lang w:val="hr-HR" w:eastAsia="hr-HR"/>
    </w:rPr>
  </w:style>
  <w:style w:type="character" w:customStyle="1" w:styleId="Spominjanje1">
    <w:name w:val="Spominjanje1"/>
    <w:basedOn w:val="DefaultParagraphFont"/>
    <w:uiPriority w:val="99"/>
    <w:semiHidden/>
    <w:rsid w:val="002F5E76"/>
    <w:rPr>
      <w:rFonts w:cs="Times New Roman"/>
      <w:color w:val="2B579A"/>
      <w:shd w:val="clear" w:color="auto" w:fill="E6E6E6"/>
    </w:rPr>
  </w:style>
  <w:style w:type="character" w:styleId="Emphasis">
    <w:name w:val="Emphasis"/>
    <w:basedOn w:val="DefaultParagraphFont"/>
    <w:uiPriority w:val="99"/>
    <w:qFormat/>
    <w:rsid w:val="002F5E76"/>
    <w:rPr>
      <w:rFonts w:cs="Times New Roman"/>
      <w:i/>
      <w:iCs/>
    </w:rPr>
  </w:style>
  <w:style w:type="character" w:styleId="FollowedHyperlink">
    <w:name w:val="FollowedHyperlink"/>
    <w:basedOn w:val="DefaultParagraphFont"/>
    <w:uiPriority w:val="99"/>
    <w:semiHidden/>
    <w:rsid w:val="002F5E76"/>
    <w:rPr>
      <w:rFonts w:cs="Times New Roman"/>
      <w:color w:val="800080"/>
      <w:u w:val="single"/>
    </w:rPr>
  </w:style>
  <w:style w:type="paragraph" w:styleId="TableofFigures">
    <w:name w:val="table of figures"/>
    <w:basedOn w:val="Normal"/>
    <w:next w:val="Normal"/>
    <w:uiPriority w:val="99"/>
    <w:rsid w:val="002F5E76"/>
    <w:pPr>
      <w:spacing w:before="0" w:line="360" w:lineRule="auto"/>
      <w:jc w:val="left"/>
    </w:pPr>
    <w:rPr>
      <w:color w:val="000000"/>
      <w:lang w:val="hr-HR" w:eastAsia="hr-HR"/>
    </w:rPr>
  </w:style>
  <w:style w:type="character" w:customStyle="1" w:styleId="TekstfusnoteChar1">
    <w:name w:val="Tekst fusnote Char1"/>
    <w:basedOn w:val="DefaultParagraphFont"/>
    <w:uiPriority w:val="99"/>
    <w:semiHidden/>
    <w:rsid w:val="002F5E76"/>
    <w:rPr>
      <w:rFonts w:cs="Times New Roman"/>
      <w:sz w:val="20"/>
      <w:szCs w:val="20"/>
    </w:rPr>
  </w:style>
  <w:style w:type="character" w:customStyle="1" w:styleId="Hiperveza1">
    <w:name w:val="Hiperveza1"/>
    <w:basedOn w:val="DefaultParagraphFont"/>
    <w:uiPriority w:val="99"/>
    <w:rsid w:val="002F5E76"/>
    <w:rPr>
      <w:rFonts w:cs="Times New Roman"/>
      <w:color w:val="0000FF"/>
      <w:u w:val="single"/>
    </w:rPr>
  </w:style>
  <w:style w:type="paragraph" w:customStyle="1" w:styleId="Tekstfusnote1">
    <w:name w:val="Tekst fusnote1"/>
    <w:basedOn w:val="Normal"/>
    <w:next w:val="FootnoteText"/>
    <w:uiPriority w:val="99"/>
    <w:rsid w:val="002F5E76"/>
    <w:pPr>
      <w:spacing w:before="0"/>
      <w:jc w:val="left"/>
    </w:pPr>
    <w:rPr>
      <w:rFonts w:ascii="Calibri" w:hAnsi="Calibri"/>
      <w:sz w:val="22"/>
      <w:szCs w:val="22"/>
      <w:lang w:val="hr-HR"/>
    </w:rPr>
  </w:style>
  <w:style w:type="paragraph" w:customStyle="1" w:styleId="Naslov11">
    <w:name w:val="Naslov 11"/>
    <w:basedOn w:val="Normal"/>
    <w:next w:val="Normal"/>
    <w:uiPriority w:val="99"/>
    <w:rsid w:val="002F5E76"/>
    <w:pPr>
      <w:keepNext/>
      <w:keepLines/>
      <w:spacing w:line="360" w:lineRule="auto"/>
      <w:jc w:val="left"/>
      <w:outlineLvl w:val="0"/>
    </w:pPr>
    <w:rPr>
      <w:rFonts w:ascii="Cambria" w:hAnsi="Cambria"/>
      <w:color w:val="365F91"/>
      <w:sz w:val="32"/>
      <w:szCs w:val="32"/>
      <w:lang w:val="hr-HR" w:eastAsia="hr-HR"/>
    </w:rPr>
  </w:style>
  <w:style w:type="paragraph" w:customStyle="1" w:styleId="Naslov21">
    <w:name w:val="Naslov 21"/>
    <w:basedOn w:val="Normal"/>
    <w:next w:val="Normal"/>
    <w:uiPriority w:val="99"/>
    <w:rsid w:val="002F5E76"/>
    <w:pPr>
      <w:keepNext/>
      <w:keepLines/>
      <w:spacing w:before="40" w:line="360" w:lineRule="auto"/>
      <w:jc w:val="left"/>
      <w:outlineLvl w:val="1"/>
    </w:pPr>
    <w:rPr>
      <w:rFonts w:ascii="Cambria" w:hAnsi="Cambria"/>
      <w:color w:val="365F91"/>
      <w:sz w:val="26"/>
      <w:szCs w:val="26"/>
      <w:lang w:val="hr-HR" w:eastAsia="hr-HR"/>
    </w:rPr>
  </w:style>
  <w:style w:type="paragraph" w:customStyle="1" w:styleId="Naslov31">
    <w:name w:val="Naslov 31"/>
    <w:basedOn w:val="Normal"/>
    <w:next w:val="Normal"/>
    <w:uiPriority w:val="99"/>
    <w:semiHidden/>
    <w:rsid w:val="002F5E76"/>
    <w:pPr>
      <w:keepNext/>
      <w:keepLines/>
      <w:spacing w:before="40" w:line="360" w:lineRule="auto"/>
      <w:jc w:val="left"/>
      <w:outlineLvl w:val="2"/>
    </w:pPr>
    <w:rPr>
      <w:rFonts w:ascii="Cambria" w:hAnsi="Cambria"/>
      <w:color w:val="243F60"/>
      <w:lang w:val="hr-HR" w:eastAsia="hr-HR"/>
    </w:rPr>
  </w:style>
  <w:style w:type="paragraph" w:customStyle="1" w:styleId="Zaglavlje1">
    <w:name w:val="Zaglavlje1"/>
    <w:basedOn w:val="Normal"/>
    <w:next w:val="Header"/>
    <w:uiPriority w:val="99"/>
    <w:rsid w:val="002F5E76"/>
    <w:pPr>
      <w:tabs>
        <w:tab w:val="center" w:pos="4536"/>
        <w:tab w:val="right" w:pos="9072"/>
      </w:tabs>
      <w:spacing w:before="0" w:line="360" w:lineRule="auto"/>
      <w:jc w:val="left"/>
    </w:pPr>
    <w:rPr>
      <w:rFonts w:ascii="Cambria" w:hAnsi="Cambria"/>
      <w:color w:val="000000"/>
      <w:lang w:val="hr-HR"/>
    </w:rPr>
  </w:style>
  <w:style w:type="paragraph" w:customStyle="1" w:styleId="Podnoje1">
    <w:name w:val="Podnožje1"/>
    <w:basedOn w:val="Normal"/>
    <w:next w:val="Footer"/>
    <w:uiPriority w:val="99"/>
    <w:rsid w:val="002F5E76"/>
    <w:pPr>
      <w:tabs>
        <w:tab w:val="center" w:pos="4536"/>
        <w:tab w:val="right" w:pos="9072"/>
      </w:tabs>
      <w:spacing w:before="0" w:line="360" w:lineRule="auto"/>
      <w:jc w:val="left"/>
    </w:pPr>
    <w:rPr>
      <w:rFonts w:ascii="Cambria" w:hAnsi="Cambria"/>
      <w:color w:val="000000"/>
      <w:lang w:val="hr-HR"/>
    </w:rPr>
  </w:style>
  <w:style w:type="paragraph" w:customStyle="1" w:styleId="Podnaslov1">
    <w:name w:val="Podnaslov1"/>
    <w:basedOn w:val="Normal"/>
    <w:next w:val="Normal"/>
    <w:uiPriority w:val="99"/>
    <w:rsid w:val="002F5E76"/>
    <w:pPr>
      <w:numPr>
        <w:ilvl w:val="1"/>
      </w:numPr>
      <w:spacing w:before="0" w:after="160" w:line="360" w:lineRule="auto"/>
      <w:jc w:val="left"/>
    </w:pPr>
    <w:rPr>
      <w:rFonts w:ascii="Cambria" w:hAnsi="Cambria"/>
      <w:color w:val="5A5A5A"/>
      <w:spacing w:val="15"/>
      <w:sz w:val="22"/>
      <w:szCs w:val="22"/>
      <w:lang w:val="hr-HR" w:eastAsia="hr-HR"/>
    </w:rPr>
  </w:style>
  <w:style w:type="paragraph" w:customStyle="1" w:styleId="z-vrhobrasca1">
    <w:name w:val="z-vrh obrasca1"/>
    <w:basedOn w:val="Normal"/>
    <w:next w:val="Normal"/>
    <w:hidden/>
    <w:uiPriority w:val="99"/>
    <w:semiHidden/>
    <w:rsid w:val="002F5E76"/>
    <w:pPr>
      <w:pBdr>
        <w:bottom w:val="single" w:sz="6" w:space="1" w:color="auto"/>
      </w:pBdr>
      <w:spacing w:before="0" w:line="360" w:lineRule="auto"/>
      <w:jc w:val="center"/>
    </w:pPr>
    <w:rPr>
      <w:rFonts w:ascii="Arial" w:hAnsi="Arial" w:cs="Arial"/>
      <w:vanish/>
      <w:color w:val="000000"/>
      <w:sz w:val="16"/>
      <w:szCs w:val="16"/>
      <w:lang w:val="hr-HR" w:eastAsia="hr-HR"/>
    </w:rPr>
  </w:style>
  <w:style w:type="paragraph" w:customStyle="1" w:styleId="z-dnoobrasca1">
    <w:name w:val="z-dno obrasca1"/>
    <w:basedOn w:val="Normal"/>
    <w:next w:val="Normal"/>
    <w:hidden/>
    <w:uiPriority w:val="99"/>
    <w:semiHidden/>
    <w:rsid w:val="002F5E76"/>
    <w:pPr>
      <w:pBdr>
        <w:top w:val="single" w:sz="6" w:space="1" w:color="auto"/>
      </w:pBdr>
      <w:spacing w:before="0" w:line="360" w:lineRule="auto"/>
      <w:jc w:val="center"/>
    </w:pPr>
    <w:rPr>
      <w:rFonts w:ascii="Arial" w:hAnsi="Arial" w:cs="Arial"/>
      <w:vanish/>
      <w:color w:val="000000"/>
      <w:sz w:val="16"/>
      <w:szCs w:val="16"/>
      <w:lang w:val="hr-HR" w:eastAsia="hr-HR"/>
    </w:rPr>
  </w:style>
  <w:style w:type="paragraph" w:customStyle="1" w:styleId="Tekstbalonia1">
    <w:name w:val="Tekst balončića1"/>
    <w:basedOn w:val="Normal"/>
    <w:next w:val="BalloonText"/>
    <w:uiPriority w:val="99"/>
    <w:semiHidden/>
    <w:rsid w:val="002F5E76"/>
    <w:pPr>
      <w:spacing w:before="0"/>
      <w:jc w:val="left"/>
    </w:pPr>
    <w:rPr>
      <w:rFonts w:ascii="Tahoma" w:hAnsi="Tahoma" w:cs="Tahoma"/>
      <w:color w:val="000000"/>
      <w:sz w:val="16"/>
      <w:szCs w:val="16"/>
      <w:lang w:val="hr-HR"/>
    </w:rPr>
  </w:style>
  <w:style w:type="paragraph" w:customStyle="1" w:styleId="TOCNaslov1">
    <w:name w:val="TOC Naslov1"/>
    <w:basedOn w:val="Heading1"/>
    <w:next w:val="Normal"/>
    <w:uiPriority w:val="99"/>
    <w:rsid w:val="002F5E76"/>
    <w:pPr>
      <w:spacing w:before="240" w:after="0" w:line="259" w:lineRule="auto"/>
      <w:ind w:left="0" w:firstLine="0"/>
    </w:pPr>
    <w:rPr>
      <w:b w:val="0"/>
      <w:bCs w:val="0"/>
      <w:color w:val="365F91"/>
      <w:sz w:val="32"/>
      <w:szCs w:val="32"/>
      <w:lang w:val="hr-HR"/>
    </w:rPr>
  </w:style>
  <w:style w:type="paragraph" w:customStyle="1" w:styleId="Odlomakpopisa1">
    <w:name w:val="Odlomak popisa1"/>
    <w:basedOn w:val="Normal"/>
    <w:next w:val="ListParagraph"/>
    <w:uiPriority w:val="99"/>
    <w:rsid w:val="002F5E76"/>
    <w:pPr>
      <w:spacing w:before="0" w:line="360" w:lineRule="auto"/>
      <w:ind w:left="720"/>
      <w:contextualSpacing/>
      <w:jc w:val="left"/>
    </w:pPr>
    <w:rPr>
      <w:color w:val="000000"/>
      <w:lang w:val="hr-HR" w:eastAsia="hr-HR"/>
    </w:rPr>
  </w:style>
  <w:style w:type="paragraph" w:customStyle="1" w:styleId="Sadraj21">
    <w:name w:val="Sadržaj 21"/>
    <w:basedOn w:val="Normal"/>
    <w:next w:val="Normal"/>
    <w:autoRedefine/>
    <w:uiPriority w:val="99"/>
    <w:rsid w:val="002F5E76"/>
    <w:pPr>
      <w:spacing w:before="0" w:after="100" w:line="360" w:lineRule="auto"/>
      <w:ind w:left="240"/>
      <w:jc w:val="left"/>
    </w:pPr>
    <w:rPr>
      <w:color w:val="000000"/>
      <w:lang w:val="hr-HR" w:eastAsia="hr-HR"/>
    </w:rPr>
  </w:style>
  <w:style w:type="paragraph" w:customStyle="1" w:styleId="Sadraj11">
    <w:name w:val="Sadržaj 11"/>
    <w:basedOn w:val="Normal"/>
    <w:next w:val="Normal"/>
    <w:autoRedefine/>
    <w:uiPriority w:val="99"/>
    <w:rsid w:val="002F5E76"/>
    <w:pPr>
      <w:tabs>
        <w:tab w:val="left" w:pos="440"/>
        <w:tab w:val="right" w:leader="dot" w:pos="9060"/>
      </w:tabs>
      <w:spacing w:after="240" w:line="276" w:lineRule="auto"/>
      <w:jc w:val="left"/>
    </w:pPr>
    <w:rPr>
      <w:color w:val="000000"/>
      <w:lang w:val="hr-HR" w:eastAsia="hr-HR"/>
    </w:rPr>
  </w:style>
  <w:style w:type="paragraph" w:customStyle="1" w:styleId="Opisslike1">
    <w:name w:val="Opis slike1"/>
    <w:basedOn w:val="Normal"/>
    <w:next w:val="Normal"/>
    <w:uiPriority w:val="99"/>
    <w:rsid w:val="002F5E76"/>
    <w:pPr>
      <w:spacing w:before="0" w:after="200"/>
      <w:jc w:val="left"/>
    </w:pPr>
    <w:rPr>
      <w:rFonts w:ascii="Cambria" w:hAnsi="Cambria"/>
      <w:i/>
      <w:iCs/>
      <w:color w:val="1F497D"/>
      <w:sz w:val="18"/>
      <w:szCs w:val="18"/>
      <w:lang w:val="hr-HR"/>
    </w:rPr>
  </w:style>
  <w:style w:type="character" w:customStyle="1" w:styleId="SlijeenaHiperveza1">
    <w:name w:val="SlijeđenaHiperveza1"/>
    <w:basedOn w:val="DefaultParagraphFont"/>
    <w:uiPriority w:val="99"/>
    <w:semiHidden/>
    <w:rsid w:val="002F5E76"/>
    <w:rPr>
      <w:rFonts w:cs="Times New Roman"/>
      <w:color w:val="800080"/>
      <w:u w:val="single"/>
    </w:rPr>
  </w:style>
  <w:style w:type="paragraph" w:customStyle="1" w:styleId="Tablicaslika1">
    <w:name w:val="Tablica slika1"/>
    <w:basedOn w:val="Normal"/>
    <w:next w:val="Normal"/>
    <w:uiPriority w:val="99"/>
    <w:rsid w:val="002F5E76"/>
    <w:pPr>
      <w:spacing w:before="0" w:line="360" w:lineRule="auto"/>
      <w:jc w:val="left"/>
    </w:pPr>
    <w:rPr>
      <w:color w:val="000000"/>
      <w:lang w:val="hr-HR" w:eastAsia="hr-HR"/>
    </w:rPr>
  </w:style>
  <w:style w:type="paragraph" w:customStyle="1" w:styleId="Sadraj31">
    <w:name w:val="Sadržaj 31"/>
    <w:basedOn w:val="Normal"/>
    <w:next w:val="Normal"/>
    <w:autoRedefine/>
    <w:uiPriority w:val="99"/>
    <w:rsid w:val="002F5E76"/>
    <w:pPr>
      <w:spacing w:before="0" w:after="100" w:line="360" w:lineRule="auto"/>
      <w:ind w:left="480"/>
      <w:jc w:val="left"/>
    </w:pPr>
    <w:rPr>
      <w:color w:val="000000"/>
      <w:lang w:val="hr-HR" w:eastAsia="hr-HR"/>
    </w:rPr>
  </w:style>
  <w:style w:type="character" w:styleId="CommentReference">
    <w:name w:val="annotation reference"/>
    <w:basedOn w:val="DefaultParagraphFont"/>
    <w:uiPriority w:val="99"/>
    <w:semiHidden/>
    <w:rsid w:val="002F5E76"/>
    <w:rPr>
      <w:rFonts w:cs="Times New Roman"/>
      <w:sz w:val="16"/>
      <w:szCs w:val="16"/>
    </w:rPr>
  </w:style>
  <w:style w:type="paragraph" w:customStyle="1" w:styleId="Tekstkomentara1">
    <w:name w:val="Tekst komentara1"/>
    <w:basedOn w:val="Normal"/>
    <w:next w:val="CommentText"/>
    <w:link w:val="TekstkomentaraChar"/>
    <w:uiPriority w:val="99"/>
    <w:semiHidden/>
    <w:rsid w:val="002F5E76"/>
    <w:pPr>
      <w:spacing w:before="0"/>
      <w:jc w:val="left"/>
    </w:pPr>
    <w:rPr>
      <w:rFonts w:ascii="Cambria" w:hAnsi="Cambria"/>
      <w:color w:val="000000"/>
      <w:sz w:val="22"/>
      <w:szCs w:val="22"/>
      <w:lang w:val="hr-HR"/>
    </w:rPr>
  </w:style>
  <w:style w:type="character" w:customStyle="1" w:styleId="TekstkomentaraChar">
    <w:name w:val="Tekst komentara Char"/>
    <w:basedOn w:val="DefaultParagraphFont"/>
    <w:link w:val="Tekstkomentara1"/>
    <w:uiPriority w:val="99"/>
    <w:semiHidden/>
    <w:locked/>
    <w:rsid w:val="002F5E76"/>
    <w:rPr>
      <w:rFonts w:eastAsia="Times New Roman" w:cs="Times New Roman"/>
      <w:color w:val="000000"/>
      <w:sz w:val="22"/>
      <w:szCs w:val="22"/>
      <w:lang w:val="hr-HR"/>
    </w:rPr>
  </w:style>
  <w:style w:type="paragraph" w:customStyle="1" w:styleId="Predmetkomentara1">
    <w:name w:val="Predmet komentara1"/>
    <w:basedOn w:val="CommentText"/>
    <w:next w:val="CommentText"/>
    <w:uiPriority w:val="99"/>
    <w:semiHidden/>
    <w:rsid w:val="002F5E76"/>
    <w:pPr>
      <w:spacing w:after="0"/>
    </w:pPr>
    <w:rPr>
      <w:rFonts w:ascii="Times New Roman" w:hAnsi="Times New Roman"/>
      <w:b/>
      <w:bCs/>
      <w:color w:val="000000"/>
      <w:lang w:eastAsia="hr-HR"/>
    </w:rPr>
  </w:style>
  <w:style w:type="character" w:customStyle="1" w:styleId="CommentSubjectChar">
    <w:name w:val="Comment Subject Char"/>
    <w:basedOn w:val="TekstkomentaraChar"/>
    <w:link w:val="CommentSubject"/>
    <w:uiPriority w:val="99"/>
    <w:semiHidden/>
    <w:locked/>
    <w:rsid w:val="002F5E76"/>
    <w:rPr>
      <w:b/>
      <w:bCs/>
    </w:rPr>
  </w:style>
  <w:style w:type="paragraph" w:customStyle="1" w:styleId="Tekstkrajnjebiljeke1">
    <w:name w:val="Tekst krajnje bilješke1"/>
    <w:basedOn w:val="Normal"/>
    <w:next w:val="EndnoteText"/>
    <w:link w:val="TekstkrajnjebiljekeChar"/>
    <w:uiPriority w:val="99"/>
    <w:semiHidden/>
    <w:rsid w:val="002F5E76"/>
    <w:pPr>
      <w:spacing w:before="0"/>
      <w:jc w:val="left"/>
    </w:pPr>
    <w:rPr>
      <w:rFonts w:ascii="Cambria" w:hAnsi="Cambria"/>
      <w:color w:val="000000"/>
      <w:sz w:val="22"/>
      <w:szCs w:val="22"/>
      <w:lang w:val="hr-HR"/>
    </w:rPr>
  </w:style>
  <w:style w:type="character" w:customStyle="1" w:styleId="TekstkrajnjebiljekeChar">
    <w:name w:val="Tekst krajnje bilješke Char"/>
    <w:basedOn w:val="DefaultParagraphFont"/>
    <w:link w:val="Tekstkrajnjebiljeke1"/>
    <w:uiPriority w:val="99"/>
    <w:semiHidden/>
    <w:locked/>
    <w:rsid w:val="002F5E76"/>
    <w:rPr>
      <w:rFonts w:eastAsia="Times New Roman" w:cs="Times New Roman"/>
      <w:color w:val="000000"/>
      <w:sz w:val="22"/>
      <w:szCs w:val="22"/>
      <w:lang w:val="hr-HR"/>
    </w:rPr>
  </w:style>
  <w:style w:type="character" w:styleId="EndnoteReference">
    <w:name w:val="endnote reference"/>
    <w:basedOn w:val="DefaultParagraphFont"/>
    <w:uiPriority w:val="99"/>
    <w:semiHidden/>
    <w:rsid w:val="002F5E76"/>
    <w:rPr>
      <w:rFonts w:cs="Times New Roman"/>
      <w:vertAlign w:val="superscript"/>
    </w:rPr>
  </w:style>
  <w:style w:type="paragraph" w:customStyle="1" w:styleId="Default">
    <w:name w:val="Default"/>
    <w:uiPriority w:val="99"/>
    <w:rsid w:val="002F5E76"/>
    <w:pPr>
      <w:autoSpaceDE w:val="0"/>
      <w:autoSpaceDN w:val="0"/>
      <w:adjustRightInd w:val="0"/>
    </w:pPr>
    <w:rPr>
      <w:rFonts w:ascii="Times New Roman" w:hAnsi="Times New Roman"/>
      <w:color w:val="000000"/>
      <w:sz w:val="24"/>
      <w:szCs w:val="24"/>
      <w:lang w:val="hr-HR" w:eastAsia="hr-HR"/>
    </w:rPr>
  </w:style>
  <w:style w:type="character" w:customStyle="1" w:styleId="Naslov1Char1">
    <w:name w:val="Naslov 1 Char1"/>
    <w:basedOn w:val="DefaultParagraphFont"/>
    <w:uiPriority w:val="99"/>
    <w:rsid w:val="002F5E76"/>
    <w:rPr>
      <w:rFonts w:ascii="Calibri" w:hAnsi="Calibri" w:cs="Times New Roman"/>
      <w:color w:val="365F91"/>
      <w:sz w:val="32"/>
      <w:szCs w:val="32"/>
    </w:rPr>
  </w:style>
  <w:style w:type="character" w:customStyle="1" w:styleId="Naslov2Char1">
    <w:name w:val="Naslov 2 Char1"/>
    <w:basedOn w:val="DefaultParagraphFont"/>
    <w:uiPriority w:val="99"/>
    <w:semiHidden/>
    <w:rsid w:val="002F5E76"/>
    <w:rPr>
      <w:rFonts w:ascii="Calibri" w:hAnsi="Calibri" w:cs="Times New Roman"/>
      <w:color w:val="365F91"/>
      <w:sz w:val="26"/>
      <w:szCs w:val="26"/>
    </w:rPr>
  </w:style>
  <w:style w:type="character" w:customStyle="1" w:styleId="Naslov3Char1">
    <w:name w:val="Naslov 3 Char1"/>
    <w:basedOn w:val="DefaultParagraphFont"/>
    <w:uiPriority w:val="99"/>
    <w:semiHidden/>
    <w:rsid w:val="002F5E76"/>
    <w:rPr>
      <w:rFonts w:ascii="Calibri" w:hAnsi="Calibri" w:cs="Times New Roman"/>
      <w:color w:val="243F60"/>
      <w:sz w:val="24"/>
      <w:szCs w:val="24"/>
    </w:rPr>
  </w:style>
  <w:style w:type="character" w:customStyle="1" w:styleId="ZaglavljeChar1">
    <w:name w:val="Zaglavlje Char1"/>
    <w:basedOn w:val="DefaultParagraphFont"/>
    <w:uiPriority w:val="99"/>
    <w:rsid w:val="002F5E76"/>
    <w:rPr>
      <w:rFonts w:cs="Times New Roman"/>
    </w:rPr>
  </w:style>
  <w:style w:type="character" w:customStyle="1" w:styleId="PodnojeChar1">
    <w:name w:val="Podnožje Char1"/>
    <w:basedOn w:val="DefaultParagraphFont"/>
    <w:uiPriority w:val="99"/>
    <w:rsid w:val="002F5E76"/>
    <w:rPr>
      <w:rFonts w:cs="Times New Roman"/>
    </w:rPr>
  </w:style>
  <w:style w:type="character" w:customStyle="1" w:styleId="PodnaslovChar1">
    <w:name w:val="Podnaslov Char1"/>
    <w:basedOn w:val="DefaultParagraphFont"/>
    <w:uiPriority w:val="99"/>
    <w:rsid w:val="002F5E76"/>
    <w:rPr>
      <w:rFonts w:ascii="Calibri" w:hAnsi="Calibri" w:cs="Times New Roman"/>
      <w:i/>
      <w:iCs/>
      <w:color w:val="4F81BD"/>
      <w:spacing w:val="15"/>
      <w:sz w:val="24"/>
      <w:szCs w:val="24"/>
    </w:rPr>
  </w:style>
  <w:style w:type="character" w:customStyle="1" w:styleId="z-vrhobrascaChar1">
    <w:name w:val="z-vrh obrasca Char1"/>
    <w:basedOn w:val="DefaultParagraphFont"/>
    <w:uiPriority w:val="99"/>
    <w:semiHidden/>
    <w:rsid w:val="002F5E76"/>
    <w:rPr>
      <w:rFonts w:ascii="Arial" w:hAnsi="Arial" w:cs="Arial"/>
      <w:vanish/>
      <w:sz w:val="16"/>
      <w:szCs w:val="16"/>
    </w:rPr>
  </w:style>
  <w:style w:type="character" w:customStyle="1" w:styleId="z-dnoobrascaChar1">
    <w:name w:val="z-dno obrasca Char1"/>
    <w:basedOn w:val="DefaultParagraphFont"/>
    <w:uiPriority w:val="99"/>
    <w:semiHidden/>
    <w:rsid w:val="002F5E76"/>
    <w:rPr>
      <w:rFonts w:ascii="Arial" w:hAnsi="Arial" w:cs="Arial"/>
      <w:vanish/>
      <w:sz w:val="16"/>
      <w:szCs w:val="16"/>
    </w:rPr>
  </w:style>
  <w:style w:type="character" w:customStyle="1" w:styleId="TekstbaloniaChar1">
    <w:name w:val="Tekst balončića Char1"/>
    <w:basedOn w:val="DefaultParagraphFont"/>
    <w:uiPriority w:val="99"/>
    <w:semiHidden/>
    <w:rsid w:val="002F5E76"/>
    <w:rPr>
      <w:rFonts w:ascii="Segoe UI" w:hAnsi="Segoe UI" w:cs="Segoe UI"/>
      <w:sz w:val="18"/>
      <w:szCs w:val="18"/>
    </w:rPr>
  </w:style>
  <w:style w:type="paragraph" w:styleId="CommentText">
    <w:name w:val="annotation text"/>
    <w:basedOn w:val="Normal"/>
    <w:link w:val="CommentTextChar"/>
    <w:uiPriority w:val="99"/>
    <w:semiHidden/>
    <w:rsid w:val="002F5E76"/>
    <w:pPr>
      <w:spacing w:before="0" w:after="160"/>
      <w:jc w:val="left"/>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2F5E76"/>
    <w:rPr>
      <w:rFonts w:eastAsia="Times New Roman" w:cs="Times New Roman"/>
      <w:sz w:val="20"/>
      <w:szCs w:val="20"/>
      <w:lang w:val="hr-HR"/>
    </w:rPr>
  </w:style>
  <w:style w:type="paragraph" w:styleId="CommentSubject">
    <w:name w:val="annotation subject"/>
    <w:basedOn w:val="CommentText"/>
    <w:next w:val="CommentText"/>
    <w:link w:val="CommentSubjectChar"/>
    <w:uiPriority w:val="99"/>
    <w:semiHidden/>
    <w:rsid w:val="002F5E76"/>
    <w:rPr>
      <w:b/>
      <w:bCs/>
      <w:color w:val="000000"/>
      <w:sz w:val="22"/>
      <w:szCs w:val="22"/>
    </w:rPr>
  </w:style>
  <w:style w:type="character" w:customStyle="1" w:styleId="CommentSubjectChar1">
    <w:name w:val="Comment Subject Char1"/>
    <w:basedOn w:val="CommentTextChar"/>
    <w:link w:val="CommentSubject"/>
    <w:uiPriority w:val="99"/>
    <w:semiHidden/>
    <w:rsid w:val="002F5E76"/>
    <w:rPr>
      <w:b/>
      <w:bCs/>
    </w:rPr>
  </w:style>
  <w:style w:type="character" w:customStyle="1" w:styleId="PredmetkomentaraChar1">
    <w:name w:val="Predmet komentara Char1"/>
    <w:basedOn w:val="CommentTextChar"/>
    <w:uiPriority w:val="99"/>
    <w:semiHidden/>
    <w:rsid w:val="002F5E76"/>
    <w:rPr>
      <w:b/>
      <w:bCs/>
    </w:rPr>
  </w:style>
  <w:style w:type="paragraph" w:styleId="EndnoteText">
    <w:name w:val="endnote text"/>
    <w:basedOn w:val="Normal"/>
    <w:link w:val="EndnoteTextChar"/>
    <w:uiPriority w:val="99"/>
    <w:semiHidden/>
    <w:rsid w:val="002F5E76"/>
    <w:pPr>
      <w:spacing w:before="0"/>
      <w:jc w:val="left"/>
    </w:pPr>
    <w:rPr>
      <w:rFonts w:ascii="Cambria" w:hAnsi="Cambria"/>
      <w:sz w:val="20"/>
      <w:szCs w:val="20"/>
      <w:lang w:val="hr-HR"/>
    </w:rPr>
  </w:style>
  <w:style w:type="character" w:customStyle="1" w:styleId="EndnoteTextChar">
    <w:name w:val="Endnote Text Char"/>
    <w:basedOn w:val="DefaultParagraphFont"/>
    <w:link w:val="EndnoteText"/>
    <w:uiPriority w:val="99"/>
    <w:semiHidden/>
    <w:locked/>
    <w:rsid w:val="002F5E76"/>
    <w:rPr>
      <w:rFonts w:eastAsia="Times New Roman" w:cs="Times New Roman"/>
      <w:sz w:val="20"/>
      <w:szCs w:val="20"/>
      <w:lang w:val="hr-HR"/>
    </w:rPr>
  </w:style>
  <w:style w:type="character" w:customStyle="1" w:styleId="wtlaco">
    <w:name w:val="wtlaco"/>
    <w:basedOn w:val="DefaultParagraphFont"/>
    <w:uiPriority w:val="99"/>
    <w:rsid w:val="002F5E76"/>
    <w:rPr>
      <w:rFonts w:cs="Times New Roman"/>
    </w:rPr>
  </w:style>
  <w:style w:type="paragraph" w:customStyle="1" w:styleId="t-9-8">
    <w:name w:val="t-9-8"/>
    <w:basedOn w:val="Normal"/>
    <w:uiPriority w:val="99"/>
    <w:rsid w:val="002F5E76"/>
    <w:pPr>
      <w:spacing w:before="100" w:beforeAutospacing="1" w:after="100" w:afterAutospacing="1"/>
      <w:jc w:val="left"/>
    </w:pPr>
    <w:rPr>
      <w:lang w:val="hr-HR" w:eastAsia="hr-HR"/>
    </w:rPr>
  </w:style>
  <w:style w:type="paragraph" w:styleId="Title">
    <w:name w:val="Title"/>
    <w:basedOn w:val="Normal"/>
    <w:next w:val="Normal"/>
    <w:link w:val="TitleChar"/>
    <w:uiPriority w:val="99"/>
    <w:qFormat/>
    <w:rsid w:val="002F5E76"/>
    <w:pPr>
      <w:spacing w:before="0"/>
      <w:contextualSpacing/>
      <w:jc w:val="left"/>
    </w:pPr>
    <w:rPr>
      <w:rFonts w:ascii="Calibri" w:hAnsi="Calibri"/>
      <w:spacing w:val="-10"/>
      <w:kern w:val="28"/>
      <w:sz w:val="56"/>
      <w:szCs w:val="56"/>
      <w:lang w:val="hr-HR" w:eastAsia="hr-HR"/>
    </w:rPr>
  </w:style>
  <w:style w:type="character" w:customStyle="1" w:styleId="TitleChar">
    <w:name w:val="Title Char"/>
    <w:basedOn w:val="DefaultParagraphFont"/>
    <w:link w:val="Title"/>
    <w:uiPriority w:val="99"/>
    <w:locked/>
    <w:rsid w:val="002F5E76"/>
    <w:rPr>
      <w:rFonts w:ascii="Calibri" w:hAnsi="Calibri" w:cs="Times New Roman"/>
      <w:spacing w:val="-10"/>
      <w:kern w:val="28"/>
      <w:sz w:val="56"/>
      <w:szCs w:val="56"/>
      <w:lang w:val="hr-HR" w:eastAsia="hr-HR"/>
    </w:rPr>
  </w:style>
  <w:style w:type="character" w:customStyle="1" w:styleId="Spominjanje2">
    <w:name w:val="Spominjanje2"/>
    <w:basedOn w:val="DefaultParagraphFont"/>
    <w:uiPriority w:val="99"/>
    <w:semiHidden/>
    <w:rsid w:val="002F5E76"/>
    <w:rPr>
      <w:rFonts w:cs="Times New Roman"/>
      <w:color w:val="2B579A"/>
      <w:shd w:val="clear" w:color="auto" w:fill="E6E6E6"/>
    </w:rPr>
  </w:style>
  <w:style w:type="table" w:customStyle="1" w:styleId="Reetkatablice1">
    <w:name w:val="Rešetka tablice1"/>
    <w:uiPriority w:val="99"/>
    <w:rsid w:val="002F5E76"/>
    <w:rPr>
      <w:rFonts w:ascii="Calibri" w:hAnsi="Calibri"/>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rsid w:val="002F5E76"/>
    <w:rPr>
      <w:rFonts w:cs="Times New Roman"/>
      <w:color w:val="808080"/>
      <w:shd w:val="clear" w:color="auto" w:fill="E6E6E6"/>
    </w:rPr>
  </w:style>
  <w:style w:type="character" w:customStyle="1" w:styleId="UnresolvedMention">
    <w:name w:val="Unresolved Mention"/>
    <w:basedOn w:val="DefaultParagraphFont"/>
    <w:uiPriority w:val="99"/>
    <w:semiHidden/>
    <w:rsid w:val="002F5E76"/>
    <w:rPr>
      <w:rFonts w:cs="Times New Roman"/>
      <w:color w:val="808080"/>
      <w:shd w:val="clear" w:color="auto" w:fill="E6E6E6"/>
    </w:rPr>
  </w:style>
  <w:style w:type="paragraph" w:customStyle="1" w:styleId="msonormal0">
    <w:name w:val="msonormal"/>
    <w:basedOn w:val="Normal"/>
    <w:uiPriority w:val="99"/>
    <w:rsid w:val="002F5E76"/>
    <w:pPr>
      <w:spacing w:before="100" w:beforeAutospacing="1" w:after="100" w:afterAutospacing="1"/>
      <w:jc w:val="left"/>
    </w:pPr>
    <w:rPr>
      <w:lang w:val="hr-HR" w:eastAsia="hr-HR"/>
    </w:rPr>
  </w:style>
</w:styles>
</file>

<file path=word/webSettings.xml><?xml version="1.0" encoding="utf-8"?>
<w:webSettings xmlns:r="http://schemas.openxmlformats.org/officeDocument/2006/relationships" xmlns:w="http://schemas.openxmlformats.org/wordprocessingml/2006/main">
  <w:divs>
    <w:div w:id="966549845">
      <w:marLeft w:val="0"/>
      <w:marRight w:val="0"/>
      <w:marTop w:val="0"/>
      <w:marBottom w:val="0"/>
      <w:divBdr>
        <w:top w:val="none" w:sz="0" w:space="0" w:color="auto"/>
        <w:left w:val="none" w:sz="0" w:space="0" w:color="auto"/>
        <w:bottom w:val="none" w:sz="0" w:space="0" w:color="auto"/>
        <w:right w:val="none" w:sz="0" w:space="0" w:color="auto"/>
      </w:divBdr>
    </w:div>
    <w:div w:id="966549846">
      <w:marLeft w:val="0"/>
      <w:marRight w:val="0"/>
      <w:marTop w:val="0"/>
      <w:marBottom w:val="0"/>
      <w:divBdr>
        <w:top w:val="none" w:sz="0" w:space="0" w:color="auto"/>
        <w:left w:val="none" w:sz="0" w:space="0" w:color="auto"/>
        <w:bottom w:val="none" w:sz="0" w:space="0" w:color="auto"/>
        <w:right w:val="none" w:sz="0" w:space="0" w:color="auto"/>
      </w:divBdr>
    </w:div>
    <w:div w:id="966549850">
      <w:marLeft w:val="0"/>
      <w:marRight w:val="0"/>
      <w:marTop w:val="0"/>
      <w:marBottom w:val="0"/>
      <w:divBdr>
        <w:top w:val="none" w:sz="0" w:space="0" w:color="auto"/>
        <w:left w:val="none" w:sz="0" w:space="0" w:color="auto"/>
        <w:bottom w:val="none" w:sz="0" w:space="0" w:color="auto"/>
        <w:right w:val="none" w:sz="0" w:space="0" w:color="auto"/>
      </w:divBdr>
      <w:divsChild>
        <w:div w:id="966549847">
          <w:marLeft w:val="0"/>
          <w:marRight w:val="0"/>
          <w:marTop w:val="0"/>
          <w:marBottom w:val="0"/>
          <w:divBdr>
            <w:top w:val="none" w:sz="0" w:space="0" w:color="auto"/>
            <w:left w:val="none" w:sz="0" w:space="0" w:color="auto"/>
            <w:bottom w:val="none" w:sz="0" w:space="0" w:color="auto"/>
            <w:right w:val="none" w:sz="0" w:space="0" w:color="auto"/>
          </w:divBdr>
          <w:divsChild>
            <w:div w:id="966549849">
              <w:marLeft w:val="0"/>
              <w:marRight w:val="0"/>
              <w:marTop w:val="0"/>
              <w:marBottom w:val="0"/>
              <w:divBdr>
                <w:top w:val="none" w:sz="0" w:space="0" w:color="auto"/>
                <w:left w:val="none" w:sz="0" w:space="0" w:color="auto"/>
                <w:bottom w:val="none" w:sz="0" w:space="0" w:color="auto"/>
                <w:right w:val="none" w:sz="0" w:space="0" w:color="auto"/>
              </w:divBdr>
              <w:divsChild>
                <w:div w:id="9665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9851">
      <w:marLeft w:val="0"/>
      <w:marRight w:val="0"/>
      <w:marTop w:val="0"/>
      <w:marBottom w:val="0"/>
      <w:divBdr>
        <w:top w:val="none" w:sz="0" w:space="0" w:color="auto"/>
        <w:left w:val="none" w:sz="0" w:space="0" w:color="auto"/>
        <w:bottom w:val="none" w:sz="0" w:space="0" w:color="auto"/>
        <w:right w:val="none" w:sz="0" w:space="0" w:color="auto"/>
      </w:divBdr>
    </w:div>
    <w:div w:id="966549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commfrontoffice/publicopinion/%20flash/fl_358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commfrontoffice/publicopinion/flash/fl_358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hr/url?sa=t&amp;rct=j&amp;q=&amp;esrc=s&amp;source=web&amp;cd=2&amp;cad=rja&amp;uact=8&amp;ved=0ahUKEwjLvOnrhfXTAhXB7BQKHf8KBZwQFggvMAE&amp;url=https%3A%2F%2Fec.europa.eu%2Fcommfrontoffice%2Fpublicopinion%2Findex.cfm%2FResultDoc%2Fdownload%2FDocumentKy%2F67562&amp;usg=AFQjCNEKzwQ-HJD7X6UrJZ8tszI5yrqASw&amp;sig2=Y7YCSv5dzOw%20FUAXFpWRIqQ"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stipanov@student.unizd.hr" TargetMode="External"/><Relationship Id="rId2" Type="http://schemas.openxmlformats.org/officeDocument/2006/relationships/hyperlink" Target="mailto:kgaspic@student.unizd.hr" TargetMode="External"/><Relationship Id="rId1" Type="http://schemas.openxmlformats.org/officeDocument/2006/relationships/hyperlink" Target="mailto:akrajnov@uniz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9095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2019-06-25T11:05:00Z</dcterms:created>
  <dcterms:modified xsi:type="dcterms:W3CDTF">2019-06-25T11:05:00Z</dcterms:modified>
</cp:coreProperties>
</file>