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29" w:rsidRDefault="009A7929"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9A7929" w:rsidRDefault="009A7929" w:rsidP="001B1E3D">
      <w:pPr>
        <w:pStyle w:val="NoSpacing"/>
        <w:ind w:left="2880" w:firstLine="720"/>
        <w:jc w:val="right"/>
        <w:rPr>
          <w:b w:val="0"/>
          <w:i/>
          <w:lang w:val="en-GB"/>
        </w:rPr>
      </w:pPr>
      <w:r>
        <w:rPr>
          <w:b w:val="0"/>
          <w:i/>
        </w:rPr>
        <w:t xml:space="preserve">Predhodno priopćenje </w:t>
      </w:r>
      <w:r>
        <w:rPr>
          <w:b w:val="0"/>
          <w:i/>
        </w:rPr>
        <w:tab/>
      </w:r>
      <w:r>
        <w:rPr>
          <w:b w:val="0"/>
          <w:i/>
        </w:rPr>
        <w:tab/>
        <w:t>Preliminary communication</w:t>
      </w:r>
    </w:p>
    <w:p w:rsidR="009A7929" w:rsidRPr="00713AF4" w:rsidRDefault="009A7929" w:rsidP="00B53F42">
      <w:pPr>
        <w:pStyle w:val="IndentedQuote"/>
        <w:jc w:val="right"/>
        <w:rPr>
          <w:b/>
        </w:rPr>
      </w:pPr>
      <w:r w:rsidRPr="00713AF4">
        <w:rPr>
          <w:b/>
          <w:i/>
        </w:rPr>
        <w:t>JEL Cla</w:t>
      </w:r>
      <w:r>
        <w:rPr>
          <w:b/>
          <w:i/>
        </w:rPr>
        <w:t>s</w:t>
      </w:r>
      <w:r w:rsidRPr="00713AF4">
        <w:rPr>
          <w:b/>
          <w:i/>
        </w:rPr>
        <w:t>sification</w:t>
      </w:r>
      <w:r w:rsidRPr="00713AF4">
        <w:rPr>
          <w:b/>
        </w:rPr>
        <w:t xml:space="preserve">: </w:t>
      </w:r>
      <w:r w:rsidRPr="004746BF">
        <w:rPr>
          <w:i/>
        </w:rPr>
        <w:t>M41, M42,M10</w:t>
      </w:r>
    </w:p>
    <w:p w:rsidR="009A7929" w:rsidRDefault="009A7929" w:rsidP="0097015E">
      <w:pPr>
        <w:pStyle w:val="Title"/>
        <w:jc w:val="center"/>
        <w:rPr>
          <w:rFonts w:ascii="Times New Roman" w:hAnsi="Times New Roman"/>
          <w:b/>
          <w:iCs/>
          <w:sz w:val="24"/>
          <w:szCs w:val="24"/>
        </w:rPr>
      </w:pPr>
    </w:p>
    <w:p w:rsidR="009A7929" w:rsidRDefault="009A7929" w:rsidP="001B63E7">
      <w:pPr>
        <w:jc w:val="center"/>
      </w:pPr>
      <w:r>
        <w:rPr>
          <w:b/>
          <w:iCs/>
        </w:rPr>
        <w:t>Dubravka Mahaček</w:t>
      </w:r>
      <w:r w:rsidRPr="0097015E">
        <w:rPr>
          <w:rStyle w:val="FootnoteReference"/>
        </w:rPr>
        <w:footnoteReference w:customMarkFollows="1" w:id="2"/>
        <w:t>*</w:t>
      </w:r>
      <w:bookmarkStart w:id="1" w:name="_Toc462440602"/>
      <w:r>
        <w:tab/>
      </w:r>
      <w:r>
        <w:tab/>
      </w:r>
      <w:r>
        <w:tab/>
      </w:r>
      <w:r>
        <w:tab/>
      </w:r>
      <w:r>
        <w:tab/>
      </w:r>
      <w:r>
        <w:tab/>
      </w:r>
      <w:r>
        <w:tab/>
      </w:r>
      <w:r>
        <w:tab/>
      </w:r>
      <w:r>
        <w:tab/>
      </w:r>
      <w:r>
        <w:tab/>
      </w:r>
      <w:r>
        <w:tab/>
      </w:r>
      <w:r>
        <w:tab/>
      </w:r>
    </w:p>
    <w:p w:rsidR="009A7929" w:rsidRPr="001B63E7" w:rsidRDefault="009A7929" w:rsidP="001B63E7">
      <w:pPr>
        <w:jc w:val="center"/>
        <w:rPr>
          <w:b/>
          <w:sz w:val="32"/>
          <w:szCs w:val="32"/>
          <w:lang w:val="hr-HR"/>
        </w:rPr>
      </w:pPr>
      <w:r w:rsidRPr="001B63E7">
        <w:rPr>
          <w:b/>
          <w:sz w:val="32"/>
          <w:szCs w:val="32"/>
          <w:lang w:val="hr-HR"/>
        </w:rPr>
        <w:t>FINANCIJSKA REVIZIJA VISOKIH UČILIŠTA I POSLOVANJE MEDICINSKIH FAKULTETA</w:t>
      </w:r>
    </w:p>
    <w:p w:rsidR="009A7929" w:rsidRPr="001B63E7" w:rsidRDefault="009A7929" w:rsidP="001B63E7">
      <w:pPr>
        <w:jc w:val="center"/>
        <w:rPr>
          <w:b/>
          <w:color w:val="000000"/>
          <w:sz w:val="32"/>
          <w:szCs w:val="32"/>
        </w:rPr>
      </w:pPr>
      <w:r w:rsidRPr="001B63E7">
        <w:rPr>
          <w:b/>
          <w:color w:val="000000"/>
          <w:sz w:val="32"/>
          <w:szCs w:val="32"/>
        </w:rPr>
        <w:t xml:space="preserve">FINANCIAL AUDITS OF INSTITUTIONS OF HIGHER EDUCATION AND FACULTIES OF MEDICINE </w:t>
      </w:r>
    </w:p>
    <w:p w:rsidR="009A7929" w:rsidRPr="001B63E7" w:rsidRDefault="009A7929" w:rsidP="001B63E7">
      <w:pPr>
        <w:rPr>
          <w:color w:val="000000"/>
          <w:lang w:val="hr-HR"/>
        </w:rPr>
      </w:pPr>
    </w:p>
    <w:p w:rsidR="009A7929" w:rsidRPr="001B63E7" w:rsidRDefault="009A7929" w:rsidP="001B63E7">
      <w:pPr>
        <w:rPr>
          <w:b/>
          <w:i/>
          <w:color w:val="000000"/>
          <w:lang w:val="hr-HR"/>
        </w:rPr>
      </w:pPr>
      <w:r w:rsidRPr="001B63E7">
        <w:rPr>
          <w:b/>
          <w:i/>
          <w:color w:val="000000"/>
          <w:lang w:val="hr-HR"/>
        </w:rPr>
        <w:t>Sažetak:</w:t>
      </w:r>
    </w:p>
    <w:p w:rsidR="009A7929" w:rsidRPr="001B63E7" w:rsidRDefault="009A7929" w:rsidP="00FF78A4">
      <w:pPr>
        <w:ind w:left="720"/>
        <w:rPr>
          <w:i/>
          <w:color w:val="000000"/>
          <w:lang w:val="hr-HR"/>
        </w:rPr>
      </w:pPr>
      <w:r w:rsidRPr="001B63E7">
        <w:rPr>
          <w:i/>
          <w:color w:val="000000"/>
          <w:lang w:val="hr-HR"/>
        </w:rPr>
        <w:t>Financijsku reviziju visokih učilišta je obavio Državni ured za reviziju, koji je vrhovna revizijska institucija u Republici Hrvatskoj. Revizijom su obuhvaćeni financijski izvještaji i poslovanje. Visoka učilišta čine sveučilišta te fakulteti i umjetničke akademije u njihovom sastavu, veleučilišta i visoke škole. Visoka učilišta su proračunski korisnici i dužni su sastaviti financijske izvještaje u skladu s propisima o financijskom izvještavanju u proračunskom računovodstvu. Cilj rada je istražiti nepravilnosti utvrđene u postupku financijske revizije za 2014., utjecaj nepravilnosti na izražavanje mišljenja o poslovanju medicinskih fakulteta i provesti analizu poslovanja medicinskih fakulteta. Provedena je analiza prihoda i primitaka, rashoda i izdataka, imovine, obveza, te su prikazani podatci empirijskog istraživanja provedenog na odabranom uzorku.Najznačajniji izvori prihoda visokih učilišta su prihodi iz proračuna, dok su najznačajniji rashodi za zaposlene. U radu se analiziraju ostvarenja i uspoređuju dobiveni rezultati. Potrebno je zaključiti o značajnosti sredstava proračuna kao izvora financiranja, te značajnosti pojedinih rashoda u odnosu na ostvarenje ukupnih rashoda visokih učilišta obuhvaćenih revizijom.</w:t>
      </w:r>
      <w:r>
        <w:rPr>
          <w:i/>
          <w:color w:val="000000"/>
          <w:lang w:val="hr-HR"/>
        </w:rPr>
        <w:tab/>
      </w:r>
      <w:r>
        <w:rPr>
          <w:i/>
          <w:color w:val="000000"/>
          <w:lang w:val="hr-HR"/>
        </w:rPr>
        <w:tab/>
      </w:r>
      <w:r>
        <w:rPr>
          <w:i/>
          <w:color w:val="000000"/>
          <w:lang w:val="hr-HR"/>
        </w:rPr>
        <w:tab/>
      </w:r>
      <w:r>
        <w:rPr>
          <w:i/>
          <w:color w:val="000000"/>
          <w:lang w:val="hr-HR"/>
        </w:rPr>
        <w:tab/>
      </w:r>
      <w:r>
        <w:rPr>
          <w:i/>
          <w:color w:val="000000"/>
          <w:lang w:val="hr-HR"/>
        </w:rPr>
        <w:tab/>
      </w:r>
      <w:r w:rsidRPr="001B63E7">
        <w:rPr>
          <w:b/>
          <w:i/>
          <w:color w:val="000000"/>
          <w:lang w:val="pl-PL"/>
        </w:rPr>
        <w:t>Klju</w:t>
      </w:r>
      <w:r w:rsidRPr="001B63E7">
        <w:rPr>
          <w:b/>
          <w:i/>
          <w:color w:val="000000"/>
          <w:lang w:val="hr-HR"/>
        </w:rPr>
        <w:t>č</w:t>
      </w:r>
      <w:r w:rsidRPr="001B63E7">
        <w:rPr>
          <w:b/>
          <w:i/>
          <w:color w:val="000000"/>
          <w:lang w:val="pl-PL"/>
        </w:rPr>
        <w:t>nerije</w:t>
      </w:r>
      <w:r w:rsidRPr="001B63E7">
        <w:rPr>
          <w:b/>
          <w:i/>
          <w:color w:val="000000"/>
          <w:lang w:val="hr-HR"/>
        </w:rPr>
        <w:t>č</w:t>
      </w:r>
      <w:r w:rsidRPr="001B63E7">
        <w:rPr>
          <w:b/>
          <w:i/>
          <w:color w:val="000000"/>
          <w:lang w:val="pl-PL"/>
        </w:rPr>
        <w:t>i</w:t>
      </w:r>
      <w:r w:rsidRPr="001B63E7">
        <w:rPr>
          <w:i/>
          <w:color w:val="000000"/>
          <w:lang w:val="hr-HR"/>
        </w:rPr>
        <w:t>: financijska revizija, visoka učilišta, medicinski fakultet, nepravilnosti</w:t>
      </w:r>
      <w:r>
        <w:rPr>
          <w:i/>
          <w:color w:val="000000"/>
          <w:lang w:val="hr-HR"/>
        </w:rPr>
        <w:t>.</w:t>
      </w:r>
    </w:p>
    <w:p w:rsidR="009A7929" w:rsidRPr="001B63E7" w:rsidRDefault="009A7929" w:rsidP="001B63E7">
      <w:pPr>
        <w:rPr>
          <w:b/>
          <w:color w:val="000000"/>
        </w:rPr>
      </w:pPr>
      <w:r w:rsidRPr="00136C4F">
        <w:rPr>
          <w:b/>
          <w:i/>
          <w:color w:val="000000"/>
        </w:rPr>
        <w:t>Abstract</w:t>
      </w:r>
    </w:p>
    <w:p w:rsidR="009A7929" w:rsidRPr="001B63E7" w:rsidRDefault="009A7929" w:rsidP="00136C4F">
      <w:pPr>
        <w:ind w:left="720"/>
        <w:rPr>
          <w:i/>
          <w:color w:val="000000"/>
        </w:rPr>
      </w:pPr>
      <w:r w:rsidRPr="001B63E7">
        <w:rPr>
          <w:i/>
          <w:color w:val="000000"/>
        </w:rPr>
        <w:t>The Financial Audit of Higher Education Institutions was conducted by the State Audit Office, which is the supreme audit institution in the Republic of Croatia. Audits include financial statements and operations. The higher education institutions are made up of universities, colleges and arts academies in their composition, polytechnics and colleges. Higher education institutions are budget users and are required to compile financial statements in accordance with financial reporting regulations in budget accounting. The aim of the paper is to investigate the irregularities identified in the2014 financial audit procedure, the impact of irregularities on expressing opinions on the operations of medical faculties and to conduct a business analysis of medical faculties. An analysis of revenues and receipts, expenditures and expenditures, assets and liabilities was performed, and the data of the empirical research carried out on the selected sample were presented. The most significant sources of income from higher education institutions are budget revenues, while the most significant expenditures are for employees. This paper analyses the achievements and compares the results obtained. It is necessary to conclude on the significance of budget resources as sources of funding and the importance of certain expenditures in relation to the realization of total expenses of higher education institutions covered by the audit.</w:t>
      </w:r>
      <w:r>
        <w:rPr>
          <w:i/>
          <w:color w:val="000000"/>
        </w:rPr>
        <w:tab/>
      </w:r>
      <w:r>
        <w:rPr>
          <w:i/>
          <w:color w:val="000000"/>
        </w:rPr>
        <w:tab/>
      </w:r>
      <w:r>
        <w:rPr>
          <w:i/>
          <w:color w:val="000000"/>
        </w:rPr>
        <w:tab/>
      </w:r>
      <w:r>
        <w:rPr>
          <w:i/>
          <w:color w:val="000000"/>
        </w:rPr>
        <w:tab/>
      </w:r>
      <w:r>
        <w:rPr>
          <w:i/>
          <w:color w:val="000000"/>
        </w:rPr>
        <w:tab/>
      </w:r>
      <w:r w:rsidRPr="001B63E7">
        <w:rPr>
          <w:b/>
          <w:i/>
          <w:color w:val="000000"/>
        </w:rPr>
        <w:t>Key words</w:t>
      </w:r>
      <w:r w:rsidRPr="001B63E7">
        <w:rPr>
          <w:i/>
          <w:color w:val="000000"/>
        </w:rPr>
        <w:t>: financial audit, higher education, faculty of medicine, irregularities</w:t>
      </w:r>
    </w:p>
    <w:p w:rsidR="009A7929" w:rsidRDefault="009A7929" w:rsidP="00136C4F">
      <w:pPr>
        <w:rPr>
          <w:b/>
          <w:color w:val="000000"/>
          <w:lang w:val="pl-PL"/>
        </w:rPr>
      </w:pPr>
    </w:p>
    <w:p w:rsidR="009A7929" w:rsidRPr="00136C4F" w:rsidRDefault="009A7929" w:rsidP="00136C4F">
      <w:pPr>
        <w:rPr>
          <w:b/>
          <w:color w:val="000000"/>
          <w:lang w:val="hr-HR"/>
        </w:rPr>
      </w:pPr>
      <w:r>
        <w:rPr>
          <w:b/>
          <w:color w:val="000000"/>
          <w:lang w:val="pl-PL"/>
        </w:rPr>
        <w:t xml:space="preserve">1. </w:t>
      </w:r>
      <w:r w:rsidRPr="00136C4F">
        <w:rPr>
          <w:b/>
          <w:color w:val="000000"/>
          <w:lang w:val="pl-PL"/>
        </w:rPr>
        <w:t xml:space="preserve">UVOD </w:t>
      </w:r>
    </w:p>
    <w:p w:rsidR="009A7929" w:rsidRPr="00136C4F" w:rsidRDefault="009A7929" w:rsidP="00136C4F">
      <w:pPr>
        <w:ind w:firstLine="720"/>
        <w:rPr>
          <w:b/>
          <w:color w:val="000000"/>
          <w:lang w:val="hr-HR"/>
        </w:rPr>
      </w:pPr>
      <w:r w:rsidRPr="00136C4F">
        <w:rPr>
          <w:color w:val="000000"/>
          <w:lang w:val="hr-HR"/>
        </w:rPr>
        <w:t>Financijsku reviziju javnih visokih učilišta (čine ih sveučilišta te fakulteti i umjetničke akademije u njihovom sastavu, veleučilišta i visoke škole) je obavio Državni ured za reviziju za 2014.</w:t>
      </w:r>
      <w:r>
        <w:rPr>
          <w:color w:val="000000"/>
          <w:lang w:val="hr-HR"/>
        </w:rPr>
        <w:t xml:space="preserve"> godinu</w:t>
      </w:r>
      <w:r w:rsidRPr="00136C4F">
        <w:rPr>
          <w:color w:val="000000"/>
          <w:lang w:val="hr-HR"/>
        </w:rPr>
        <w:t xml:space="preserve">, a obuhvaćeno je 68 visokih učilišta. Sastavljena su pojedinačna izvješća za svaki od subjekata revizije i skupno Izvješće o obavljenoj financijskoj reviziji visokih učilišta. Financijska revizija se razlikuje od revizije učinkovitosti koja se također obavlja kod subjekata.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rPr>
        <w:t>Ovim radom se istražuje i analizira poslovanje subjekata koji podliježu reviziji uz poseban naglasak na medicinske fakultete.</w:t>
      </w:r>
    </w:p>
    <w:p w:rsidR="009A7929" w:rsidRPr="00136C4F" w:rsidRDefault="009A7929" w:rsidP="00136C4F">
      <w:pPr>
        <w:rPr>
          <w:b/>
          <w:color w:val="000000"/>
          <w:lang w:val="hr-HR"/>
        </w:rPr>
      </w:pPr>
      <w:r w:rsidRPr="00136C4F">
        <w:rPr>
          <w:b/>
          <w:color w:val="000000"/>
          <w:lang w:val="hr-HR"/>
        </w:rPr>
        <w:t>2. FINANCIJSKA REVIZIJA</w:t>
      </w:r>
    </w:p>
    <w:p w:rsidR="009A7929" w:rsidRPr="00136C4F" w:rsidRDefault="009A7929" w:rsidP="00136C4F">
      <w:pPr>
        <w:ind w:firstLine="720"/>
        <w:rPr>
          <w:color w:val="000000"/>
          <w:lang w:val="hr-HR"/>
        </w:rPr>
      </w:pPr>
      <w:r w:rsidRPr="00136C4F">
        <w:rPr>
          <w:color w:val="000000"/>
          <w:lang w:val="hr-HR"/>
        </w:rPr>
        <w:t xml:space="preserve">Državni ured za reviziju je obavio financijsku reviziju javnih visokih učilišta za 2014., ali i za prethodno razdoblje, odnosno za 2009. o čemu su sastavljena pojedinačna izvješća i skupno izvješće. U prethodno obavljenoj reviziji obuhvaćeno je 91 visoko učilište, dok je u reviziji za 2014. obuhvaćeno 68 visokih učilišta.Visoka učilišta su korisnici proračuna i primjenjuju proračunsko računovodstvo, koje je propisano zakonskim odredbama. </w:t>
      </w:r>
    </w:p>
    <w:p w:rsidR="009A7929" w:rsidRPr="00136C4F" w:rsidRDefault="009A7929" w:rsidP="00136C4F">
      <w:pPr>
        <w:rPr>
          <w:b/>
          <w:color w:val="000000"/>
          <w:lang w:val="hr-HR"/>
        </w:rPr>
      </w:pPr>
      <w:r w:rsidRPr="00136C4F">
        <w:rPr>
          <w:b/>
          <w:color w:val="000000"/>
          <w:lang w:val="hr-HR"/>
        </w:rPr>
        <w:t xml:space="preserve">2.1. </w:t>
      </w:r>
      <w:r>
        <w:rPr>
          <w:b/>
          <w:color w:val="000000"/>
          <w:lang w:val="hr-HR"/>
        </w:rPr>
        <w:t>Ciljevi revizije</w:t>
      </w:r>
    </w:p>
    <w:p w:rsidR="009A7929" w:rsidRPr="00136C4F" w:rsidRDefault="009A7929" w:rsidP="00136C4F">
      <w:pPr>
        <w:tabs>
          <w:tab w:val="left" w:pos="284"/>
        </w:tabs>
        <w:rPr>
          <w:b/>
          <w:color w:val="000000"/>
          <w:lang w:val="hr-HR"/>
        </w:rPr>
      </w:pPr>
      <w:r>
        <w:rPr>
          <w:color w:val="000000"/>
          <w:lang w:val="hr-HR"/>
        </w:rPr>
        <w:tab/>
      </w:r>
      <w:r>
        <w:rPr>
          <w:color w:val="000000"/>
          <w:lang w:val="hr-HR"/>
        </w:rPr>
        <w:tab/>
      </w:r>
      <w:r w:rsidRPr="00136C4F">
        <w:rPr>
          <w:color w:val="000000"/>
          <w:lang w:val="hr-HR"/>
        </w:rPr>
        <w:t xml:space="preserve">Financijskom revizijom se provjeravaju financijski izvještaji i poslovanje za određeno razdoblje, a najčešće je to jedna godina. Provjerava se primjena računovodstvenih načela i standarda, te poštivanje zakonskih propisa. Financijsku reviziju je obavio Državni ured za reviziju, odnosno vanjski organ, radi se o eksternoj reviziji. Eksterna revizija se u svom radu može služiti izvješćima unutarnje revizije, ako je ona bila obavljana. </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 xml:space="preserve">Osnovni propisi koji reguliraju računovodstveno poslovanje korisnika proračuna su Zakon o proračunu (Narodne novine 87/08, 136/12 i 15/15), Pravilnik o proračunskom računovodstvu i Računskom planu  (Narodne novine 114/10 i 31/11 - ispravak) te </w:t>
      </w:r>
      <w:r w:rsidRPr="00390736">
        <w:rPr>
          <w:color w:val="000000"/>
          <w:lang w:val="hr-HR"/>
        </w:rPr>
        <w:t xml:space="preserve">od 25. listopada 2014. novi  </w:t>
      </w:r>
      <w:r w:rsidRPr="00136C4F">
        <w:rPr>
          <w:color w:val="000000"/>
          <w:lang w:val="hr-HR"/>
        </w:rPr>
        <w:t>Pravilnik o proračunskom računovodstvu i Računskom planu (</w:t>
      </w:r>
      <w:r w:rsidRPr="00390736">
        <w:rPr>
          <w:color w:val="000000"/>
          <w:lang w:val="hr-HR"/>
        </w:rPr>
        <w:t>Narodne novine 124/14, 115/15, 87/16 i 2/18),</w:t>
      </w:r>
      <w:r w:rsidRPr="00136C4F">
        <w:rPr>
          <w:color w:val="000000"/>
          <w:lang w:val="hr-HR"/>
        </w:rPr>
        <w:t xml:space="preserve"> Pravilnik o financijskom izvještavanju u proračunskom računovodstvu (Narodne novine 32/11) te od 10. siječnja 2015. Pravilnik o financijskom izvještavanju u proračunskom računovodstvu (Narodne novine  03/15). Odredbe Zakona o proračunu se odnose na državni proračun i proračune jedinica lokalne i područne (regionalne) samouprave te proračunske korisnike državnog proračuna i proračunske korisnike proračuna jedinica lokalne i područne (regionalne) samouprave. Visoka učilišta su proračunski korisnici državnog proračuna i obvezna su primjenjivati odredbe Zakona o proračunu. Pravilnikom o proračunskom računovodstvu i Računskom planu su propisane je knjigovodstvene isprave, poslovne knjige, organizacija knjigovodstva, sadržaj računa Računskog plana i drugo. Pravilnikom o financijskom izvještavanju u proračunskom računovodstvu su propisani oblik i sadržaj financijskih izvještaja, razdoblja za koja se trebaju sastaviti, te obveza i rokovi podnošenja.Osim primjene navedenih zakona i propisa, visoka učilišta su dužna primjenjivati i druge zakone u svome poslovanju, čija primjena se provjerava postupcima revizije. Medicinski fakulteti su proračunski korisnici koji također moraju primjenjivati proračunsko računovodstvo, a reviziju obavlja Državni ured za reviziju (detaljnije o zakonskom okviru obavljanja revizije pogledati Mahaček, D., 2016, 49).</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390736">
        <w:rPr>
          <w:color w:val="000000"/>
          <w:lang w:val="hr-HR"/>
        </w:rPr>
        <w:t xml:space="preserve">INTOSAI </w:t>
      </w:r>
      <w:r w:rsidRPr="00136C4F">
        <w:rPr>
          <w:color w:val="000000"/>
          <w:lang w:val="hr-HR"/>
        </w:rPr>
        <w:t>(Izvorna skraćenica: International Organisation of Supreme Audit Institutions – Međunarodna organizacija vrhovnih revizijskih institucija) razvija m</w:t>
      </w:r>
      <w:r w:rsidRPr="00390736">
        <w:rPr>
          <w:color w:val="000000"/>
          <w:lang w:val="hr-HR"/>
        </w:rPr>
        <w:t>eđunarodne standarde vrhovnih revizijskih institucija (ISSAI-a) koji su neophodni za vjerodostojnost, kvalitetu i profesionalnost revizije. Prema ISSAI 200, Temeljna načela financijske revizije, 4, kao okvir za obavljanje financijske revizije,</w:t>
      </w:r>
      <w:r w:rsidRPr="00390736">
        <w:rPr>
          <w:lang w:val="hr-HR"/>
        </w:rPr>
        <w:t>(</w:t>
      </w:r>
      <w:hyperlink r:id="rId7" w:history="1">
        <w:r w:rsidRPr="00390736">
          <w:rPr>
            <w:rStyle w:val="Hyperlink"/>
            <w:lang w:val="hr-HR"/>
          </w:rPr>
          <w:t>http://www.revizija.hr/datastore/filestore/52/ISSAI_200.pdf</w:t>
        </w:r>
      </w:hyperlink>
      <w:r w:rsidRPr="00390736">
        <w:rPr>
          <w:color w:val="000000"/>
          <w:lang w:val="hr-HR"/>
        </w:rPr>
        <w:t>) navodi: „svrha revizije financijskih izvještaja je povećati stupanj sigurnosti predviđenih korisnika u pogledu financijskih izvješća. To se postiže tako što revizor izražava svoje mišljenje o tome jesu li financijski izvještaji u svakom značajnom pogledu sastavljeni u skladu s mjerodavnim okvirom financijskog izvješćivanja ili – u slučaju financijskih izvještaja sastavljenih u skladu s okvirom financijskog izvješćivanja na osnovi objektivnog prikazivanja, jesu li financijski izvještaji u svakom značajnom pogledu prikazani objektivno, odnosno daju li istinitu i objektivnu sliku u skladu s tim okvirom. Zakonima ili propisima koji su obvezujući za tijela koje obavljaju reviziju javnog sektora mogu se propisati i druge formulacije tog mišljenja. Revizija provedena u skladu sa standardima zasnovanim na Temeljnim načelima financijske revizije INTOSAI-a te mjerodavnim etičkim zahtjevima, omogućiti će revizoru izražavanje takvog mišljenja.“</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Državni ured za reviziju uz financijske revizije, obavlja i reviziju učinkovitosti. Između financijske revizije i revizije učinkovitosti postoje razlike. Prema Akrap, V. et al ., revizija učinkovitosti je po svom karakteru šireg opsega i državnim revizorima daje više prostora za slobodne prosudbe i tumačenja. Razdoblje obuhvaćeno revizijom učinkovitosti nije ograničeno na poslovnu godinu, nego može obuhvaćati nekoliko godina, a obično se ne odnosi na financijske izvještaje. Zbog toga su izvješća o obavljenim revizijama učinkovitosti međusobno različita te je njihovoj izradi potrebno dati posebnu pozornost (Akrap et al, 2009, 129). Kod visokih učilišta je također moguće obaviti reviziju učinkovitosti, ali tradicionalna zadaća državne revizije je obavljanje financijske revizije, a osnovni cilj te revizije je upoznati javnost s trošenjem proračunskih sredstava u skladu s raspoloživim sredstvima i na zakonit način.</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Uz obavljanje financijske revizije važno je naglasiti da p</w:t>
      </w:r>
      <w:r w:rsidRPr="00390736">
        <w:rPr>
          <w:color w:val="000000"/>
          <w:lang w:val="hr-HR"/>
        </w:rPr>
        <w:t xml:space="preserve">rema ISSAI 200, Temeljna načela financijske revizije, 27 </w:t>
      </w:r>
      <w:r w:rsidRPr="00390736">
        <w:rPr>
          <w:lang w:val="hr-HR"/>
        </w:rPr>
        <w:t>(</w:t>
      </w:r>
      <w:hyperlink r:id="rId8" w:history="1">
        <w:r w:rsidRPr="00390736">
          <w:rPr>
            <w:rStyle w:val="Hyperlink"/>
            <w:lang w:val="hr-HR"/>
          </w:rPr>
          <w:t>http://www.revizija.hr/datastore /filestore/52/ISSAI_200.pdf</w:t>
        </w:r>
      </w:hyperlink>
      <w:r w:rsidRPr="00390736">
        <w:rPr>
          <w:color w:val="000000"/>
          <w:lang w:val="hr-HR"/>
        </w:rPr>
        <w:t xml:space="preserve">) </w:t>
      </w:r>
      <w:r w:rsidRPr="00136C4F">
        <w:rPr>
          <w:color w:val="000000"/>
          <w:lang w:val="hr-HR"/>
        </w:rPr>
        <w:t>„revizija financijskih izvještaja ne uključuje provjeru vjerodostojnosti dokumentacije, a revizor nije obučen niti se od njega očekuje da bude stručnjak za takvu provjeru. Međutim, revizor bi trebao razmotriti pouzdanost informacija koje će se koristiti kao dokazi, uključujući fotokopije,telefaks-poruke, filmski snimljene, digitalizirane ili druge elektroničke dokumente, te – tamo gdje je to bitno – voditi brigu o kontrolama njihove izrade i vođenja.“</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 xml:space="preserve">Kao podrška revizorovom mišljenju o financijskim izvještajima potrebno je prikupiti dokaze. Dokazi se odnose na prikupljanje podataka o pojedinim poslovnim događajima, a vezani su uz postojanje ili nastanak, potpunost, točnost, klasifikaciju, pravodobnost, vlasništvo te objavljivanje. Prema William F. Messier Jr., za provjeru izjava uprave i uz to vezanih revizijskih ciljeva te za izražavanje mišljenja o financijskim izvještajima, revizor prikuplja dokaze provođenjem revizijskih postupaka. Dokazima do kojih je revizor došao revizijom određuje se pouzdanost financijskih izvještaja i vrsta revizijskog izvještaja kojeg treba izdati (Messier Jr,  1998, 111).  </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Ciljevi revizije visokih učilišta, prema pojedinačnim izvješćima o obavljenoj reviziji, a u skladu s odlukom o obavljanju revizije, su bili utvrditi istinitost i vjerodostojnost financijskih izvještaja, analizirati ostvarenje prihoda i primitaka rashoda i izdataka u skladu s planom, provjeriti usklađenost poslovanja sa zakonima i drugim propisima, provjeriti i ocijeniti učinkovitost korištenja sredstava te provjeriti druge aktivnosti vezane uz poslovanje visokih učilišta.</w:t>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Pr>
          <w:b/>
          <w:color w:val="000000"/>
          <w:lang w:val="hr-HR"/>
        </w:rPr>
        <w:tab/>
      </w:r>
      <w:r w:rsidRPr="00136C4F">
        <w:rPr>
          <w:color w:val="000000"/>
          <w:lang w:val="hr-HR"/>
        </w:rPr>
        <w:t>Prema Tušek, B. i Žager, L., računovodstvene informacije, kao konačni output računovodstvenog procesiranja podataka, predočavaju se u obliku financijskih izvještaja, što znači da su financijski izvještaji, kao nositelji računovodstvenih informacija, neophodni za racionalno poslovno odlučivanje (Tušek, B. i Žager, L., 31).</w:t>
      </w:r>
    </w:p>
    <w:p w:rsidR="009A7929" w:rsidRPr="00136C4F" w:rsidRDefault="009A7929" w:rsidP="00136C4F">
      <w:pPr>
        <w:tabs>
          <w:tab w:val="left" w:pos="284"/>
        </w:tabs>
        <w:rPr>
          <w:b/>
          <w:color w:val="000000"/>
          <w:lang w:val="hr-HR"/>
        </w:rPr>
      </w:pPr>
      <w:r w:rsidRPr="00136C4F">
        <w:rPr>
          <w:b/>
          <w:color w:val="000000"/>
          <w:lang w:val="hr-HR"/>
        </w:rPr>
        <w:t xml:space="preserve">2.2. </w:t>
      </w:r>
      <w:r>
        <w:rPr>
          <w:b/>
          <w:color w:val="000000"/>
          <w:lang w:val="hr-HR"/>
        </w:rPr>
        <w:t>Izvori financiranja i poslovanje</w:t>
      </w:r>
    </w:p>
    <w:p w:rsidR="009A7929" w:rsidRDefault="009A7929" w:rsidP="00136C4F">
      <w:pPr>
        <w:pStyle w:val="FootnoteText"/>
        <w:jc w:val="both"/>
        <w:rPr>
          <w:color w:val="000000"/>
          <w:sz w:val="24"/>
          <w:szCs w:val="24"/>
          <w:lang w:val="hr-HR"/>
        </w:rPr>
      </w:pPr>
    </w:p>
    <w:p w:rsidR="009A7929" w:rsidRPr="00136C4F" w:rsidRDefault="009A7929" w:rsidP="00136C4F">
      <w:pPr>
        <w:pStyle w:val="FootnoteText"/>
        <w:ind w:firstLine="720"/>
        <w:jc w:val="both"/>
        <w:rPr>
          <w:color w:val="000000"/>
          <w:sz w:val="24"/>
          <w:szCs w:val="24"/>
          <w:lang w:val="hr-HR"/>
        </w:rPr>
      </w:pPr>
      <w:r w:rsidRPr="00136C4F">
        <w:rPr>
          <w:color w:val="000000"/>
          <w:sz w:val="24"/>
          <w:szCs w:val="24"/>
          <w:lang w:val="hr-HR"/>
        </w:rPr>
        <w:t xml:space="preserve">Visoka učilišta prihode ostvaruju na temelju zakonskih odredbi. U skladu s odredbom članka 107. Zakona o znanstvenoj djelatnosti i visokom obrazovanju (Narodne novine 123/03, 198/03, 105/04, 174/04, 2/07 - </w:t>
      </w:r>
      <w:r w:rsidRPr="00390736">
        <w:rPr>
          <w:color w:val="000000"/>
          <w:sz w:val="24"/>
          <w:szCs w:val="24"/>
          <w:lang w:val="hr-HR"/>
        </w:rPr>
        <w:t>OUSRH</w:t>
      </w:r>
      <w:r w:rsidRPr="00136C4F">
        <w:rPr>
          <w:color w:val="000000"/>
          <w:sz w:val="24"/>
          <w:szCs w:val="24"/>
          <w:lang w:val="hr-HR"/>
        </w:rPr>
        <w:t>, 46/07, 45/09,</w:t>
      </w:r>
      <w:r w:rsidRPr="00390736">
        <w:rPr>
          <w:color w:val="000000"/>
          <w:sz w:val="24"/>
          <w:szCs w:val="24"/>
          <w:lang w:val="hr-HR"/>
        </w:rPr>
        <w:t> </w:t>
      </w:r>
      <w:r w:rsidRPr="00136C4F">
        <w:rPr>
          <w:color w:val="000000"/>
          <w:sz w:val="24"/>
          <w:szCs w:val="24"/>
          <w:lang w:val="hr-HR"/>
        </w:rPr>
        <w:t xml:space="preserve">63/11, </w:t>
      </w:r>
      <w:r w:rsidRPr="00136C4F">
        <w:rPr>
          <w:rStyle w:val="Strong"/>
          <w:b w:val="0"/>
          <w:bCs/>
          <w:color w:val="000000"/>
          <w:sz w:val="24"/>
          <w:szCs w:val="24"/>
          <w:lang w:val="hr-HR"/>
        </w:rPr>
        <w:t xml:space="preserve">94/13, 139/13, 101/14, 60/15 i 131/17) </w:t>
      </w:r>
      <w:r w:rsidRPr="00136C4F">
        <w:rPr>
          <w:color w:val="000000"/>
          <w:sz w:val="24"/>
          <w:szCs w:val="24"/>
          <w:lang w:val="hr-HR"/>
        </w:rPr>
        <w:t xml:space="preserve">izvori financiranja znanstvene djelatnosti i visokog obrazovanja su iz sredstava osnivača, državnog proračuna Republike Hrvatske, proračuna županija, gradova i općina, školarina, prihoda od znanstvenih, istraživačkih, umjetničkih i stručnih projekata, znanstvenih i stručnih elaborata i ekspertiza, zaklada, donacija i pomoći, prihoda od nakladničke djelatnosti, prihoda ostvarenih na tržištu, prihoda od imovine, udjela u trgovačkim društvima, prihoda ostvarenih od pravnih osoba, prihoda ostvarenih od pravnih osoba iz članka 66. Istog Zakona, kao i prihoda od ulaganja fizičkih i pravnih osoba, te ostalih izvora. Mogu  se financirati samo iz onih izvora koji ne utječu na njihovu neovisnost i dostojanstvo. Vlastiti prihodi mogu se ostvarivati samo djelatnostima koje ne štete ostvarenju osnovnih zadaća sveučilišta, veleučilišta, visokih škola i javnih znanstvenih instituta. Pored prihoda iz državnog proračuna visoka učilišta ostvaruju prihode i obavljanjem vlastite djelatnosti. Obveza uplate ostvarenih vlastitih prihoda u državni proračun je propisana odredbom članka 52. Zakona o proračunu (Narodne novine 87/08, 136/12 i 15/15). Prema odredbi članka 40. Zakona o izvršavanju Državnog proračuna Republike Hrvatske za 2014. godinu (Narodne novine 152/13) je propisano da se obveza uplate vlastitih prihoda u državni proračun ne odnosi, između ostalog, na znanost i visoko obrazovanje, što se odnosi i za vlastite prihode ostvarene u 2018., prema odredbi članka 41. Zakona o izvršavanju Državnog proračuna Republike Hrvatske za 2018. (Narodne novine 124/17). </w:t>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sidRPr="00136C4F">
        <w:rPr>
          <w:color w:val="000000"/>
          <w:sz w:val="24"/>
          <w:szCs w:val="24"/>
          <w:lang w:val="hr-HR"/>
        </w:rPr>
        <w:t>Prema Izvješću o obavljenoj financijskoj reviziji visokih učilišta za 2014. (Državni ured za reviziju, Izvješće o obavljenoj financijskoj reviziji visokih učilišta za 2014</w:t>
      </w:r>
      <w:r>
        <w:rPr>
          <w:color w:val="000000"/>
          <w:sz w:val="24"/>
          <w:szCs w:val="24"/>
          <w:lang w:val="hr-HR"/>
        </w:rPr>
        <w:t>.,</w:t>
      </w:r>
      <w:r w:rsidRPr="00136C4F">
        <w:rPr>
          <w:color w:val="000000"/>
          <w:sz w:val="24"/>
          <w:szCs w:val="24"/>
          <w:lang w:val="hr-HR"/>
        </w:rPr>
        <w:t xml:space="preserve">22, </w:t>
      </w:r>
      <w:hyperlink r:id="rId9" w:history="1">
        <w:r w:rsidRPr="00411552">
          <w:rPr>
            <w:rStyle w:val="Hyperlink"/>
            <w:sz w:val="24"/>
            <w:szCs w:val="24"/>
            <w:lang w:val="hr-HR"/>
          </w:rPr>
          <w:t>http://www.revizija.hr/izvjesca/2016/rr-2016/revizija-visoka-ucilista-2016 /visoka-ucilista-skupno/izvjesce-o-obavljenoj-financijskoj-reviziji-visokih-ucilista.pdf</w:t>
        </w:r>
      </w:hyperlink>
      <w:r w:rsidRPr="00136C4F">
        <w:rPr>
          <w:color w:val="000000"/>
          <w:sz w:val="24"/>
          <w:szCs w:val="24"/>
          <w:lang w:val="hr-HR"/>
        </w:rPr>
        <w:t xml:space="preserve">,  financijskom revizijom je obuhvaćeno 68 visokih učilišta, u kojima su ukupni prihodi i primitci ostvareni u iznosu </w:t>
      </w:r>
      <w:r w:rsidRPr="00390736">
        <w:rPr>
          <w:color w:val="000000"/>
          <w:sz w:val="24"/>
          <w:szCs w:val="24"/>
          <w:lang w:val="hr-HR"/>
        </w:rPr>
        <w:t>3.992.749.642,00</w:t>
      </w:r>
      <w:r w:rsidRPr="00136C4F">
        <w:rPr>
          <w:color w:val="000000"/>
          <w:sz w:val="24"/>
          <w:szCs w:val="24"/>
          <w:lang w:val="hr-HR"/>
        </w:rPr>
        <w:t xml:space="preserve"> kn. U ukupno ostvarenih prihodima i primitcima su vrijednosno najznačajniji prihodi iz državnog proračuna u iznosu </w:t>
      </w:r>
      <w:r w:rsidRPr="00390736">
        <w:rPr>
          <w:color w:val="000000"/>
          <w:sz w:val="24"/>
          <w:szCs w:val="24"/>
          <w:lang w:val="hr-HR"/>
        </w:rPr>
        <w:t xml:space="preserve">2.797.695.766,00 </w:t>
      </w:r>
      <w:r w:rsidRPr="00136C4F">
        <w:rPr>
          <w:color w:val="000000"/>
          <w:sz w:val="24"/>
          <w:szCs w:val="24"/>
          <w:lang w:val="hr-HR"/>
        </w:rPr>
        <w:t xml:space="preserve">kn, koji u ukupnim prihodima i primicima sudjeluju sa 70,1 %. Ostvareni prihodi iz proračuna su namjenski za financiranje rashoda poslovanja u iznosu </w:t>
      </w:r>
      <w:r w:rsidRPr="00390736">
        <w:rPr>
          <w:color w:val="000000"/>
          <w:sz w:val="24"/>
          <w:szCs w:val="24"/>
          <w:lang w:val="hr-HR"/>
        </w:rPr>
        <w:t>2.662.114.517,00 kn</w:t>
      </w:r>
      <w:r w:rsidRPr="00136C4F">
        <w:rPr>
          <w:color w:val="000000"/>
          <w:sz w:val="24"/>
          <w:szCs w:val="24"/>
          <w:lang w:val="hr-HR"/>
        </w:rPr>
        <w:t xml:space="preserve">, te rashoda za nabavu nefinancijske imovine u iznosu </w:t>
      </w:r>
      <w:r w:rsidRPr="00390736">
        <w:rPr>
          <w:color w:val="000000"/>
          <w:sz w:val="24"/>
          <w:szCs w:val="24"/>
          <w:lang w:val="hr-HR"/>
        </w:rPr>
        <w:t xml:space="preserve">135.581.249,00 </w:t>
      </w:r>
      <w:r w:rsidRPr="00136C4F">
        <w:rPr>
          <w:color w:val="000000"/>
          <w:sz w:val="24"/>
          <w:szCs w:val="24"/>
          <w:lang w:val="hr-HR"/>
        </w:rPr>
        <w:t xml:space="preserve">kn. Najznačajniji su prihodi iz proračuna za financiranje rashoda poslovanja koji čine 95,2 % ostvarenih prihoda iz proračuna, a najvećim se dijelom odnose na prihode za financiranje rashoda za zaposlene, plaća i naknada za zaposlene, zatim za materijalne rashode, rashode za usluge, znanstveno-istraživačke projekte, te druge rashode poslovanja, dok je za nabavu nefinancijske imovine ostvareno 4,8 % prihoda iz proračuna koji su namijenjeni za izgradnju, adaptaciju i opremanje visokih učilišta. </w:t>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sidRPr="00390736">
        <w:rPr>
          <w:color w:val="000000"/>
          <w:sz w:val="24"/>
          <w:szCs w:val="24"/>
          <w:lang w:val="hr-HR"/>
        </w:rPr>
        <w:t>Prihodi od prodaje proizvoda i robe te pruženih usluga (vlastiti prihodi) te prihodi od upravnih i administrativnih pristojbi, pristojbi po posebnim propisima i naknada (namjenski prihodi) iznose 828.241.664,00 kn. Njihov udjel u ukupnim prihodima i primicima je 20,7 %. Prihodi od prodaje proizvoda i robe te pruženih usluga (vlastiti prihodi) iznose 575.624.635,00 kn. Najvećim dijelom se odnose na prihode od školarina (izvanrednih i specijalističkih studija te poslijediplomskih studija) te prihode od projekata, studija, analiza, tečajeva i drugih usluga ostvarenih u tržišnim uvjetima. U okviru navedenih prihoda, pojedina visoka učilišta su iskazala i prihode od školarina koje plaćaju redoviti studenti na dodiplomskim i diplomskim studijama, diploma, izdavanja uvjerenja, a veći broj visokih učilišta je navedene prihode iskazivao u okviru prihoda od upravnih i administrativnih pristojbi, pristojbi po posebnim propisima i naknada.</w:t>
      </w:r>
      <w:r w:rsidRPr="00390736">
        <w:rPr>
          <w:color w:val="000000"/>
          <w:sz w:val="24"/>
          <w:szCs w:val="24"/>
          <w:lang w:val="hr-HR"/>
        </w:rPr>
        <w:tab/>
      </w:r>
      <w:r w:rsidRPr="00390736">
        <w:rPr>
          <w:color w:val="000000"/>
          <w:sz w:val="24"/>
          <w:szCs w:val="24"/>
          <w:lang w:val="hr-HR"/>
        </w:rPr>
        <w:tab/>
      </w:r>
      <w:r w:rsidRPr="00136C4F">
        <w:rPr>
          <w:color w:val="000000"/>
          <w:sz w:val="24"/>
          <w:szCs w:val="24"/>
          <w:lang w:val="hr-HR"/>
        </w:rPr>
        <w:t xml:space="preserve">Ukupni rashodi i izdatci 68 visokih učilišta su ostvareni u iznosu </w:t>
      </w:r>
      <w:r w:rsidRPr="00390736">
        <w:rPr>
          <w:color w:val="000000"/>
          <w:sz w:val="24"/>
          <w:szCs w:val="24"/>
          <w:lang w:val="hr-HR"/>
        </w:rPr>
        <w:t xml:space="preserve">3.971.360.113,00 </w:t>
      </w:r>
      <w:r w:rsidRPr="00136C4F">
        <w:rPr>
          <w:color w:val="000000"/>
          <w:sz w:val="24"/>
          <w:szCs w:val="24"/>
          <w:lang w:val="hr-HR"/>
        </w:rPr>
        <w:t>kn. Najznačajniji rashodi se odnose na rashode za zaposlene u iznosu</w:t>
      </w:r>
      <w:r w:rsidRPr="00390736">
        <w:rPr>
          <w:color w:val="000000"/>
          <w:sz w:val="24"/>
          <w:szCs w:val="24"/>
          <w:lang w:val="hr-HR"/>
        </w:rPr>
        <w:t xml:space="preserve"> u iznosu 2.409.863.854,00 kn</w:t>
      </w:r>
      <w:r w:rsidRPr="00136C4F">
        <w:rPr>
          <w:color w:val="000000"/>
          <w:sz w:val="24"/>
          <w:szCs w:val="24"/>
          <w:lang w:val="hr-HR"/>
        </w:rPr>
        <w:t xml:space="preserve"> ili 60,7 %, materijalne rashode u iznosu 1.045.393.924,00 kn ili </w:t>
      </w:r>
      <w:r w:rsidRPr="00390736">
        <w:rPr>
          <w:color w:val="000000"/>
          <w:sz w:val="24"/>
          <w:szCs w:val="24"/>
          <w:lang w:val="hr-HR"/>
        </w:rPr>
        <w:t>26,3 %</w:t>
      </w:r>
      <w:r w:rsidRPr="00136C4F">
        <w:rPr>
          <w:color w:val="000000"/>
          <w:sz w:val="24"/>
          <w:szCs w:val="24"/>
          <w:lang w:val="hr-HR"/>
        </w:rPr>
        <w:t xml:space="preserve">, te za nabavu nefinancijske imovine u iznosu </w:t>
      </w:r>
      <w:r w:rsidRPr="00390736">
        <w:rPr>
          <w:color w:val="000000"/>
          <w:sz w:val="24"/>
          <w:szCs w:val="24"/>
          <w:lang w:val="hr-HR"/>
        </w:rPr>
        <w:t>340.990.559,00</w:t>
      </w:r>
      <w:r w:rsidRPr="00136C4F">
        <w:rPr>
          <w:color w:val="000000"/>
          <w:sz w:val="24"/>
          <w:szCs w:val="24"/>
          <w:lang w:val="hr-HR"/>
        </w:rPr>
        <w:t xml:space="preserve"> kn ili 8,6 % ukupnih rashoda. Svi drugi rashodi i izdaci, odnosno financijski rashodi, subvencije, pomoći, naknade građanima i kućanstvima (stipendije), izdaci za financijsku imovinu i otplate zajmova, te drugi rashodi poslovanja, iznose 175.111.776,00 kn ili 4,4 % ukupnih rashoda i izdataka. </w:t>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Pr>
          <w:color w:val="000000"/>
          <w:sz w:val="24"/>
          <w:szCs w:val="24"/>
          <w:lang w:val="hr-HR"/>
        </w:rPr>
        <w:tab/>
      </w:r>
      <w:r w:rsidRPr="00390736">
        <w:rPr>
          <w:color w:val="000000"/>
          <w:sz w:val="24"/>
          <w:szCs w:val="24"/>
          <w:lang w:val="hr-HR"/>
        </w:rPr>
        <w:t>Rashodi za zaposlene odnose se na bruto plaće, doprinose na plaću i druge rashode za zaposlene (prigodne darove, nagrade i potpore, otpremnine). Financirani su iz sredstava državnog proračuna, vlastitih i namjenskih prihoda visokih učilišta te manjim dijelom iz sredstava Europske unije.</w:t>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390736">
        <w:rPr>
          <w:color w:val="000000"/>
          <w:sz w:val="24"/>
          <w:szCs w:val="24"/>
          <w:lang w:val="hr-HR"/>
        </w:rPr>
        <w:tab/>
      </w:r>
      <w:r w:rsidRPr="00136C4F">
        <w:rPr>
          <w:color w:val="000000"/>
          <w:sz w:val="24"/>
          <w:szCs w:val="24"/>
          <w:lang w:val="hr-HR"/>
        </w:rPr>
        <w:t xml:space="preserve">Materijalni rashodi se najvećim dijelom odnose na rashode za usluge, </w:t>
      </w:r>
      <w:r w:rsidRPr="00390736">
        <w:rPr>
          <w:color w:val="000000"/>
          <w:sz w:val="24"/>
          <w:szCs w:val="24"/>
          <w:lang w:val="hr-HR"/>
        </w:rPr>
        <w:t xml:space="preserve">rashodi za materijal i energiju, naknade troškova zaposlenima i drugi rashodi poslovanja. U okviru rashoda za usluge </w:t>
      </w:r>
      <w:r w:rsidRPr="00136C4F">
        <w:rPr>
          <w:color w:val="000000"/>
          <w:sz w:val="24"/>
          <w:szCs w:val="24"/>
          <w:lang w:val="hr-HR"/>
        </w:rPr>
        <w:t xml:space="preserve">su značajni rashodi za intelektualne usluge, a odnose se na naknade za ugovore o djelu i ugovore o autorskim honorarima. </w:t>
      </w:r>
    </w:p>
    <w:p w:rsidR="009A7929" w:rsidRPr="00136C4F" w:rsidRDefault="009A7929" w:rsidP="00136C4F">
      <w:pPr>
        <w:rPr>
          <w:b/>
          <w:color w:val="000000"/>
          <w:lang w:val="hr-HR"/>
        </w:rPr>
      </w:pPr>
      <w:r>
        <w:rPr>
          <w:b/>
          <w:color w:val="000000"/>
          <w:lang w:val="hr-HR"/>
        </w:rPr>
        <w:t>2.3. Izaražena mišljenja o financijskim izvještajima i poslovanju</w:t>
      </w:r>
      <w:r>
        <w:rPr>
          <w:b/>
          <w:color w:val="000000"/>
          <w:lang w:val="hr-HR"/>
        </w:rPr>
        <w:fldChar w:fldCharType="begin"/>
      </w:r>
      <w:r w:rsidRPr="00136C4F">
        <w:rPr>
          <w:b/>
          <w:color w:val="000000"/>
          <w:lang w:val="hr-HR"/>
        </w:rPr>
        <w:instrText>xe "revizija"</w:instrText>
      </w:r>
      <w:r>
        <w:rPr>
          <w:b/>
          <w:color w:val="000000"/>
          <w:lang w:val="hr-HR"/>
        </w:rPr>
        <w:fldChar w:fldCharType="end"/>
      </w:r>
    </w:p>
    <w:p w:rsidR="009A7929" w:rsidRDefault="009A7929" w:rsidP="00136C4F">
      <w:pPr>
        <w:ind w:firstLine="720"/>
        <w:rPr>
          <w:color w:val="000000"/>
          <w:lang w:val="hr-HR" w:eastAsia="hr-HR"/>
        </w:rPr>
      </w:pPr>
      <w:r w:rsidRPr="00136C4F">
        <w:rPr>
          <w:color w:val="000000"/>
          <w:lang w:val="hr-HR"/>
        </w:rPr>
        <w:t xml:space="preserve">Revizija se obavlja na način i prema postupcima utvrđenim okvirom revizijskih standarda Međunarodne organizacije vrhovnih revizijskih institucija (INTOSAI) i Kodeksom profesionalne etike državnih revizora (Zakon o Državnom uredu za reviziju, Narodne novine 80/11). Moguće je izraziti bezuvjetno, uvjetno, nepovoljno ili suzdržano mišljenje.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rPr>
        <w:t xml:space="preserve">Prema INTOSAI revizijskim standardima, standardima izvješćivanja državne revizije (Revizijski standardi INTOSAI, 2011., 33, </w:t>
      </w:r>
      <w:hyperlink r:id="rId10" w:history="1">
        <w:r w:rsidRPr="00411552">
          <w:rPr>
            <w:rStyle w:val="Hyperlink"/>
            <w:lang w:val="hr-HR"/>
          </w:rPr>
          <w:t>http://www.revizija.hr/UserFiles/ File/zakoni-akti/revizijski-standardi-intosai.pdf</w:t>
        </w:r>
      </w:hyperlink>
      <w:r w:rsidRPr="00136C4F">
        <w:rPr>
          <w:color w:val="000000"/>
          <w:lang w:val="hr-HR"/>
        </w:rPr>
        <w:t xml:space="preserve">), navodi se kada se daje bezuvjetno, a kada ostala mišljenja, a među ostalim se navodi da se uvjetno mišljenje izražava ako se revizor ne slaže ili kod njega postoji sumnja u pogledu prikaza jedne ili više pozicija u financijskim izvještajima koje su značajne, ali nisu važne za razumijevanje izvještaja. Pri izražavanju mišljenja se ističu razlozi zbog kojih je izraženo uvjetno mišljenje, te je potrebno kvantificirati financijske efekte utvrđenih nepravilnosti. </w:t>
      </w:r>
      <w:r w:rsidRPr="00390736">
        <w:rPr>
          <w:color w:val="000000"/>
          <w:lang w:val="hr-HR"/>
        </w:rPr>
        <w:t xml:space="preserve">Prema ISSAI 200, Temeljna načela financijske revizije, 34 </w:t>
      </w:r>
      <w:r w:rsidRPr="00390736">
        <w:rPr>
          <w:color w:val="00B050"/>
          <w:lang w:val="hr-HR"/>
        </w:rPr>
        <w:t>(</w:t>
      </w:r>
      <w:hyperlink r:id="rId11" w:history="1">
        <w:r w:rsidRPr="00390736">
          <w:rPr>
            <w:rStyle w:val="Hyperlink"/>
            <w:lang w:val="hr-HR"/>
          </w:rPr>
          <w:t>http://www.revizija.hr/datastore/filestore /52/ISSAI_200.pdf</w:t>
        </w:r>
      </w:hyperlink>
      <w:r w:rsidRPr="00390736">
        <w:rPr>
          <w:color w:val="000000"/>
          <w:lang w:val="hr-HR"/>
        </w:rPr>
        <w:t>), navodi se „Ako je na temelju revizijskih dokaza zaključeno kako financijski izvještaji u cjelini sadrže značajne netočnosti ili ako revizor nije bio u mogućnosti pribaviti dostatne i primjerene dokaze kako bi zaključio da financijski izvještaji u cjelini ne sadrže materijalne dokaze, revizor treba modificirati svoje mišljenje u izvješću o obavljenoj reviziji. Revizori mogu izraziti tri vrste modificiranog mišljenja: uvjetno (mišljenje s rezervom), nepovoljno (negativno) i suzdržano mišljenje.“</w:t>
      </w:r>
      <w:r>
        <w:rPr>
          <w:color w:val="000000"/>
          <w:lang w:val="hr-HR"/>
        </w:rPr>
        <w:tab/>
      </w:r>
      <w:r>
        <w:rPr>
          <w:color w:val="000000"/>
          <w:lang w:val="hr-HR"/>
        </w:rPr>
        <w:tab/>
      </w:r>
      <w:r>
        <w:rPr>
          <w:color w:val="000000"/>
          <w:lang w:val="hr-HR"/>
        </w:rPr>
        <w:tab/>
      </w:r>
      <w:r w:rsidRPr="00136C4F">
        <w:rPr>
          <w:color w:val="000000"/>
          <w:lang w:val="hr-HR"/>
        </w:rPr>
        <w:t xml:space="preserve">O financijskim izvještajima i poslovanju visokih učilišta je izraženo 34 bezuvjetna mišljenja i 34 uvjetna mišljenja. Kod medicinskih fakulteta koji su predmet promatranja u ovom radu, bezuvjetno mišljenje je izraženo za Medicinski fakultet, Split, te Medicinski fakultet, Zagreb dok je za </w:t>
      </w:r>
      <w:r w:rsidRPr="00136C4F">
        <w:rPr>
          <w:color w:val="000000"/>
          <w:lang w:val="hr-HR" w:eastAsia="hr-HR"/>
        </w:rPr>
        <w:t>Medicinski fakultet, Osijek i Medicinski fakultet, Rijeka izraženo uvjetno mišljenje.</w:t>
      </w:r>
    </w:p>
    <w:p w:rsidR="009A7929" w:rsidRPr="00136C4F" w:rsidRDefault="009A7929" w:rsidP="00136C4F">
      <w:pPr>
        <w:ind w:firstLine="720"/>
        <w:rPr>
          <w:color w:val="000000"/>
          <w:lang w:val="hr-HR"/>
        </w:rPr>
      </w:pPr>
    </w:p>
    <w:p w:rsidR="009A7929" w:rsidRPr="00136C4F" w:rsidRDefault="009A7929" w:rsidP="00136C4F">
      <w:pPr>
        <w:rPr>
          <w:b/>
          <w:color w:val="000000"/>
          <w:lang w:val="hr-HR"/>
        </w:rPr>
      </w:pPr>
      <w:r w:rsidRPr="00136C4F">
        <w:rPr>
          <w:b/>
          <w:color w:val="000000"/>
          <w:lang w:val="hr-HR"/>
        </w:rPr>
        <w:t>3. UTVRĐENE NEPRAVILNOSTI U POSTUPKU REVIZIJE</w:t>
      </w:r>
    </w:p>
    <w:p w:rsidR="009A7929" w:rsidRPr="00136C4F" w:rsidRDefault="009A7929" w:rsidP="00136C4F">
      <w:pPr>
        <w:ind w:firstLine="720"/>
        <w:rPr>
          <w:color w:val="000000"/>
          <w:lang w:val="hr-HR"/>
        </w:rPr>
      </w:pPr>
      <w:r w:rsidRPr="00136C4F">
        <w:rPr>
          <w:color w:val="000000"/>
          <w:lang w:val="hr-HR"/>
        </w:rPr>
        <w:t xml:space="preserve">U postupku financijske revizije za svaki subjekt revizije je sastavljeno izvješće. Izvješće se sastoji od tri dijela. U prvom dijelu su podatci o visokom učilištu, odnosno o djelokrugu rada i unutarnjem ustrojstvu, te financijskim izvještajima. U drugom dijelu su podatci o obavljenoj reviziji za određeno razdoblje, odnosno 2014., uz ciljeve i područja revizije, metode i postupke revizije, te nalaz. Treći dio izvješća se odnosi na Mišljenje o financijskim izvještajima i poslovanju. U trećem dijelu se navode sve činjenice koje su utjecale na izražavanje mišljenja, a proizašle su iz nepravilnosti koje su prikazane u nalazu. Nepravilnosti utvrđene u poslovanju visokih učilišta se odnose na planiranje, računovodstveno poslovanje, prihode i primitke, rashode i izdatke, imovinu, javnu nabavu te drugo.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rPr>
        <w:t>U nastavku se daje pregled nepravilnosti koje su utjecale na izražavanje mišljenja kod Medicinskih fakulteta. Na izražavanje mišljenja kod jednog fakulteta su utjecale slije</w:t>
      </w:r>
      <w:r>
        <w:rPr>
          <w:color w:val="000000"/>
          <w:lang w:val="hr-HR"/>
        </w:rPr>
        <w:t>deće nepravilnosti:</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w:t>
      </w:r>
      <w:r w:rsidRPr="00136C4F">
        <w:rPr>
          <w:color w:val="000000"/>
          <w:lang w:val="hr-HR"/>
        </w:rPr>
        <w:t>F</w:t>
      </w:r>
      <w:r w:rsidRPr="00136C4F">
        <w:rPr>
          <w:color w:val="000000"/>
          <w:lang w:val="hr-HR" w:eastAsia="hr-HR"/>
        </w:rPr>
        <w:t xml:space="preserve">akultet vodi sudski spor ali u Bilješkama uz financijske izvještaje nema podataka o tom sporu.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Koncem 2014. u poslovnim knjigama nisu evidentirani, a u financijskim izvještajima iskazani obveza i rashod Fakulteta prema Fondu za razvoj Sveučilišta u iznosu 160.290,00 kn.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U poslovnim knjigama na računu izvanbilančni zapisi je evidentirano 8.117.281,00 kn, što nije iskazano u financijskim izvještajima, a iz dostavljene dokumentacije nije vidljivo na što se navedena vrijednost odnosi. </w:t>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U 2014. rashodi za službena putovanja zaposlenika i vanjskih suradnika su ostvareni u iznosu 2.083.640,00 kn. Pisana izvješća i obračuni troškova službenih putovanja, u više slučajeva, nisu pravodobno podneseni, što je utvrđeno uvidom u putne naloge.</w:t>
      </w:r>
    </w:p>
    <w:p w:rsidR="009A7929" w:rsidRPr="00136C4F" w:rsidRDefault="009A7929" w:rsidP="00136C4F">
      <w:pPr>
        <w:ind w:firstLine="720"/>
        <w:rPr>
          <w:color w:val="000000"/>
          <w:lang w:val="hr-HR"/>
        </w:rPr>
      </w:pPr>
      <w:r w:rsidRPr="00136C4F">
        <w:rPr>
          <w:color w:val="000000"/>
          <w:lang w:val="hr-HR"/>
        </w:rPr>
        <w:t>Kod drugog fakulteta utvrđene su slijedeće nepravilnosti koje su utjecale na izražavanje mišljenja: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U poslovnim knjigama nisu evidentirane i u financijskim izvještajima iskazane potencijalne obveze u vezi sa sudskim sporovima u iznosu 4.452.600,00 kn, vrijednost knjižnog fonda koja je iskazana u iznosu 1.929.304,00 kn i potraživanja za školarine u iznosu 746.296,00 kn, dok su iskazana potraživanja u iznosu 373.169,00 kn koja su naplaćena.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Nisu usklađeni podaci o potraživanjima i obvezama u analitičkim evidencijama i glavnoj knjizi, u glavnoj knjizi su više iskazana potraživanja za 275.413,00 kn, a obveze za 9.436,00 kn od iskazanih u analitičkim evidencijama.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Prihodi od projekta i kotizacija za organiziranje stručnih skupova nisu evidentirani dosljedno i uz primjenu računovodstvenog načela nastanka poslovnog događaja.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Godišnji popis imovine i obveza nije bio cjelovit te je navedeno da nisu popisane obveze evidentirane u poslovnim knjigama u iznosu 18.634.813,00 kn i potraživanja u iznosu 5.727.564,00 kn.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Blagajnički izvještaji su zaključivani prema potrebi (dnevno ili tjedno), te nisu kontrolirani. Osim putem glavne blagajne, gotovinski promet se obavljao i putem pomoćnih blagajni na deset zavoda i katedri te u knjižnici Fakulteta, a za primljene uplate su sastavljene uplatnice bez vođenja pomoćnih knjiga blagajne, a gotovina se dostavljala u glavnu blagajnu bez jasno utvrđenih rokova polaganja gotovine. </w:t>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U pravilniku o vlastitim prihodima je utvrđeno da se prihodi raspoređuju prema namjenama, ali općenito, a za 90,0 % ostvarenih prihoda od održavanja stručnih skupova nije utvrđena namjena.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Prihodi od izdavačke djelatnosti ostvareni su u iznosu 75.438,00 kn, a pravilnikom o izdavačkoj djelatnosti nije uređena prodaja nastavnih skripti. Prema dokumentaciji nije vidljivo kad su skripte prodane, koliko je vremena prošlo od trenutka naplate do uplate u glavnu blagajnu. Za prodane skripte nisu izdavani računi, a naplata se potvrđuje potpisima studenata. Nije bilo podataka o preuzetim količinama skripti iz tiskara, evidencijama o prodanim izdanjima, kao i stanju skripti koncem godine. </w:t>
      </w:r>
      <w:r>
        <w:rPr>
          <w:color w:val="000000"/>
          <w:lang w:val="hr-HR"/>
        </w:rPr>
        <w:tab/>
      </w:r>
      <w:r>
        <w:rPr>
          <w:color w:val="000000"/>
          <w:lang w:val="hr-HR"/>
        </w:rPr>
        <w:tab/>
      </w:r>
      <w:r w:rsidRPr="00136C4F">
        <w:rPr>
          <w:color w:val="000000"/>
          <w:lang w:val="hr-HR" w:eastAsia="hr-HR"/>
        </w:rPr>
        <w:t xml:space="preserve">- Za naplatu potraživanja za prihode poslovanja nisu poduzimane mjere naplate. Vrijednosno najznačajnija potraživanja su potraživanja za prihode od stručnih zdravstvenih usluga za potrebe Bolnice u iznosu 6.648.665,00 kn. Usklađivanje potraživanja za pružene usluge na kraju svake kalendarske godine nije obavljeno, što nije u skladu s ugovorom.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Rashodi za zaposlene čine 72,6 % ukupno ostvarenih rashoda. Ustroj radnih mjesta za 45 Katedri, 11 Zavoda i Centar za proteomiku nije donesen, što nije u skladu s odredbama Statuta. Pojedinim zaposlenicima Centra za proteomiku plaće su određene na temelju ugovora u bruto iznosima, dok su pojedinim zaposlenicima određene na temelju rješenja o plaći putem koeficijenata složenosti poslova, a kriteriji nisu doneseni. </w:t>
      </w:r>
      <w:r>
        <w:rPr>
          <w:color w:val="000000"/>
          <w:lang w:val="hr-HR"/>
        </w:rPr>
        <w:tab/>
      </w:r>
      <w:r>
        <w:rPr>
          <w:color w:val="000000"/>
          <w:lang w:val="hr-HR"/>
        </w:rPr>
        <w:tab/>
      </w:r>
      <w:r w:rsidRPr="00136C4F">
        <w:rPr>
          <w:color w:val="000000"/>
          <w:lang w:val="hr-HR" w:eastAsia="hr-HR"/>
        </w:rPr>
        <w:t xml:space="preserve">- Fakultet nije vodio evidencije o nastavnom opterećenju. Dodaci na plaće isplaćeni su u iznosu 3.723.877,00 kn bez jasnih kriterija i mjerila za utvrđivanje iznosa koji se mogu isplatiti zaposlenicima kroz dodatke na plaću. Nisu ustrojene evidencije iz kojih bi bilo vidljivo u kojem vremenu i opsegu su poslovi obavljani, te cijena rada za isplate uvećanih plaća za povećani opseg poslova i prekovremeni rad. Za 12 zaposlenika koji obavljaju stručne zdravstvene usluge obračunani su i isplaćeni dodaci na plaću, a navedeno nije u skladu s Pravilnikom o vlastitim prihodima. Mjesečna izvješća o učinku pojedinog zaposlenika uz obrazloženje o osnovanosti naknade nisu bila sastavljena. Mjesečni dodaci za 15 zaposlenika koji obavljaju poslove voditeljstva obračunani su i isplaćeni bez priloženih evidencija iz kojih bi bilo vidljivo koliko je koji voditelj obavio sati rada.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xml:space="preserve">- Unutar intelektualnih usluga vrijednosno najznačajniji rashodi se odnose na ugovore o djelu za vanjsku suradnju na izvođenju nastave i ugovore o autorskom djelu. U skladu sa zaključenim ugovorima trebalo je sastavljati mjesečne izvještaje o održanoj nastavi, što nije napravljeno. Za istovrsne poslove putem ugovora o autorskom djelu ugovarana je i isplaćivana različita visina naknada bez utvrđenih kriterija. </w:t>
      </w:r>
      <w:r>
        <w:rPr>
          <w:color w:val="000000"/>
          <w:lang w:val="hr-HR"/>
        </w:rPr>
        <w:tab/>
      </w:r>
      <w:r>
        <w:rPr>
          <w:color w:val="000000"/>
          <w:lang w:val="hr-HR"/>
        </w:rPr>
        <w:tab/>
      </w:r>
      <w:r>
        <w:rPr>
          <w:color w:val="000000"/>
          <w:lang w:val="hr-HR"/>
        </w:rPr>
        <w:tab/>
      </w:r>
      <w:r w:rsidRPr="00136C4F">
        <w:rPr>
          <w:color w:val="000000"/>
          <w:lang w:val="hr-HR" w:eastAsia="hr-HR"/>
        </w:rPr>
        <w:t xml:space="preserve">- Koncem 2014. u poslovnim knjigama iskazana je obveza prema Fakultetu zdravstvenih studija bez sastavljenog obračuna o uplaćenim školarinama i upisninama studenata. Ugovoreno je da će Fakultet zdravstvenih studija platiti naknadu za održanu nastavu koju izvode zaposlenici Fakulteta. Naknada je utvrđena u procijenjenom iznosu, a uključuje troškove hladnog pogona Fakulteta zdravstvenih studija i režijske troškove Katedre Fakulteta koja je preseljena bez obrazloženja. Obračun naknade za održanu nastavu nije sastavljen te troškovi hladnog pogona i režijski troškovi nisu specificirani i obrazloženi.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136C4F">
        <w:rPr>
          <w:color w:val="000000"/>
          <w:lang w:val="hr-HR" w:eastAsia="hr-HR"/>
        </w:rPr>
        <w:t>- Nabava prirodnog plina u vrijednosti 800.380,00 kn nije provedena u skladu s odredbama Zakona o javnoj nabavi.</w:t>
      </w:r>
    </w:p>
    <w:p w:rsidR="009A7929" w:rsidRPr="00136C4F" w:rsidRDefault="009A7929" w:rsidP="00136C4F">
      <w:pPr>
        <w:autoSpaceDE w:val="0"/>
        <w:autoSpaceDN w:val="0"/>
        <w:adjustRightInd w:val="0"/>
        <w:ind w:firstLine="720"/>
        <w:rPr>
          <w:color w:val="000000"/>
          <w:lang w:val="hr-HR" w:eastAsia="hr-HR"/>
        </w:rPr>
      </w:pPr>
      <w:r w:rsidRPr="00136C4F">
        <w:rPr>
          <w:color w:val="000000"/>
          <w:lang w:val="hr-HR" w:eastAsia="hr-HR"/>
        </w:rPr>
        <w:t xml:space="preserve">Kod druga dva medicinska fakulteta u postupku revizije </w:t>
      </w:r>
      <w:r w:rsidRPr="00390736">
        <w:rPr>
          <w:color w:val="000000"/>
          <w:lang w:val="hr-HR"/>
        </w:rPr>
        <w:t xml:space="preserve">nisu utvrđene nepravilnosti i propusti koje su utjecale na izražavanje drugačijeg mišljenja, odnosno izraženo je bezuvjetno mišljenje. </w:t>
      </w:r>
      <w:r w:rsidRPr="00136C4F">
        <w:rPr>
          <w:color w:val="000000"/>
          <w:lang w:val="hr-HR" w:eastAsia="hr-HR"/>
        </w:rPr>
        <w:t>Iz svih navedenih nepravilnosti uočavamo da su različite prirode i da su značajnog utjecaja na financijske izvještaje i poslovanje. Stoga je u narednom razdoblju potrebno pratiti jesu li ispravljene, odnosno je li postupljeno po nalozima i preporukama revizije.</w:t>
      </w:r>
    </w:p>
    <w:p w:rsidR="009A7929" w:rsidRPr="00136C4F" w:rsidRDefault="009A7929" w:rsidP="00136C4F">
      <w:pPr>
        <w:ind w:left="284" w:hanging="284"/>
        <w:rPr>
          <w:b/>
          <w:color w:val="000000"/>
          <w:lang w:val="hr-HR"/>
        </w:rPr>
      </w:pPr>
      <w:r w:rsidRPr="00136C4F">
        <w:rPr>
          <w:b/>
          <w:color w:val="000000"/>
          <w:lang w:val="hr-HR"/>
        </w:rPr>
        <w:t xml:space="preserve">4. PODATCI O POSLOVANJU </w:t>
      </w:r>
    </w:p>
    <w:p w:rsidR="009A7929" w:rsidRDefault="009A7929" w:rsidP="00136C4F">
      <w:pPr>
        <w:pStyle w:val="NoSpacing1"/>
        <w:jc w:val="both"/>
        <w:rPr>
          <w:color w:val="000000"/>
          <w:szCs w:val="24"/>
        </w:rPr>
      </w:pPr>
    </w:p>
    <w:p w:rsidR="009A7929" w:rsidRPr="00136C4F" w:rsidRDefault="009A7929" w:rsidP="00B41217">
      <w:pPr>
        <w:pStyle w:val="NoSpacing1"/>
        <w:ind w:firstLine="720"/>
        <w:jc w:val="both"/>
        <w:rPr>
          <w:color w:val="000000"/>
          <w:szCs w:val="24"/>
        </w:rPr>
      </w:pPr>
      <w:r w:rsidRPr="00136C4F">
        <w:rPr>
          <w:color w:val="000000"/>
          <w:szCs w:val="24"/>
        </w:rPr>
        <w:t xml:space="preserve">Na temelju podataka iz financijskih izvještaja je provedena analiza prihoda i primitaka, rashoda i izdataka, imovine, potraživanja i obveza. Korišteni su podaci Državnog ureda za reviziju iz pojedinačnih izvješća o obavljenoj reviziji za svaki od medicinskih fakulteta te podaci iz skupnog izvješća koje je sastavljeno za sva visoka učilišta. Putem tablica se daje pregled podataka o poslovanju i provodi analiza, te usporedba s podacima za prethodno revizijom obuhvaćeno razdoblje, 2009. (detaljnije o analizi poslovanja medicinskih fakulteta za prethodno revizijom obuhvaćeno razdoblje pogledati Mahaček, D., Včev, A., 195 - 217).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136C4F">
        <w:rPr>
          <w:color w:val="000000"/>
          <w:szCs w:val="24"/>
        </w:rPr>
        <w:t>U tablici 1. se daje prikaz ukupno ostvarenih prihoda i primitaka za svaki od medicinskih fakulteta, ostvarenih sredstava iz proračuna, te vlastitih i drugih prihoda. Izračunava se udjel proračunskih sredstava, te udjel sredstava vlastitih i drugih prihoda. Utvrđuju se ukupna sredstva koja su ostvarili promatrani medicinski fakulteti u ukupnim sredstvima koja su ostvarila sva visoka učilišta, te sredstva proračuna i sredstva vlastitih i drugih prihoda. Najznačajnije prihode i primitke u apsolutnom iznosu je ostvario Medicinski fakultet, Zagreb, zatim Medicinski fakultet, Rijeka, Medicinski fakultet, Split te najmanje Medicinski fakultet, Osijek. Ako promatramo apsolutni iznos ostvarenja sredstava iz proračuna, uočavamo da je redoslijed prema fakultetima isti, što se odnosi i na ostvarenje vlastitih i drugih prihoda. Udjel sredstava iz proračuna u ukupno ostvarenim prihodima i primitcima svakog od promatranih fakulteta je najveći kod Medicinskog fakulteta, Rijeka (77,6 %), zatim slijedi Medicinski fakultet, Osijek (76,0 %), Medicinski fakultet, Split (71,9 %), te Medicinski fakultet, Zagreb (71,8 %). Prosječni udjel sredstava iz proračuna za četiri medicinska fakulteta je 73,9 %. Dva medicinska fakulteta (Rijeka, Osijek) imaju udjel veći od prosječnog udjela sredstava iz proračuna izračunanog za medicinske fakultete, dok dva medicinska fakulteta (Split, Zagreb) imaju udjel manji od prosječnog udjela sredstava iz proračuna medicinskih fakulteta. Prosječni udjel sredstava iz proračuna za ukupno promatranih (68) visokih učilišta je 70,1 %. Sva četiri medicinska fakulteta imaju prosječni udjel sredstava iz proračuna veći od prosječnog udjela sredstava iz proračuna utvrđenog za visoka učilišta. Navedeno potvrđuje da medicinski fakulteti ostvaruju značajna sredstva iz proračuna. Ukupni prihodi i primitci medicinskih fakulteta koje radom promatramo sudjeluju s 8,8 % u ukupnim prihodima i primitcima svih visokih učilišta obuhvaćenih revizijom, a prihodi iz proračuna koje su ostvarili čine 9,3 % svih proračunskih prihoda visokih učilišta.</w:t>
      </w:r>
    </w:p>
    <w:p w:rsidR="009A7929" w:rsidRPr="00136C4F" w:rsidRDefault="009A7929" w:rsidP="00136C4F">
      <w:pPr>
        <w:pStyle w:val="NoSpacing1"/>
        <w:jc w:val="both"/>
        <w:rPr>
          <w:color w:val="000000"/>
          <w:szCs w:val="24"/>
        </w:rPr>
      </w:pPr>
    </w:p>
    <w:p w:rsidR="009A7929" w:rsidRDefault="009A7929" w:rsidP="00B41217">
      <w:pPr>
        <w:pStyle w:val="FootnoteText"/>
        <w:rPr>
          <w:color w:val="000000"/>
          <w:sz w:val="24"/>
          <w:szCs w:val="24"/>
          <w:lang w:val="hr-HR"/>
        </w:rPr>
      </w:pPr>
    </w:p>
    <w:p w:rsidR="009A7929" w:rsidRDefault="009A7929" w:rsidP="00B41217">
      <w:pPr>
        <w:pStyle w:val="FootnoteText"/>
        <w:rPr>
          <w:color w:val="000000"/>
          <w:sz w:val="24"/>
          <w:szCs w:val="24"/>
          <w:lang w:val="hr-HR"/>
        </w:rPr>
      </w:pPr>
    </w:p>
    <w:p w:rsidR="009A7929" w:rsidRPr="00731A3E" w:rsidRDefault="009A7929" w:rsidP="00B41217">
      <w:pPr>
        <w:pStyle w:val="FootnoteText"/>
        <w:rPr>
          <w:i/>
          <w:color w:val="000000"/>
          <w:sz w:val="22"/>
          <w:szCs w:val="22"/>
          <w:lang w:val="hr-HR"/>
        </w:rPr>
      </w:pPr>
      <w:r w:rsidRPr="00731A3E">
        <w:rPr>
          <w:i/>
          <w:color w:val="000000"/>
          <w:sz w:val="22"/>
          <w:szCs w:val="22"/>
          <w:lang w:val="hr-HR"/>
        </w:rPr>
        <w:t>Tablica 1. Ostvarenje ukupnih prihoda i primitaka za 2014 (u kn bez lp)</w:t>
      </w:r>
    </w:p>
    <w:tbl>
      <w:tblPr>
        <w:tblW w:w="864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701"/>
        <w:gridCol w:w="1560"/>
        <w:gridCol w:w="1417"/>
        <w:gridCol w:w="1418"/>
        <w:gridCol w:w="1134"/>
        <w:gridCol w:w="1417"/>
      </w:tblGrid>
      <w:tr w:rsidR="009A7929" w:rsidRPr="007D77CE" w:rsidTr="00943E7A">
        <w:trPr>
          <w:trHeight w:val="523"/>
        </w:trPr>
        <w:tc>
          <w:tcPr>
            <w:tcW w:w="1701" w:type="dxa"/>
            <w:tcBorders>
              <w:top w:val="double" w:sz="4" w:space="0" w:color="auto"/>
            </w:tcBorders>
            <w:shd w:val="clear" w:color="auto" w:fill="DBE5F1"/>
            <w:vAlign w:val="center"/>
          </w:tcPr>
          <w:p w:rsidR="009A7929" w:rsidRPr="00A90B59" w:rsidRDefault="009A7929" w:rsidP="00A90B59">
            <w:pPr>
              <w:pStyle w:val="NoSpacing1"/>
              <w:rPr>
                <w:sz w:val="20"/>
                <w:szCs w:val="20"/>
              </w:rPr>
            </w:pPr>
            <w:r w:rsidRPr="00A90B59">
              <w:rPr>
                <w:sz w:val="20"/>
                <w:szCs w:val="20"/>
              </w:rPr>
              <w:t>Visoko učilište</w:t>
            </w:r>
          </w:p>
        </w:tc>
        <w:tc>
          <w:tcPr>
            <w:tcW w:w="1560" w:type="dxa"/>
            <w:tcBorders>
              <w:top w:val="double" w:sz="4" w:space="0" w:color="auto"/>
            </w:tcBorders>
            <w:shd w:val="clear" w:color="auto" w:fill="DBE5F1"/>
            <w:vAlign w:val="center"/>
          </w:tcPr>
          <w:p w:rsidR="009A7929" w:rsidRPr="00A90B59" w:rsidRDefault="009A7929" w:rsidP="00A90B59">
            <w:pPr>
              <w:pStyle w:val="NoSpacing1"/>
              <w:rPr>
                <w:sz w:val="20"/>
                <w:szCs w:val="20"/>
              </w:rPr>
            </w:pPr>
            <w:r w:rsidRPr="00A90B59">
              <w:rPr>
                <w:sz w:val="20"/>
                <w:szCs w:val="20"/>
              </w:rPr>
              <w:t>Prihodi i primitci</w:t>
            </w:r>
          </w:p>
        </w:tc>
        <w:tc>
          <w:tcPr>
            <w:tcW w:w="1417" w:type="dxa"/>
            <w:tcBorders>
              <w:top w:val="double" w:sz="4" w:space="0" w:color="auto"/>
            </w:tcBorders>
            <w:shd w:val="clear" w:color="auto" w:fill="DBE5F1"/>
            <w:vAlign w:val="center"/>
          </w:tcPr>
          <w:p w:rsidR="009A7929" w:rsidRPr="00A90B59" w:rsidRDefault="009A7929" w:rsidP="00A90B59">
            <w:pPr>
              <w:pStyle w:val="NoSpacing1"/>
              <w:rPr>
                <w:sz w:val="20"/>
                <w:szCs w:val="20"/>
              </w:rPr>
            </w:pPr>
            <w:r w:rsidRPr="00A90B59">
              <w:rPr>
                <w:sz w:val="20"/>
                <w:szCs w:val="20"/>
              </w:rPr>
              <w:t>Ostvarena sredstva iz proračuna</w:t>
            </w:r>
          </w:p>
        </w:tc>
        <w:tc>
          <w:tcPr>
            <w:tcW w:w="1418" w:type="dxa"/>
            <w:tcBorders>
              <w:top w:val="double" w:sz="4" w:space="0" w:color="auto"/>
            </w:tcBorders>
            <w:shd w:val="clear" w:color="auto" w:fill="DBE5F1"/>
            <w:vAlign w:val="center"/>
          </w:tcPr>
          <w:p w:rsidR="009A7929" w:rsidRPr="00A90B59" w:rsidRDefault="009A7929" w:rsidP="00A90B59">
            <w:pPr>
              <w:pStyle w:val="NoSpacing1"/>
              <w:rPr>
                <w:sz w:val="20"/>
                <w:szCs w:val="20"/>
              </w:rPr>
            </w:pPr>
            <w:r w:rsidRPr="00A90B59">
              <w:rPr>
                <w:sz w:val="20"/>
                <w:szCs w:val="20"/>
              </w:rPr>
              <w:t>Vlastiti i drugi prihodi</w:t>
            </w:r>
          </w:p>
        </w:tc>
        <w:tc>
          <w:tcPr>
            <w:tcW w:w="1134" w:type="dxa"/>
            <w:tcBorders>
              <w:top w:val="double" w:sz="4" w:space="0" w:color="auto"/>
            </w:tcBorders>
            <w:shd w:val="clear" w:color="auto" w:fill="DBE5F1"/>
            <w:vAlign w:val="center"/>
          </w:tcPr>
          <w:p w:rsidR="009A7929" w:rsidRPr="00A90B59" w:rsidRDefault="009A7929" w:rsidP="00943E7A">
            <w:pPr>
              <w:pStyle w:val="NoSpacing1"/>
              <w:rPr>
                <w:sz w:val="20"/>
                <w:szCs w:val="20"/>
              </w:rPr>
            </w:pPr>
            <w:r>
              <w:rPr>
                <w:sz w:val="20"/>
                <w:szCs w:val="20"/>
              </w:rPr>
              <w:t xml:space="preserve">Udjel sredst. </w:t>
            </w:r>
            <w:r w:rsidRPr="00A90B59">
              <w:rPr>
                <w:sz w:val="20"/>
                <w:szCs w:val="20"/>
              </w:rPr>
              <w:t xml:space="preserve">iz </w:t>
            </w:r>
            <w:r>
              <w:rPr>
                <w:sz w:val="20"/>
                <w:szCs w:val="20"/>
              </w:rPr>
              <w:t>p</w:t>
            </w:r>
            <w:r w:rsidRPr="00A90B59">
              <w:rPr>
                <w:sz w:val="20"/>
                <w:szCs w:val="20"/>
              </w:rPr>
              <w:t xml:space="preserve">roračuna </w:t>
            </w:r>
            <w:r w:rsidRPr="00943E7A">
              <w:rPr>
                <w:sz w:val="18"/>
                <w:szCs w:val="18"/>
              </w:rPr>
              <w:t>(3/2)</w:t>
            </w:r>
          </w:p>
        </w:tc>
        <w:tc>
          <w:tcPr>
            <w:tcW w:w="1417" w:type="dxa"/>
            <w:tcBorders>
              <w:top w:val="double" w:sz="4" w:space="0" w:color="auto"/>
            </w:tcBorders>
            <w:shd w:val="clear" w:color="auto" w:fill="DBE5F1"/>
            <w:noWrap/>
            <w:vAlign w:val="center"/>
          </w:tcPr>
          <w:p w:rsidR="009A7929" w:rsidRPr="00A90B59" w:rsidRDefault="009A7929" w:rsidP="00A90B59">
            <w:pPr>
              <w:pStyle w:val="NoSpacing1"/>
              <w:rPr>
                <w:sz w:val="20"/>
                <w:szCs w:val="20"/>
              </w:rPr>
            </w:pPr>
            <w:r w:rsidRPr="00A90B59">
              <w:rPr>
                <w:sz w:val="20"/>
                <w:szCs w:val="20"/>
              </w:rPr>
              <w:t xml:space="preserve">Udjel vlastitih i drugih prihoda </w:t>
            </w:r>
            <w:r w:rsidRPr="00943E7A">
              <w:rPr>
                <w:sz w:val="18"/>
                <w:szCs w:val="18"/>
              </w:rPr>
              <w:t>(4/2)</w:t>
            </w:r>
          </w:p>
        </w:tc>
      </w:tr>
      <w:tr w:rsidR="009A7929" w:rsidRPr="007D77CE" w:rsidTr="00B41217">
        <w:trPr>
          <w:trHeight w:val="110"/>
        </w:trPr>
        <w:tc>
          <w:tcPr>
            <w:tcW w:w="1701" w:type="dxa"/>
          </w:tcPr>
          <w:p w:rsidR="009A7929" w:rsidRPr="00A90B59" w:rsidRDefault="009A7929" w:rsidP="00A90B59">
            <w:pPr>
              <w:pStyle w:val="NoSpacing1"/>
              <w:jc w:val="center"/>
              <w:rPr>
                <w:sz w:val="18"/>
                <w:szCs w:val="18"/>
              </w:rPr>
            </w:pPr>
            <w:r w:rsidRPr="00A90B59">
              <w:rPr>
                <w:sz w:val="18"/>
                <w:szCs w:val="18"/>
              </w:rPr>
              <w:t>1</w:t>
            </w:r>
          </w:p>
        </w:tc>
        <w:tc>
          <w:tcPr>
            <w:tcW w:w="1560" w:type="dxa"/>
          </w:tcPr>
          <w:p w:rsidR="009A7929" w:rsidRPr="00A90B59" w:rsidRDefault="009A7929" w:rsidP="00A90B59">
            <w:pPr>
              <w:pStyle w:val="NoSpacing1"/>
              <w:jc w:val="center"/>
              <w:rPr>
                <w:sz w:val="18"/>
                <w:szCs w:val="18"/>
              </w:rPr>
            </w:pPr>
            <w:r w:rsidRPr="00A90B59">
              <w:rPr>
                <w:sz w:val="18"/>
                <w:szCs w:val="18"/>
              </w:rPr>
              <w:t>2</w:t>
            </w:r>
          </w:p>
        </w:tc>
        <w:tc>
          <w:tcPr>
            <w:tcW w:w="1417" w:type="dxa"/>
          </w:tcPr>
          <w:p w:rsidR="009A7929" w:rsidRPr="00A90B59" w:rsidRDefault="009A7929" w:rsidP="00A90B59">
            <w:pPr>
              <w:pStyle w:val="NoSpacing1"/>
              <w:jc w:val="center"/>
              <w:rPr>
                <w:sz w:val="18"/>
                <w:szCs w:val="18"/>
              </w:rPr>
            </w:pPr>
            <w:r w:rsidRPr="00A90B59">
              <w:rPr>
                <w:sz w:val="18"/>
                <w:szCs w:val="18"/>
              </w:rPr>
              <w:t>3</w:t>
            </w:r>
          </w:p>
        </w:tc>
        <w:tc>
          <w:tcPr>
            <w:tcW w:w="1418" w:type="dxa"/>
          </w:tcPr>
          <w:p w:rsidR="009A7929" w:rsidRPr="00A90B59" w:rsidRDefault="009A7929" w:rsidP="00A90B59">
            <w:pPr>
              <w:pStyle w:val="NoSpacing1"/>
              <w:jc w:val="center"/>
              <w:rPr>
                <w:sz w:val="18"/>
                <w:szCs w:val="18"/>
              </w:rPr>
            </w:pPr>
            <w:r w:rsidRPr="00A90B59">
              <w:rPr>
                <w:sz w:val="18"/>
                <w:szCs w:val="18"/>
              </w:rPr>
              <w:t>4</w:t>
            </w:r>
          </w:p>
        </w:tc>
        <w:tc>
          <w:tcPr>
            <w:tcW w:w="1134" w:type="dxa"/>
          </w:tcPr>
          <w:p w:rsidR="009A7929" w:rsidRPr="00A90B59" w:rsidRDefault="009A7929" w:rsidP="00A90B59">
            <w:pPr>
              <w:pStyle w:val="NoSpacing1"/>
              <w:jc w:val="center"/>
              <w:rPr>
                <w:sz w:val="18"/>
                <w:szCs w:val="18"/>
              </w:rPr>
            </w:pPr>
            <w:r w:rsidRPr="00A90B59">
              <w:rPr>
                <w:sz w:val="18"/>
                <w:szCs w:val="18"/>
              </w:rPr>
              <w:t>5</w:t>
            </w:r>
          </w:p>
        </w:tc>
        <w:tc>
          <w:tcPr>
            <w:tcW w:w="1417" w:type="dxa"/>
            <w:noWrap/>
          </w:tcPr>
          <w:p w:rsidR="009A7929" w:rsidRPr="00A90B59" w:rsidRDefault="009A7929" w:rsidP="00A90B59">
            <w:pPr>
              <w:pStyle w:val="NoSpacing1"/>
              <w:jc w:val="center"/>
              <w:rPr>
                <w:sz w:val="18"/>
                <w:szCs w:val="18"/>
              </w:rPr>
            </w:pPr>
            <w:r w:rsidRPr="00A90B59">
              <w:rPr>
                <w:sz w:val="18"/>
                <w:szCs w:val="18"/>
              </w:rPr>
              <w:t>6</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Medicinski fakultet, Osijek</w:t>
            </w:r>
          </w:p>
        </w:tc>
        <w:tc>
          <w:tcPr>
            <w:tcW w:w="1560" w:type="dxa"/>
            <w:vAlign w:val="center"/>
          </w:tcPr>
          <w:p w:rsidR="009A7929" w:rsidRPr="00A90B59" w:rsidRDefault="009A7929" w:rsidP="00943E7A">
            <w:pPr>
              <w:pStyle w:val="NoSpacing1"/>
              <w:jc w:val="right"/>
              <w:rPr>
                <w:sz w:val="20"/>
                <w:szCs w:val="20"/>
              </w:rPr>
            </w:pPr>
            <w:r w:rsidRPr="00A90B59">
              <w:rPr>
                <w:sz w:val="20"/>
                <w:szCs w:val="20"/>
              </w:rPr>
              <w:t>32.657.397</w:t>
            </w:r>
          </w:p>
        </w:tc>
        <w:tc>
          <w:tcPr>
            <w:tcW w:w="1417" w:type="dxa"/>
            <w:vAlign w:val="center"/>
          </w:tcPr>
          <w:p w:rsidR="009A7929" w:rsidRPr="00A90B59" w:rsidRDefault="009A7929" w:rsidP="00943E7A">
            <w:pPr>
              <w:pStyle w:val="NoSpacing1"/>
              <w:jc w:val="right"/>
              <w:rPr>
                <w:sz w:val="20"/>
                <w:szCs w:val="20"/>
              </w:rPr>
            </w:pPr>
            <w:r w:rsidRPr="00A90B59">
              <w:rPr>
                <w:sz w:val="20"/>
                <w:szCs w:val="20"/>
              </w:rPr>
              <w:t>24.810.250</w:t>
            </w:r>
          </w:p>
        </w:tc>
        <w:tc>
          <w:tcPr>
            <w:tcW w:w="1418" w:type="dxa"/>
            <w:vAlign w:val="center"/>
          </w:tcPr>
          <w:p w:rsidR="009A7929" w:rsidRPr="00A90B59" w:rsidRDefault="009A7929" w:rsidP="00943E7A">
            <w:pPr>
              <w:pStyle w:val="NoSpacing1"/>
              <w:jc w:val="right"/>
              <w:rPr>
                <w:sz w:val="20"/>
                <w:szCs w:val="20"/>
              </w:rPr>
            </w:pPr>
            <w:r w:rsidRPr="00A90B59">
              <w:rPr>
                <w:sz w:val="20"/>
                <w:szCs w:val="20"/>
              </w:rPr>
              <w:t>929.102</w:t>
            </w:r>
          </w:p>
        </w:tc>
        <w:tc>
          <w:tcPr>
            <w:tcW w:w="1134" w:type="dxa"/>
            <w:vAlign w:val="center"/>
          </w:tcPr>
          <w:p w:rsidR="009A7929" w:rsidRPr="00A90B59" w:rsidRDefault="009A7929" w:rsidP="00943E7A">
            <w:pPr>
              <w:pStyle w:val="NoSpacing1"/>
              <w:jc w:val="right"/>
              <w:rPr>
                <w:sz w:val="20"/>
                <w:szCs w:val="20"/>
              </w:rPr>
            </w:pPr>
            <w:r w:rsidRPr="00A90B59">
              <w:rPr>
                <w:sz w:val="20"/>
                <w:szCs w:val="20"/>
              </w:rPr>
              <w:t>76,0</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2,8</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Medicinski fakultet, Rijeka</w:t>
            </w:r>
          </w:p>
        </w:tc>
        <w:tc>
          <w:tcPr>
            <w:tcW w:w="1560" w:type="dxa"/>
            <w:vAlign w:val="center"/>
          </w:tcPr>
          <w:p w:rsidR="009A7929" w:rsidRPr="00A90B59" w:rsidRDefault="009A7929" w:rsidP="00943E7A">
            <w:pPr>
              <w:pStyle w:val="NoSpacing1"/>
              <w:jc w:val="right"/>
              <w:rPr>
                <w:sz w:val="20"/>
                <w:szCs w:val="20"/>
              </w:rPr>
            </w:pPr>
            <w:r w:rsidRPr="00A90B59">
              <w:rPr>
                <w:sz w:val="20"/>
                <w:szCs w:val="20"/>
              </w:rPr>
              <w:t xml:space="preserve">102.967.082 </w:t>
            </w:r>
          </w:p>
        </w:tc>
        <w:tc>
          <w:tcPr>
            <w:tcW w:w="1417" w:type="dxa"/>
            <w:vAlign w:val="center"/>
          </w:tcPr>
          <w:p w:rsidR="009A7929" w:rsidRPr="00A90B59" w:rsidRDefault="009A7929" w:rsidP="00943E7A">
            <w:pPr>
              <w:pStyle w:val="NoSpacing1"/>
              <w:jc w:val="right"/>
              <w:rPr>
                <w:sz w:val="20"/>
                <w:szCs w:val="20"/>
              </w:rPr>
            </w:pPr>
            <w:r w:rsidRPr="00A90B59">
              <w:rPr>
                <w:sz w:val="20"/>
                <w:szCs w:val="20"/>
              </w:rPr>
              <w:t>79.887.982</w:t>
            </w:r>
          </w:p>
        </w:tc>
        <w:tc>
          <w:tcPr>
            <w:tcW w:w="1418" w:type="dxa"/>
            <w:vAlign w:val="center"/>
          </w:tcPr>
          <w:p w:rsidR="009A7929" w:rsidRPr="00A90B59" w:rsidRDefault="009A7929" w:rsidP="00943E7A">
            <w:pPr>
              <w:pStyle w:val="NoSpacing1"/>
              <w:jc w:val="right"/>
              <w:rPr>
                <w:sz w:val="20"/>
                <w:szCs w:val="20"/>
              </w:rPr>
            </w:pPr>
            <w:r w:rsidRPr="00A90B59">
              <w:rPr>
                <w:sz w:val="20"/>
                <w:szCs w:val="20"/>
              </w:rPr>
              <w:t>12.778.515</w:t>
            </w:r>
          </w:p>
        </w:tc>
        <w:tc>
          <w:tcPr>
            <w:tcW w:w="1134" w:type="dxa"/>
            <w:vAlign w:val="center"/>
          </w:tcPr>
          <w:p w:rsidR="009A7929" w:rsidRPr="00A90B59" w:rsidRDefault="009A7929" w:rsidP="00943E7A">
            <w:pPr>
              <w:pStyle w:val="NoSpacing1"/>
              <w:jc w:val="right"/>
              <w:rPr>
                <w:sz w:val="20"/>
                <w:szCs w:val="20"/>
              </w:rPr>
            </w:pPr>
            <w:r w:rsidRPr="00A90B59">
              <w:rPr>
                <w:sz w:val="20"/>
                <w:szCs w:val="20"/>
              </w:rPr>
              <w:t>77,6</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12,4</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Medicinski fakultet, Split</w:t>
            </w:r>
          </w:p>
        </w:tc>
        <w:tc>
          <w:tcPr>
            <w:tcW w:w="1560" w:type="dxa"/>
            <w:vAlign w:val="center"/>
          </w:tcPr>
          <w:p w:rsidR="009A7929" w:rsidRPr="00A90B59" w:rsidRDefault="009A7929" w:rsidP="00943E7A">
            <w:pPr>
              <w:pStyle w:val="NoSpacing1"/>
              <w:jc w:val="right"/>
              <w:rPr>
                <w:sz w:val="20"/>
                <w:szCs w:val="20"/>
              </w:rPr>
            </w:pPr>
            <w:r w:rsidRPr="00A90B59">
              <w:rPr>
                <w:sz w:val="20"/>
                <w:szCs w:val="20"/>
              </w:rPr>
              <w:t>41.249.510</w:t>
            </w:r>
          </w:p>
        </w:tc>
        <w:tc>
          <w:tcPr>
            <w:tcW w:w="1417" w:type="dxa"/>
            <w:vAlign w:val="center"/>
          </w:tcPr>
          <w:p w:rsidR="009A7929" w:rsidRPr="00A90B59" w:rsidRDefault="009A7929" w:rsidP="00943E7A">
            <w:pPr>
              <w:pStyle w:val="NoSpacing1"/>
              <w:jc w:val="right"/>
              <w:rPr>
                <w:sz w:val="20"/>
                <w:szCs w:val="20"/>
              </w:rPr>
            </w:pPr>
            <w:r w:rsidRPr="00A90B59">
              <w:rPr>
                <w:sz w:val="20"/>
                <w:szCs w:val="20"/>
              </w:rPr>
              <w:t>29.648.797</w:t>
            </w:r>
          </w:p>
        </w:tc>
        <w:tc>
          <w:tcPr>
            <w:tcW w:w="1418" w:type="dxa"/>
            <w:vAlign w:val="center"/>
          </w:tcPr>
          <w:p w:rsidR="009A7929" w:rsidRPr="00A90B59" w:rsidRDefault="009A7929" w:rsidP="00943E7A">
            <w:pPr>
              <w:pStyle w:val="NoSpacing1"/>
              <w:jc w:val="right"/>
              <w:rPr>
                <w:sz w:val="20"/>
                <w:szCs w:val="20"/>
              </w:rPr>
            </w:pPr>
            <w:r w:rsidRPr="00A90B59">
              <w:rPr>
                <w:sz w:val="20"/>
                <w:szCs w:val="20"/>
              </w:rPr>
              <w:t>10.706.713</w:t>
            </w:r>
          </w:p>
        </w:tc>
        <w:tc>
          <w:tcPr>
            <w:tcW w:w="1134" w:type="dxa"/>
            <w:vAlign w:val="center"/>
          </w:tcPr>
          <w:p w:rsidR="009A7929" w:rsidRPr="00A90B59" w:rsidRDefault="009A7929" w:rsidP="00943E7A">
            <w:pPr>
              <w:pStyle w:val="NoSpacing1"/>
              <w:jc w:val="right"/>
              <w:rPr>
                <w:sz w:val="20"/>
                <w:szCs w:val="20"/>
              </w:rPr>
            </w:pPr>
            <w:r w:rsidRPr="00A90B59">
              <w:rPr>
                <w:sz w:val="20"/>
                <w:szCs w:val="20"/>
              </w:rPr>
              <w:t>71,9</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26,0</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Medicinski fakultet, Zagreb</w:t>
            </w:r>
          </w:p>
        </w:tc>
        <w:tc>
          <w:tcPr>
            <w:tcW w:w="1560" w:type="dxa"/>
            <w:vAlign w:val="center"/>
          </w:tcPr>
          <w:p w:rsidR="009A7929" w:rsidRPr="00A90B59" w:rsidRDefault="009A7929" w:rsidP="00943E7A">
            <w:pPr>
              <w:pStyle w:val="NoSpacing1"/>
              <w:jc w:val="right"/>
              <w:rPr>
                <w:sz w:val="20"/>
                <w:szCs w:val="20"/>
              </w:rPr>
            </w:pPr>
            <w:r w:rsidRPr="00A90B59">
              <w:rPr>
                <w:sz w:val="20"/>
                <w:szCs w:val="20"/>
              </w:rPr>
              <w:t>173.599.732</w:t>
            </w:r>
          </w:p>
        </w:tc>
        <w:tc>
          <w:tcPr>
            <w:tcW w:w="1417" w:type="dxa"/>
            <w:vAlign w:val="center"/>
          </w:tcPr>
          <w:p w:rsidR="009A7929" w:rsidRPr="00A90B59" w:rsidRDefault="009A7929" w:rsidP="00943E7A">
            <w:pPr>
              <w:pStyle w:val="NoSpacing1"/>
              <w:jc w:val="right"/>
              <w:rPr>
                <w:sz w:val="20"/>
                <w:szCs w:val="20"/>
              </w:rPr>
            </w:pPr>
            <w:r w:rsidRPr="00A90B59">
              <w:rPr>
                <w:sz w:val="20"/>
                <w:szCs w:val="20"/>
              </w:rPr>
              <w:t>124.659.113</w:t>
            </w:r>
          </w:p>
        </w:tc>
        <w:tc>
          <w:tcPr>
            <w:tcW w:w="1418" w:type="dxa"/>
            <w:vAlign w:val="center"/>
          </w:tcPr>
          <w:p w:rsidR="009A7929" w:rsidRPr="00A90B59" w:rsidRDefault="009A7929" w:rsidP="00943E7A">
            <w:pPr>
              <w:pStyle w:val="NoSpacing1"/>
              <w:jc w:val="right"/>
              <w:rPr>
                <w:sz w:val="20"/>
                <w:szCs w:val="20"/>
              </w:rPr>
            </w:pPr>
            <w:r w:rsidRPr="00A90B59">
              <w:rPr>
                <w:sz w:val="20"/>
                <w:szCs w:val="20"/>
              </w:rPr>
              <w:t>37.016.496</w:t>
            </w:r>
          </w:p>
        </w:tc>
        <w:tc>
          <w:tcPr>
            <w:tcW w:w="1134" w:type="dxa"/>
            <w:vAlign w:val="center"/>
          </w:tcPr>
          <w:p w:rsidR="009A7929" w:rsidRPr="00A90B59" w:rsidRDefault="009A7929" w:rsidP="00943E7A">
            <w:pPr>
              <w:pStyle w:val="NoSpacing1"/>
              <w:jc w:val="right"/>
              <w:rPr>
                <w:sz w:val="20"/>
                <w:szCs w:val="20"/>
              </w:rPr>
            </w:pPr>
            <w:r w:rsidRPr="00A90B59">
              <w:rPr>
                <w:sz w:val="20"/>
                <w:szCs w:val="20"/>
              </w:rPr>
              <w:t>71,8</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21,3</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Ukupno medicinski fakulteti</w:t>
            </w:r>
          </w:p>
        </w:tc>
        <w:tc>
          <w:tcPr>
            <w:tcW w:w="1560" w:type="dxa"/>
            <w:vAlign w:val="center"/>
          </w:tcPr>
          <w:p w:rsidR="009A7929" w:rsidRPr="00A90B59" w:rsidRDefault="009A7929" w:rsidP="00943E7A">
            <w:pPr>
              <w:pStyle w:val="NoSpacing1"/>
              <w:jc w:val="right"/>
              <w:rPr>
                <w:sz w:val="20"/>
                <w:szCs w:val="20"/>
              </w:rPr>
            </w:pPr>
            <w:r w:rsidRPr="00A90B59">
              <w:rPr>
                <w:sz w:val="20"/>
                <w:szCs w:val="20"/>
              </w:rPr>
              <w:t>350.473.721</w:t>
            </w:r>
          </w:p>
        </w:tc>
        <w:tc>
          <w:tcPr>
            <w:tcW w:w="1417" w:type="dxa"/>
            <w:vAlign w:val="center"/>
          </w:tcPr>
          <w:p w:rsidR="009A7929" w:rsidRPr="00A90B59" w:rsidRDefault="009A7929" w:rsidP="00943E7A">
            <w:pPr>
              <w:pStyle w:val="NoSpacing1"/>
              <w:jc w:val="right"/>
              <w:rPr>
                <w:sz w:val="20"/>
                <w:szCs w:val="20"/>
              </w:rPr>
            </w:pPr>
            <w:r w:rsidRPr="00A90B59">
              <w:rPr>
                <w:sz w:val="20"/>
                <w:szCs w:val="20"/>
              </w:rPr>
              <w:t>259.006.142</w:t>
            </w:r>
          </w:p>
        </w:tc>
        <w:tc>
          <w:tcPr>
            <w:tcW w:w="1418" w:type="dxa"/>
            <w:vAlign w:val="center"/>
          </w:tcPr>
          <w:p w:rsidR="009A7929" w:rsidRPr="00A90B59" w:rsidRDefault="009A7929" w:rsidP="00943E7A">
            <w:pPr>
              <w:pStyle w:val="NoSpacing1"/>
              <w:jc w:val="right"/>
              <w:rPr>
                <w:sz w:val="20"/>
                <w:szCs w:val="20"/>
              </w:rPr>
            </w:pPr>
            <w:r w:rsidRPr="00A90B59">
              <w:rPr>
                <w:sz w:val="20"/>
                <w:szCs w:val="20"/>
              </w:rPr>
              <w:t>61.430.826</w:t>
            </w:r>
          </w:p>
        </w:tc>
        <w:tc>
          <w:tcPr>
            <w:tcW w:w="1134" w:type="dxa"/>
            <w:vAlign w:val="center"/>
          </w:tcPr>
          <w:p w:rsidR="009A7929" w:rsidRPr="00A90B59" w:rsidRDefault="009A7929" w:rsidP="00943E7A">
            <w:pPr>
              <w:pStyle w:val="NoSpacing1"/>
              <w:jc w:val="right"/>
              <w:rPr>
                <w:sz w:val="20"/>
                <w:szCs w:val="20"/>
              </w:rPr>
            </w:pPr>
            <w:r w:rsidRPr="00A90B59">
              <w:rPr>
                <w:sz w:val="20"/>
                <w:szCs w:val="20"/>
              </w:rPr>
              <w:t>73,9</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17,5</w:t>
            </w:r>
          </w:p>
        </w:tc>
      </w:tr>
      <w:tr w:rsidR="009A7929" w:rsidRPr="007D77CE" w:rsidTr="00B41217">
        <w:trPr>
          <w:trHeight w:val="156"/>
        </w:trPr>
        <w:tc>
          <w:tcPr>
            <w:tcW w:w="1701" w:type="dxa"/>
          </w:tcPr>
          <w:p w:rsidR="009A7929" w:rsidRPr="00A90B59" w:rsidRDefault="009A7929" w:rsidP="00A90B59">
            <w:pPr>
              <w:pStyle w:val="NoSpacing1"/>
              <w:rPr>
                <w:sz w:val="20"/>
                <w:szCs w:val="20"/>
              </w:rPr>
            </w:pPr>
            <w:r w:rsidRPr="00A90B59">
              <w:rPr>
                <w:sz w:val="20"/>
                <w:szCs w:val="20"/>
              </w:rPr>
              <w:t>Ukupno 68 visokih učilišta</w:t>
            </w:r>
          </w:p>
        </w:tc>
        <w:tc>
          <w:tcPr>
            <w:tcW w:w="1560" w:type="dxa"/>
            <w:vAlign w:val="center"/>
          </w:tcPr>
          <w:p w:rsidR="009A7929" w:rsidRPr="00A90B59" w:rsidRDefault="009A7929" w:rsidP="00943E7A">
            <w:pPr>
              <w:pStyle w:val="NoSpacing1"/>
              <w:jc w:val="right"/>
              <w:rPr>
                <w:sz w:val="20"/>
                <w:szCs w:val="20"/>
              </w:rPr>
            </w:pPr>
            <w:r w:rsidRPr="00A90B59">
              <w:rPr>
                <w:sz w:val="20"/>
                <w:szCs w:val="20"/>
              </w:rPr>
              <w:t>3.992.749.642</w:t>
            </w:r>
          </w:p>
        </w:tc>
        <w:tc>
          <w:tcPr>
            <w:tcW w:w="1417" w:type="dxa"/>
            <w:vAlign w:val="center"/>
          </w:tcPr>
          <w:p w:rsidR="009A7929" w:rsidRPr="00A90B59" w:rsidRDefault="009A7929" w:rsidP="00943E7A">
            <w:pPr>
              <w:pStyle w:val="NoSpacing1"/>
              <w:jc w:val="right"/>
              <w:rPr>
                <w:sz w:val="20"/>
                <w:szCs w:val="20"/>
              </w:rPr>
            </w:pPr>
            <w:r w:rsidRPr="00A90B59">
              <w:rPr>
                <w:sz w:val="20"/>
                <w:szCs w:val="20"/>
              </w:rPr>
              <w:t>2.797.695.766</w:t>
            </w:r>
          </w:p>
        </w:tc>
        <w:tc>
          <w:tcPr>
            <w:tcW w:w="1418" w:type="dxa"/>
            <w:vAlign w:val="center"/>
          </w:tcPr>
          <w:p w:rsidR="009A7929" w:rsidRPr="00A90B59" w:rsidRDefault="009A7929" w:rsidP="00943E7A">
            <w:pPr>
              <w:pStyle w:val="NoSpacing1"/>
              <w:jc w:val="right"/>
              <w:rPr>
                <w:sz w:val="20"/>
                <w:szCs w:val="20"/>
              </w:rPr>
            </w:pPr>
            <w:r w:rsidRPr="00A90B59">
              <w:rPr>
                <w:sz w:val="20"/>
                <w:szCs w:val="20"/>
              </w:rPr>
              <w:t xml:space="preserve">575.624.635 </w:t>
            </w:r>
          </w:p>
        </w:tc>
        <w:tc>
          <w:tcPr>
            <w:tcW w:w="1134" w:type="dxa"/>
            <w:vAlign w:val="center"/>
          </w:tcPr>
          <w:p w:rsidR="009A7929" w:rsidRPr="00A90B59" w:rsidRDefault="009A7929" w:rsidP="00943E7A">
            <w:pPr>
              <w:pStyle w:val="NoSpacing1"/>
              <w:jc w:val="right"/>
              <w:rPr>
                <w:sz w:val="20"/>
                <w:szCs w:val="20"/>
              </w:rPr>
            </w:pPr>
            <w:r w:rsidRPr="00A90B59">
              <w:rPr>
                <w:sz w:val="20"/>
                <w:szCs w:val="20"/>
              </w:rPr>
              <w:t>70,1</w:t>
            </w:r>
          </w:p>
        </w:tc>
        <w:tc>
          <w:tcPr>
            <w:tcW w:w="1417" w:type="dxa"/>
            <w:noWrap/>
            <w:vAlign w:val="center"/>
          </w:tcPr>
          <w:p w:rsidR="009A7929" w:rsidRPr="00A90B59" w:rsidRDefault="009A7929" w:rsidP="00943E7A">
            <w:pPr>
              <w:pStyle w:val="NoSpacing1"/>
              <w:jc w:val="right"/>
              <w:rPr>
                <w:sz w:val="20"/>
                <w:szCs w:val="20"/>
              </w:rPr>
            </w:pPr>
            <w:r w:rsidRPr="00A90B59">
              <w:rPr>
                <w:sz w:val="20"/>
                <w:szCs w:val="20"/>
              </w:rPr>
              <w:t>14,4</w:t>
            </w:r>
          </w:p>
        </w:tc>
      </w:tr>
      <w:tr w:rsidR="009A7929" w:rsidRPr="007D77CE" w:rsidTr="00B41217">
        <w:trPr>
          <w:trHeight w:val="165"/>
        </w:trPr>
        <w:tc>
          <w:tcPr>
            <w:tcW w:w="1701" w:type="dxa"/>
            <w:tcBorders>
              <w:bottom w:val="double" w:sz="4" w:space="0" w:color="auto"/>
            </w:tcBorders>
          </w:tcPr>
          <w:p w:rsidR="009A7929" w:rsidRPr="00A90B59" w:rsidRDefault="009A7929" w:rsidP="00A90B59">
            <w:pPr>
              <w:pStyle w:val="NoSpacing1"/>
              <w:rPr>
                <w:sz w:val="20"/>
                <w:szCs w:val="20"/>
              </w:rPr>
            </w:pPr>
            <w:r w:rsidRPr="00A90B59">
              <w:rPr>
                <w:sz w:val="20"/>
                <w:szCs w:val="20"/>
              </w:rPr>
              <w:t>Udjel ukupno med. fakulteti u ukupno 68 visokih učilišta</w:t>
            </w:r>
          </w:p>
        </w:tc>
        <w:tc>
          <w:tcPr>
            <w:tcW w:w="1560" w:type="dxa"/>
            <w:tcBorders>
              <w:bottom w:val="double" w:sz="4" w:space="0" w:color="auto"/>
            </w:tcBorders>
            <w:vAlign w:val="center"/>
          </w:tcPr>
          <w:p w:rsidR="009A7929" w:rsidRPr="00A90B59" w:rsidRDefault="009A7929" w:rsidP="00943E7A">
            <w:pPr>
              <w:pStyle w:val="NoSpacing1"/>
              <w:jc w:val="right"/>
              <w:rPr>
                <w:sz w:val="20"/>
                <w:szCs w:val="20"/>
              </w:rPr>
            </w:pPr>
            <w:r w:rsidRPr="00A90B59">
              <w:rPr>
                <w:sz w:val="20"/>
                <w:szCs w:val="20"/>
              </w:rPr>
              <w:t>8,8</w:t>
            </w:r>
          </w:p>
        </w:tc>
        <w:tc>
          <w:tcPr>
            <w:tcW w:w="1417" w:type="dxa"/>
            <w:tcBorders>
              <w:bottom w:val="double" w:sz="4" w:space="0" w:color="auto"/>
            </w:tcBorders>
            <w:vAlign w:val="center"/>
          </w:tcPr>
          <w:p w:rsidR="009A7929" w:rsidRPr="00A90B59" w:rsidRDefault="009A7929" w:rsidP="00943E7A">
            <w:pPr>
              <w:pStyle w:val="NoSpacing1"/>
              <w:jc w:val="right"/>
              <w:rPr>
                <w:sz w:val="20"/>
                <w:szCs w:val="20"/>
              </w:rPr>
            </w:pPr>
            <w:r w:rsidRPr="00A90B59">
              <w:rPr>
                <w:sz w:val="20"/>
                <w:szCs w:val="20"/>
              </w:rPr>
              <w:t>9,3</w:t>
            </w:r>
          </w:p>
        </w:tc>
        <w:tc>
          <w:tcPr>
            <w:tcW w:w="1418" w:type="dxa"/>
            <w:tcBorders>
              <w:bottom w:val="double" w:sz="4" w:space="0" w:color="auto"/>
            </w:tcBorders>
            <w:vAlign w:val="center"/>
          </w:tcPr>
          <w:p w:rsidR="009A7929" w:rsidRPr="00A90B59" w:rsidRDefault="009A7929" w:rsidP="00943E7A">
            <w:pPr>
              <w:pStyle w:val="NoSpacing1"/>
              <w:jc w:val="right"/>
              <w:rPr>
                <w:sz w:val="20"/>
                <w:szCs w:val="20"/>
              </w:rPr>
            </w:pPr>
            <w:r w:rsidRPr="00A90B59">
              <w:rPr>
                <w:sz w:val="20"/>
                <w:szCs w:val="20"/>
              </w:rPr>
              <w:t>10,7</w:t>
            </w:r>
          </w:p>
        </w:tc>
        <w:tc>
          <w:tcPr>
            <w:tcW w:w="1134" w:type="dxa"/>
            <w:tcBorders>
              <w:bottom w:val="double" w:sz="4" w:space="0" w:color="auto"/>
            </w:tcBorders>
            <w:vAlign w:val="center"/>
          </w:tcPr>
          <w:p w:rsidR="009A7929" w:rsidRPr="00A90B59" w:rsidRDefault="009A7929" w:rsidP="00943E7A">
            <w:pPr>
              <w:pStyle w:val="NoSpacing1"/>
              <w:jc w:val="right"/>
              <w:rPr>
                <w:sz w:val="20"/>
                <w:szCs w:val="20"/>
              </w:rPr>
            </w:pPr>
            <w:r w:rsidRPr="00A90B59">
              <w:rPr>
                <w:sz w:val="20"/>
                <w:szCs w:val="20"/>
              </w:rPr>
              <w:t>-</w:t>
            </w:r>
          </w:p>
        </w:tc>
        <w:tc>
          <w:tcPr>
            <w:tcW w:w="1417" w:type="dxa"/>
            <w:tcBorders>
              <w:bottom w:val="double" w:sz="4" w:space="0" w:color="auto"/>
            </w:tcBorders>
            <w:noWrap/>
            <w:vAlign w:val="center"/>
          </w:tcPr>
          <w:p w:rsidR="009A7929" w:rsidRPr="00A90B59" w:rsidRDefault="009A7929" w:rsidP="00943E7A">
            <w:pPr>
              <w:pStyle w:val="NoSpacing1"/>
              <w:jc w:val="right"/>
              <w:rPr>
                <w:sz w:val="20"/>
                <w:szCs w:val="20"/>
              </w:rPr>
            </w:pPr>
            <w:r w:rsidRPr="00A90B59">
              <w:rPr>
                <w:sz w:val="20"/>
                <w:szCs w:val="20"/>
              </w:rPr>
              <w:t>-</w:t>
            </w:r>
          </w:p>
        </w:tc>
      </w:tr>
    </w:tbl>
    <w:p w:rsidR="009A7929" w:rsidRPr="00A90B59" w:rsidRDefault="009A7929" w:rsidP="00A90B59">
      <w:pPr>
        <w:pStyle w:val="FootnoteText"/>
        <w:jc w:val="both"/>
        <w:rPr>
          <w:color w:val="000000"/>
          <w:sz w:val="18"/>
          <w:szCs w:val="18"/>
          <w:lang w:val="hr-HR"/>
        </w:rPr>
      </w:pPr>
      <w:r w:rsidRPr="00A90B59">
        <w:rPr>
          <w:color w:val="000000"/>
          <w:sz w:val="18"/>
          <w:szCs w:val="18"/>
          <w:lang w:val="hr-HR"/>
        </w:rPr>
        <w:t>Izvor: Izrada autora prema podatcima iz Izvješća o obavljenoj financijskoj reviziji visokih učilišta za 2014. i pojedinačnih izvješća fakulteta(</w:t>
      </w:r>
      <w:hyperlink r:id="rId12" w:history="1">
        <w:r w:rsidRPr="00411552">
          <w:rPr>
            <w:rStyle w:val="Hyperlink"/>
            <w:sz w:val="18"/>
            <w:szCs w:val="18"/>
            <w:lang w:val="hr-HR"/>
          </w:rPr>
          <w:t>http://www.revizija.hr/izvjesca/2016/rr-2016/revizija- visoka-ucilista-2016/visoka-ucilista-skupno/izvjesce-o-obavljenoj-financijskoj-reviziji-visokih-ucilista.pdf</w:t>
        </w:r>
      </w:hyperlink>
      <w:r w:rsidRPr="00A90B59">
        <w:rPr>
          <w:color w:val="000000"/>
          <w:sz w:val="18"/>
          <w:szCs w:val="18"/>
          <w:lang w:val="hr-HR"/>
        </w:rPr>
        <w:t>, dostupno 10. svibnja 2018.)</w:t>
      </w:r>
    </w:p>
    <w:p w:rsidR="009A7929" w:rsidRPr="00390736" w:rsidRDefault="009A7929" w:rsidP="00B41217">
      <w:pPr>
        <w:ind w:firstLine="720"/>
        <w:rPr>
          <w:color w:val="000000"/>
          <w:lang w:val="hr-HR"/>
        </w:rPr>
      </w:pPr>
      <w:r w:rsidRPr="00390736">
        <w:rPr>
          <w:color w:val="000000"/>
          <w:lang w:val="hr-HR"/>
        </w:rPr>
        <w:t>U tablici 2. se daje usporedba ukupno ostvarenih prihoda i primitaka za svaki od medicinskih fakulteta, te ostvarenih sredstava iz proračuna, za 2014. i 2009., odnosno revizijom obuhvaćeno prethodno razdoblje.</w:t>
      </w:r>
    </w:p>
    <w:p w:rsidR="009A7929" w:rsidRPr="00136C4F" w:rsidRDefault="009A7929" w:rsidP="00B41217">
      <w:pPr>
        <w:pStyle w:val="NoSpacing1"/>
        <w:jc w:val="both"/>
        <w:rPr>
          <w:color w:val="000000"/>
          <w:szCs w:val="24"/>
        </w:rPr>
      </w:pPr>
      <w:r w:rsidRPr="00136C4F">
        <w:rPr>
          <w:color w:val="000000"/>
          <w:szCs w:val="24"/>
        </w:rPr>
        <w:t>Prema izračunatim indeksima, prihodi i primici 2014. u odnosu na 2009., veći su kod dva medicinska fakulteta, Osijeka i Splita, dok su kod druga dva fakulteta manji. Prema izračunatim indeksima, ostvarena sredstva iz proračuna 2014. u odnosu na 2009., veća su kod Medicinskog fakulteta Osijek i to za 11,7 %, dok su kod ostala tri fakulteta manja.</w:t>
      </w:r>
      <w:r>
        <w:rPr>
          <w:color w:val="000000"/>
          <w:szCs w:val="24"/>
        </w:rPr>
        <w:tab/>
      </w:r>
      <w:r>
        <w:rPr>
          <w:color w:val="000000"/>
          <w:szCs w:val="24"/>
        </w:rPr>
        <w:tab/>
      </w:r>
      <w:r w:rsidRPr="00136C4F">
        <w:rPr>
          <w:color w:val="000000"/>
          <w:szCs w:val="24"/>
        </w:rPr>
        <w:t xml:space="preserve">Prema izračunatim indeksima, imovina 2014. u odnosu na 2009., veća je kod tri medicinska fakulteta, dok je kod Medicinskog fakulteta Osijek, manja. U ukupnoj imovini financijska imovina sudjeluje s određenim udjelom koji je prema Tablici 3, najznačajniji kod Medicinskog fakulteta, Osijek, 64,4 %, dok je kod drugih fakulteta manji. Kod Medicinskog fakulteta Split udjel financijske imovine u ukupnoj imovini je 45,7 %, kod Medicinskog fakulteta Rijeka udjel je 39,3 %, dok je kod Medicinskog fakulteta Zagreb udjel financijske imovine u ukupnoj imovini 19,4 %. </w:t>
      </w: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Pr="00363F48" w:rsidRDefault="009A7929" w:rsidP="00363F48">
      <w:pPr>
        <w:pStyle w:val="FootnoteText"/>
        <w:jc w:val="both"/>
        <w:rPr>
          <w:b/>
          <w:i/>
          <w:color w:val="000000"/>
          <w:sz w:val="22"/>
          <w:szCs w:val="22"/>
          <w:lang w:val="hr-HR"/>
        </w:rPr>
      </w:pPr>
      <w:r w:rsidRPr="00363F48">
        <w:rPr>
          <w:b/>
          <w:i/>
          <w:color w:val="000000"/>
          <w:sz w:val="22"/>
          <w:szCs w:val="22"/>
          <w:lang w:val="hr-HR"/>
        </w:rPr>
        <w:t>Tablica 2. Ostvarenje ukupnih prihoda i primitaka, sredstava iz proračuna, te imovine u odnosu na revizijom obuhvaćeno prethodno razdoblje</w:t>
      </w:r>
      <w:r w:rsidRPr="00390736">
        <w:rPr>
          <w:b/>
          <w:i/>
          <w:color w:val="000000"/>
          <w:sz w:val="22"/>
          <w:szCs w:val="22"/>
          <w:lang w:val="hr-HR"/>
        </w:rPr>
        <w:t>(u kn bez lp)</w:t>
      </w:r>
    </w:p>
    <w:tbl>
      <w:tblPr>
        <w:tblW w:w="864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993"/>
        <w:gridCol w:w="1275"/>
        <w:gridCol w:w="1276"/>
        <w:gridCol w:w="1276"/>
        <w:gridCol w:w="1276"/>
        <w:gridCol w:w="850"/>
        <w:gridCol w:w="851"/>
        <w:gridCol w:w="850"/>
      </w:tblGrid>
      <w:tr w:rsidR="009A7929" w:rsidRPr="007D77CE" w:rsidTr="001737A6">
        <w:trPr>
          <w:trHeight w:val="523"/>
        </w:trPr>
        <w:tc>
          <w:tcPr>
            <w:tcW w:w="993"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Visoko učilište</w:t>
            </w:r>
          </w:p>
        </w:tc>
        <w:tc>
          <w:tcPr>
            <w:tcW w:w="1275"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Prihodi i primitci</w:t>
            </w:r>
          </w:p>
          <w:p w:rsidR="009A7929" w:rsidRPr="001A3C76" w:rsidRDefault="009A7929" w:rsidP="001A3C76">
            <w:pPr>
              <w:pStyle w:val="NoSpacing1"/>
              <w:rPr>
                <w:sz w:val="20"/>
                <w:szCs w:val="20"/>
              </w:rPr>
            </w:pPr>
            <w:r w:rsidRPr="001A3C76">
              <w:rPr>
                <w:sz w:val="20"/>
                <w:szCs w:val="20"/>
              </w:rPr>
              <w:t>2009</w:t>
            </w:r>
            <w:r>
              <w:rPr>
                <w:sz w:val="20"/>
                <w:szCs w:val="20"/>
              </w:rPr>
              <w:t>.</w:t>
            </w:r>
          </w:p>
        </w:tc>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Ostvarena sredstva iz proračuna 2009</w:t>
            </w:r>
            <w:r>
              <w:rPr>
                <w:sz w:val="20"/>
                <w:szCs w:val="20"/>
              </w:rPr>
              <w:t>.</w:t>
            </w:r>
          </w:p>
        </w:tc>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Imovina 2009</w:t>
            </w:r>
          </w:p>
        </w:tc>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Imovina</w:t>
            </w:r>
          </w:p>
          <w:p w:rsidR="009A7929" w:rsidRPr="001A3C76" w:rsidRDefault="009A7929" w:rsidP="001A3C76">
            <w:pPr>
              <w:pStyle w:val="NoSpacing1"/>
              <w:rPr>
                <w:sz w:val="20"/>
                <w:szCs w:val="20"/>
              </w:rPr>
            </w:pPr>
            <w:r w:rsidRPr="001A3C76">
              <w:rPr>
                <w:sz w:val="20"/>
                <w:szCs w:val="20"/>
              </w:rPr>
              <w:t>2014</w:t>
            </w:r>
          </w:p>
        </w:tc>
        <w:tc>
          <w:tcPr>
            <w:tcW w:w="850" w:type="dxa"/>
            <w:tcBorders>
              <w:top w:val="double" w:sz="4" w:space="0" w:color="auto"/>
            </w:tcBorders>
            <w:shd w:val="clear" w:color="auto" w:fill="DBE5F1"/>
            <w:vAlign w:val="center"/>
          </w:tcPr>
          <w:p w:rsidR="009A7929" w:rsidRPr="001A3C76" w:rsidRDefault="009A7929" w:rsidP="001A3C76">
            <w:pPr>
              <w:pStyle w:val="NoSpacing1"/>
              <w:rPr>
                <w:sz w:val="20"/>
                <w:szCs w:val="20"/>
              </w:rPr>
            </w:pPr>
            <w:r>
              <w:rPr>
                <w:sz w:val="20"/>
                <w:szCs w:val="20"/>
              </w:rPr>
              <w:t>Imovin.</w:t>
            </w:r>
          </w:p>
          <w:p w:rsidR="009A7929" w:rsidRPr="001A3C76" w:rsidRDefault="009A7929" w:rsidP="001A3C76">
            <w:pPr>
              <w:pStyle w:val="NoSpacing1"/>
              <w:rPr>
                <w:sz w:val="20"/>
                <w:szCs w:val="20"/>
              </w:rPr>
            </w:pPr>
            <w:r w:rsidRPr="001A3C76">
              <w:rPr>
                <w:sz w:val="20"/>
                <w:szCs w:val="20"/>
              </w:rPr>
              <w:t>Indeks 2014/</w:t>
            </w:r>
          </w:p>
          <w:p w:rsidR="009A7929" w:rsidRPr="001A3C76" w:rsidRDefault="009A7929" w:rsidP="001A3C76">
            <w:pPr>
              <w:pStyle w:val="NoSpacing1"/>
              <w:rPr>
                <w:sz w:val="20"/>
                <w:szCs w:val="20"/>
              </w:rPr>
            </w:pPr>
            <w:r w:rsidRPr="001A3C76">
              <w:rPr>
                <w:sz w:val="20"/>
                <w:szCs w:val="20"/>
              </w:rPr>
              <w:t xml:space="preserve">2009 </w:t>
            </w:r>
          </w:p>
        </w:tc>
        <w:tc>
          <w:tcPr>
            <w:tcW w:w="851"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 xml:space="preserve">Prihodi </w:t>
            </w:r>
            <w:r w:rsidRPr="001737A6">
              <w:rPr>
                <w:sz w:val="18"/>
                <w:szCs w:val="18"/>
              </w:rPr>
              <w:t xml:space="preserve">i primici </w:t>
            </w:r>
            <w:r w:rsidRPr="001A3C76">
              <w:rPr>
                <w:sz w:val="20"/>
                <w:szCs w:val="20"/>
              </w:rPr>
              <w:t>Indeks</w:t>
            </w:r>
          </w:p>
          <w:p w:rsidR="009A7929" w:rsidRPr="001A3C76" w:rsidRDefault="009A7929" w:rsidP="001A3C76">
            <w:pPr>
              <w:pStyle w:val="NoSpacing1"/>
              <w:rPr>
                <w:sz w:val="20"/>
                <w:szCs w:val="20"/>
              </w:rPr>
            </w:pPr>
            <w:r w:rsidRPr="001A3C76">
              <w:rPr>
                <w:sz w:val="20"/>
                <w:szCs w:val="20"/>
              </w:rPr>
              <w:t>2014/</w:t>
            </w:r>
          </w:p>
          <w:p w:rsidR="009A7929" w:rsidRPr="001A3C76" w:rsidRDefault="009A7929" w:rsidP="001A3C76">
            <w:pPr>
              <w:pStyle w:val="NoSpacing1"/>
              <w:rPr>
                <w:sz w:val="20"/>
                <w:szCs w:val="20"/>
              </w:rPr>
            </w:pPr>
            <w:r w:rsidRPr="001A3C76">
              <w:rPr>
                <w:sz w:val="20"/>
                <w:szCs w:val="20"/>
              </w:rPr>
              <w:t>2009</w:t>
            </w:r>
          </w:p>
        </w:tc>
        <w:tc>
          <w:tcPr>
            <w:tcW w:w="850" w:type="dxa"/>
            <w:tcBorders>
              <w:top w:val="double" w:sz="4" w:space="0" w:color="auto"/>
            </w:tcBorders>
            <w:shd w:val="clear" w:color="auto" w:fill="DBE5F1"/>
            <w:noWrap/>
            <w:vAlign w:val="center"/>
          </w:tcPr>
          <w:p w:rsidR="009A7929" w:rsidRPr="001A3C76" w:rsidRDefault="009A7929" w:rsidP="001A3C76">
            <w:pPr>
              <w:pStyle w:val="NoSpacing1"/>
              <w:rPr>
                <w:sz w:val="20"/>
                <w:szCs w:val="20"/>
              </w:rPr>
            </w:pPr>
            <w:r w:rsidRPr="001737A6">
              <w:rPr>
                <w:sz w:val="18"/>
                <w:szCs w:val="18"/>
              </w:rPr>
              <w:t xml:space="preserve">Sredst.iz </w:t>
            </w:r>
            <w:r>
              <w:rPr>
                <w:sz w:val="20"/>
                <w:szCs w:val="20"/>
              </w:rPr>
              <w:t>prorač.</w:t>
            </w:r>
          </w:p>
          <w:p w:rsidR="009A7929" w:rsidRPr="001A3C76" w:rsidRDefault="009A7929" w:rsidP="001A3C76">
            <w:pPr>
              <w:pStyle w:val="NoSpacing1"/>
              <w:rPr>
                <w:sz w:val="20"/>
                <w:szCs w:val="20"/>
              </w:rPr>
            </w:pPr>
            <w:r w:rsidRPr="001A3C76">
              <w:rPr>
                <w:sz w:val="20"/>
                <w:szCs w:val="20"/>
              </w:rPr>
              <w:t>Indeks</w:t>
            </w:r>
          </w:p>
          <w:p w:rsidR="009A7929" w:rsidRPr="001A3C76" w:rsidRDefault="009A7929" w:rsidP="001A3C76">
            <w:pPr>
              <w:pStyle w:val="NoSpacing1"/>
              <w:rPr>
                <w:sz w:val="20"/>
                <w:szCs w:val="20"/>
              </w:rPr>
            </w:pPr>
            <w:r w:rsidRPr="001A3C76">
              <w:rPr>
                <w:sz w:val="20"/>
                <w:szCs w:val="20"/>
              </w:rPr>
              <w:t>2014/</w:t>
            </w:r>
          </w:p>
          <w:p w:rsidR="009A7929" w:rsidRPr="001A3C76" w:rsidRDefault="009A7929" w:rsidP="001A3C76">
            <w:pPr>
              <w:pStyle w:val="NoSpacing1"/>
              <w:rPr>
                <w:sz w:val="20"/>
                <w:szCs w:val="20"/>
              </w:rPr>
            </w:pPr>
            <w:r w:rsidRPr="001A3C76">
              <w:rPr>
                <w:sz w:val="20"/>
                <w:szCs w:val="20"/>
              </w:rPr>
              <w:t>2009</w:t>
            </w:r>
          </w:p>
        </w:tc>
      </w:tr>
      <w:tr w:rsidR="009A7929" w:rsidRPr="007D77CE" w:rsidTr="001737A6">
        <w:trPr>
          <w:trHeight w:val="110"/>
        </w:trPr>
        <w:tc>
          <w:tcPr>
            <w:tcW w:w="993" w:type="dxa"/>
          </w:tcPr>
          <w:p w:rsidR="009A7929" w:rsidRPr="00942409" w:rsidRDefault="009A7929" w:rsidP="00942409">
            <w:pPr>
              <w:pStyle w:val="NoSpacing1"/>
              <w:jc w:val="center"/>
              <w:rPr>
                <w:sz w:val="18"/>
                <w:szCs w:val="18"/>
              </w:rPr>
            </w:pPr>
            <w:r w:rsidRPr="00942409">
              <w:rPr>
                <w:sz w:val="18"/>
                <w:szCs w:val="18"/>
              </w:rPr>
              <w:t>1</w:t>
            </w:r>
          </w:p>
        </w:tc>
        <w:tc>
          <w:tcPr>
            <w:tcW w:w="1275" w:type="dxa"/>
          </w:tcPr>
          <w:p w:rsidR="009A7929" w:rsidRPr="00942409" w:rsidRDefault="009A7929" w:rsidP="00942409">
            <w:pPr>
              <w:pStyle w:val="NoSpacing1"/>
              <w:jc w:val="center"/>
              <w:rPr>
                <w:sz w:val="18"/>
                <w:szCs w:val="18"/>
              </w:rPr>
            </w:pPr>
            <w:r w:rsidRPr="00942409">
              <w:rPr>
                <w:sz w:val="18"/>
                <w:szCs w:val="18"/>
              </w:rPr>
              <w:t>2</w:t>
            </w:r>
          </w:p>
        </w:tc>
        <w:tc>
          <w:tcPr>
            <w:tcW w:w="1276" w:type="dxa"/>
          </w:tcPr>
          <w:p w:rsidR="009A7929" w:rsidRPr="00942409" w:rsidRDefault="009A7929" w:rsidP="00942409">
            <w:pPr>
              <w:pStyle w:val="NoSpacing1"/>
              <w:jc w:val="center"/>
              <w:rPr>
                <w:sz w:val="18"/>
                <w:szCs w:val="18"/>
              </w:rPr>
            </w:pPr>
            <w:r w:rsidRPr="00942409">
              <w:rPr>
                <w:sz w:val="18"/>
                <w:szCs w:val="18"/>
              </w:rPr>
              <w:t>3</w:t>
            </w:r>
          </w:p>
        </w:tc>
        <w:tc>
          <w:tcPr>
            <w:tcW w:w="1276" w:type="dxa"/>
          </w:tcPr>
          <w:p w:rsidR="009A7929" w:rsidRPr="00942409" w:rsidRDefault="009A7929" w:rsidP="00942409">
            <w:pPr>
              <w:pStyle w:val="NoSpacing1"/>
              <w:jc w:val="center"/>
              <w:rPr>
                <w:sz w:val="18"/>
                <w:szCs w:val="18"/>
              </w:rPr>
            </w:pPr>
            <w:r w:rsidRPr="00942409">
              <w:rPr>
                <w:sz w:val="18"/>
                <w:szCs w:val="18"/>
              </w:rPr>
              <w:t>4</w:t>
            </w:r>
          </w:p>
        </w:tc>
        <w:tc>
          <w:tcPr>
            <w:tcW w:w="1276" w:type="dxa"/>
          </w:tcPr>
          <w:p w:rsidR="009A7929" w:rsidRPr="00942409" w:rsidRDefault="009A7929" w:rsidP="00942409">
            <w:pPr>
              <w:pStyle w:val="NoSpacing1"/>
              <w:jc w:val="center"/>
              <w:rPr>
                <w:sz w:val="18"/>
                <w:szCs w:val="18"/>
              </w:rPr>
            </w:pPr>
            <w:r w:rsidRPr="00942409">
              <w:rPr>
                <w:sz w:val="18"/>
                <w:szCs w:val="18"/>
              </w:rPr>
              <w:t>5</w:t>
            </w:r>
          </w:p>
        </w:tc>
        <w:tc>
          <w:tcPr>
            <w:tcW w:w="850" w:type="dxa"/>
            <w:vAlign w:val="center"/>
          </w:tcPr>
          <w:p w:rsidR="009A7929" w:rsidRPr="00942409" w:rsidRDefault="009A7929" w:rsidP="00942409">
            <w:pPr>
              <w:pStyle w:val="NoSpacing1"/>
              <w:jc w:val="center"/>
              <w:rPr>
                <w:sz w:val="18"/>
                <w:szCs w:val="18"/>
              </w:rPr>
            </w:pPr>
            <w:r w:rsidRPr="00942409">
              <w:rPr>
                <w:sz w:val="18"/>
                <w:szCs w:val="18"/>
              </w:rPr>
              <w:t>6</w:t>
            </w:r>
          </w:p>
        </w:tc>
        <w:tc>
          <w:tcPr>
            <w:tcW w:w="851" w:type="dxa"/>
          </w:tcPr>
          <w:p w:rsidR="009A7929" w:rsidRPr="00942409" w:rsidRDefault="009A7929" w:rsidP="00942409">
            <w:pPr>
              <w:pStyle w:val="NoSpacing1"/>
              <w:jc w:val="center"/>
              <w:rPr>
                <w:sz w:val="18"/>
                <w:szCs w:val="18"/>
              </w:rPr>
            </w:pPr>
            <w:r w:rsidRPr="00942409">
              <w:rPr>
                <w:sz w:val="18"/>
                <w:szCs w:val="18"/>
              </w:rPr>
              <w:t>7</w:t>
            </w:r>
          </w:p>
        </w:tc>
        <w:tc>
          <w:tcPr>
            <w:tcW w:w="850" w:type="dxa"/>
            <w:noWrap/>
          </w:tcPr>
          <w:p w:rsidR="009A7929" w:rsidRPr="00942409" w:rsidRDefault="009A7929" w:rsidP="00942409">
            <w:pPr>
              <w:pStyle w:val="NoSpacing1"/>
              <w:jc w:val="center"/>
              <w:rPr>
                <w:sz w:val="18"/>
                <w:szCs w:val="18"/>
              </w:rPr>
            </w:pPr>
            <w:r w:rsidRPr="00942409">
              <w:rPr>
                <w:sz w:val="18"/>
                <w:szCs w:val="18"/>
              </w:rPr>
              <w:t>8</w:t>
            </w:r>
          </w:p>
        </w:tc>
      </w:tr>
      <w:tr w:rsidR="009A7929" w:rsidRPr="007D77CE" w:rsidTr="001737A6">
        <w:trPr>
          <w:trHeight w:val="156"/>
        </w:trPr>
        <w:tc>
          <w:tcPr>
            <w:tcW w:w="993" w:type="dxa"/>
          </w:tcPr>
          <w:p w:rsidR="009A7929" w:rsidRPr="001A3C76" w:rsidRDefault="009A7929" w:rsidP="001A3C76">
            <w:pPr>
              <w:pStyle w:val="NoSpacing1"/>
              <w:rPr>
                <w:sz w:val="20"/>
                <w:szCs w:val="20"/>
              </w:rPr>
            </w:pPr>
            <w:r w:rsidRPr="001A3C76">
              <w:rPr>
                <w:sz w:val="20"/>
                <w:szCs w:val="20"/>
              </w:rPr>
              <w:t>MF Osijek</w:t>
            </w:r>
          </w:p>
        </w:tc>
        <w:tc>
          <w:tcPr>
            <w:tcW w:w="1275" w:type="dxa"/>
            <w:vAlign w:val="center"/>
          </w:tcPr>
          <w:p w:rsidR="009A7929" w:rsidRPr="001A3C76" w:rsidRDefault="009A7929" w:rsidP="001A3C76">
            <w:pPr>
              <w:pStyle w:val="NoSpacing1"/>
              <w:rPr>
                <w:sz w:val="20"/>
                <w:szCs w:val="20"/>
              </w:rPr>
            </w:pPr>
            <w:r w:rsidRPr="001A3C76">
              <w:rPr>
                <w:sz w:val="20"/>
                <w:szCs w:val="20"/>
              </w:rPr>
              <w:t>27.378.149</w:t>
            </w:r>
          </w:p>
        </w:tc>
        <w:tc>
          <w:tcPr>
            <w:tcW w:w="1276" w:type="dxa"/>
            <w:vAlign w:val="center"/>
          </w:tcPr>
          <w:p w:rsidR="009A7929" w:rsidRPr="001A3C76" w:rsidRDefault="009A7929" w:rsidP="001A3C76">
            <w:pPr>
              <w:pStyle w:val="NoSpacing1"/>
              <w:rPr>
                <w:sz w:val="20"/>
                <w:szCs w:val="20"/>
              </w:rPr>
            </w:pPr>
            <w:r w:rsidRPr="001A3C76">
              <w:rPr>
                <w:sz w:val="20"/>
                <w:szCs w:val="20"/>
              </w:rPr>
              <w:t>22.204.594</w:t>
            </w:r>
          </w:p>
        </w:tc>
        <w:tc>
          <w:tcPr>
            <w:tcW w:w="1276" w:type="dxa"/>
            <w:vAlign w:val="center"/>
          </w:tcPr>
          <w:p w:rsidR="009A7929" w:rsidRPr="001A3C76" w:rsidRDefault="009A7929" w:rsidP="001A3C76">
            <w:pPr>
              <w:pStyle w:val="NoSpacing1"/>
              <w:rPr>
                <w:sz w:val="20"/>
                <w:szCs w:val="20"/>
              </w:rPr>
            </w:pPr>
            <w:r w:rsidRPr="001A3C76">
              <w:rPr>
                <w:sz w:val="20"/>
                <w:szCs w:val="20"/>
              </w:rPr>
              <w:t>23.156.942</w:t>
            </w:r>
          </w:p>
        </w:tc>
        <w:tc>
          <w:tcPr>
            <w:tcW w:w="1276" w:type="dxa"/>
            <w:vAlign w:val="center"/>
          </w:tcPr>
          <w:p w:rsidR="009A7929" w:rsidRPr="001A3C76" w:rsidRDefault="009A7929" w:rsidP="001A3C76">
            <w:pPr>
              <w:pStyle w:val="NoSpacing1"/>
              <w:rPr>
                <w:sz w:val="20"/>
                <w:szCs w:val="20"/>
              </w:rPr>
            </w:pPr>
            <w:r w:rsidRPr="001A3C76">
              <w:rPr>
                <w:sz w:val="20"/>
                <w:szCs w:val="20"/>
              </w:rPr>
              <w:t>20.169.084</w:t>
            </w:r>
          </w:p>
        </w:tc>
        <w:tc>
          <w:tcPr>
            <w:tcW w:w="850" w:type="dxa"/>
            <w:vAlign w:val="center"/>
          </w:tcPr>
          <w:p w:rsidR="009A7929" w:rsidRPr="001A3C76" w:rsidRDefault="009A7929" w:rsidP="001A3C76">
            <w:pPr>
              <w:pStyle w:val="NoSpacing1"/>
              <w:rPr>
                <w:sz w:val="20"/>
                <w:szCs w:val="20"/>
              </w:rPr>
            </w:pPr>
            <w:r w:rsidRPr="001A3C76">
              <w:rPr>
                <w:sz w:val="20"/>
                <w:szCs w:val="20"/>
              </w:rPr>
              <w:t>87,1</w:t>
            </w:r>
          </w:p>
        </w:tc>
        <w:tc>
          <w:tcPr>
            <w:tcW w:w="851" w:type="dxa"/>
            <w:vAlign w:val="center"/>
          </w:tcPr>
          <w:p w:rsidR="009A7929" w:rsidRPr="001A3C76" w:rsidRDefault="009A7929" w:rsidP="001A3C76">
            <w:pPr>
              <w:pStyle w:val="NoSpacing1"/>
              <w:rPr>
                <w:sz w:val="20"/>
                <w:szCs w:val="20"/>
              </w:rPr>
            </w:pPr>
            <w:r w:rsidRPr="001A3C76">
              <w:rPr>
                <w:sz w:val="20"/>
                <w:szCs w:val="20"/>
              </w:rPr>
              <w:t>119,3</w:t>
            </w:r>
          </w:p>
        </w:tc>
        <w:tc>
          <w:tcPr>
            <w:tcW w:w="850" w:type="dxa"/>
            <w:noWrap/>
            <w:vAlign w:val="center"/>
          </w:tcPr>
          <w:p w:rsidR="009A7929" w:rsidRPr="001A3C76" w:rsidRDefault="009A7929" w:rsidP="001A3C76">
            <w:pPr>
              <w:pStyle w:val="NoSpacing1"/>
              <w:rPr>
                <w:sz w:val="20"/>
                <w:szCs w:val="20"/>
              </w:rPr>
            </w:pPr>
            <w:r w:rsidRPr="001A3C76">
              <w:rPr>
                <w:sz w:val="20"/>
                <w:szCs w:val="20"/>
              </w:rPr>
              <w:t>111,7</w:t>
            </w:r>
          </w:p>
        </w:tc>
      </w:tr>
      <w:tr w:rsidR="009A7929" w:rsidRPr="007D77CE" w:rsidTr="001737A6">
        <w:trPr>
          <w:trHeight w:val="156"/>
        </w:trPr>
        <w:tc>
          <w:tcPr>
            <w:tcW w:w="993" w:type="dxa"/>
          </w:tcPr>
          <w:p w:rsidR="009A7929" w:rsidRPr="001A3C76" w:rsidRDefault="009A7929" w:rsidP="001A3C76">
            <w:pPr>
              <w:pStyle w:val="NoSpacing1"/>
              <w:rPr>
                <w:sz w:val="20"/>
                <w:szCs w:val="20"/>
              </w:rPr>
            </w:pPr>
            <w:r w:rsidRPr="001A3C76">
              <w:rPr>
                <w:sz w:val="20"/>
                <w:szCs w:val="20"/>
              </w:rPr>
              <w:t>MF</w:t>
            </w:r>
          </w:p>
          <w:p w:rsidR="009A7929" w:rsidRPr="001A3C76" w:rsidRDefault="009A7929" w:rsidP="001A3C76">
            <w:pPr>
              <w:pStyle w:val="NoSpacing1"/>
              <w:rPr>
                <w:sz w:val="20"/>
                <w:szCs w:val="20"/>
              </w:rPr>
            </w:pPr>
            <w:r w:rsidRPr="001A3C76">
              <w:rPr>
                <w:sz w:val="20"/>
                <w:szCs w:val="20"/>
              </w:rPr>
              <w:t>Rijeka</w:t>
            </w:r>
          </w:p>
        </w:tc>
        <w:tc>
          <w:tcPr>
            <w:tcW w:w="1275" w:type="dxa"/>
            <w:vAlign w:val="center"/>
          </w:tcPr>
          <w:p w:rsidR="009A7929" w:rsidRPr="001A3C76" w:rsidRDefault="009A7929" w:rsidP="001A3C76">
            <w:pPr>
              <w:pStyle w:val="NoSpacing1"/>
              <w:rPr>
                <w:sz w:val="20"/>
                <w:szCs w:val="20"/>
              </w:rPr>
            </w:pPr>
            <w:r w:rsidRPr="001A3C76">
              <w:rPr>
                <w:sz w:val="20"/>
                <w:szCs w:val="20"/>
              </w:rPr>
              <w:t>105.279.413</w:t>
            </w:r>
          </w:p>
        </w:tc>
        <w:tc>
          <w:tcPr>
            <w:tcW w:w="1276" w:type="dxa"/>
            <w:vAlign w:val="center"/>
          </w:tcPr>
          <w:p w:rsidR="009A7929" w:rsidRPr="001A3C76" w:rsidRDefault="009A7929" w:rsidP="001A3C76">
            <w:pPr>
              <w:pStyle w:val="NoSpacing1"/>
              <w:rPr>
                <w:sz w:val="20"/>
                <w:szCs w:val="20"/>
              </w:rPr>
            </w:pPr>
            <w:r w:rsidRPr="001A3C76">
              <w:rPr>
                <w:sz w:val="20"/>
                <w:szCs w:val="20"/>
              </w:rPr>
              <w:t>81.482.712</w:t>
            </w:r>
          </w:p>
        </w:tc>
        <w:tc>
          <w:tcPr>
            <w:tcW w:w="1276" w:type="dxa"/>
            <w:vAlign w:val="center"/>
          </w:tcPr>
          <w:p w:rsidR="009A7929" w:rsidRPr="001A3C76" w:rsidRDefault="009A7929" w:rsidP="001A3C76">
            <w:pPr>
              <w:pStyle w:val="NoSpacing1"/>
              <w:rPr>
                <w:sz w:val="20"/>
                <w:szCs w:val="20"/>
              </w:rPr>
            </w:pPr>
            <w:r w:rsidRPr="001A3C76">
              <w:rPr>
                <w:sz w:val="20"/>
                <w:szCs w:val="20"/>
              </w:rPr>
              <w:t>71.194.777</w:t>
            </w:r>
          </w:p>
        </w:tc>
        <w:tc>
          <w:tcPr>
            <w:tcW w:w="1276" w:type="dxa"/>
            <w:vAlign w:val="center"/>
          </w:tcPr>
          <w:p w:rsidR="009A7929" w:rsidRPr="001A3C76" w:rsidRDefault="009A7929" w:rsidP="001A3C76">
            <w:pPr>
              <w:pStyle w:val="NoSpacing1"/>
              <w:rPr>
                <w:sz w:val="20"/>
                <w:szCs w:val="20"/>
              </w:rPr>
            </w:pPr>
            <w:r w:rsidRPr="001A3C76">
              <w:rPr>
                <w:sz w:val="20"/>
                <w:szCs w:val="20"/>
              </w:rPr>
              <w:t>78.912.171</w:t>
            </w:r>
          </w:p>
        </w:tc>
        <w:tc>
          <w:tcPr>
            <w:tcW w:w="850" w:type="dxa"/>
            <w:vAlign w:val="center"/>
          </w:tcPr>
          <w:p w:rsidR="009A7929" w:rsidRPr="001A3C76" w:rsidRDefault="009A7929" w:rsidP="001A3C76">
            <w:pPr>
              <w:pStyle w:val="NoSpacing1"/>
              <w:rPr>
                <w:sz w:val="20"/>
                <w:szCs w:val="20"/>
              </w:rPr>
            </w:pPr>
            <w:r w:rsidRPr="001A3C76">
              <w:rPr>
                <w:sz w:val="20"/>
                <w:szCs w:val="20"/>
              </w:rPr>
              <w:t>110,8</w:t>
            </w:r>
          </w:p>
        </w:tc>
        <w:tc>
          <w:tcPr>
            <w:tcW w:w="851" w:type="dxa"/>
            <w:vAlign w:val="center"/>
          </w:tcPr>
          <w:p w:rsidR="009A7929" w:rsidRPr="001A3C76" w:rsidRDefault="009A7929" w:rsidP="001A3C76">
            <w:pPr>
              <w:pStyle w:val="NoSpacing1"/>
              <w:rPr>
                <w:sz w:val="20"/>
                <w:szCs w:val="20"/>
              </w:rPr>
            </w:pPr>
            <w:r w:rsidRPr="001A3C76">
              <w:rPr>
                <w:sz w:val="20"/>
                <w:szCs w:val="20"/>
              </w:rPr>
              <w:t>97,8</w:t>
            </w:r>
          </w:p>
        </w:tc>
        <w:tc>
          <w:tcPr>
            <w:tcW w:w="850" w:type="dxa"/>
            <w:noWrap/>
            <w:vAlign w:val="center"/>
          </w:tcPr>
          <w:p w:rsidR="009A7929" w:rsidRPr="001A3C76" w:rsidRDefault="009A7929" w:rsidP="001A3C76">
            <w:pPr>
              <w:pStyle w:val="NoSpacing1"/>
              <w:rPr>
                <w:sz w:val="20"/>
                <w:szCs w:val="20"/>
              </w:rPr>
            </w:pPr>
            <w:r w:rsidRPr="001A3C76">
              <w:rPr>
                <w:sz w:val="20"/>
                <w:szCs w:val="20"/>
              </w:rPr>
              <w:t>98,0</w:t>
            </w:r>
          </w:p>
        </w:tc>
      </w:tr>
      <w:tr w:rsidR="009A7929" w:rsidRPr="007D77CE" w:rsidTr="001737A6">
        <w:trPr>
          <w:trHeight w:val="156"/>
        </w:trPr>
        <w:tc>
          <w:tcPr>
            <w:tcW w:w="993" w:type="dxa"/>
          </w:tcPr>
          <w:p w:rsidR="009A7929" w:rsidRPr="001A3C76" w:rsidRDefault="009A7929" w:rsidP="001A3C76">
            <w:pPr>
              <w:pStyle w:val="NoSpacing1"/>
              <w:rPr>
                <w:sz w:val="20"/>
                <w:szCs w:val="20"/>
              </w:rPr>
            </w:pPr>
            <w:r w:rsidRPr="001A3C76">
              <w:rPr>
                <w:sz w:val="20"/>
                <w:szCs w:val="20"/>
              </w:rPr>
              <w:t>MF Split</w:t>
            </w:r>
          </w:p>
        </w:tc>
        <w:tc>
          <w:tcPr>
            <w:tcW w:w="1275" w:type="dxa"/>
            <w:vAlign w:val="center"/>
          </w:tcPr>
          <w:p w:rsidR="009A7929" w:rsidRPr="001A3C76" w:rsidRDefault="009A7929" w:rsidP="001A3C76">
            <w:pPr>
              <w:pStyle w:val="NoSpacing1"/>
              <w:rPr>
                <w:sz w:val="20"/>
                <w:szCs w:val="20"/>
              </w:rPr>
            </w:pPr>
            <w:r w:rsidRPr="001A3C76">
              <w:rPr>
                <w:sz w:val="20"/>
                <w:szCs w:val="20"/>
              </w:rPr>
              <w:t>38.580.482</w:t>
            </w:r>
          </w:p>
        </w:tc>
        <w:tc>
          <w:tcPr>
            <w:tcW w:w="1276" w:type="dxa"/>
            <w:vAlign w:val="center"/>
          </w:tcPr>
          <w:p w:rsidR="009A7929" w:rsidRPr="001A3C76" w:rsidRDefault="009A7929" w:rsidP="001A3C76">
            <w:pPr>
              <w:pStyle w:val="NoSpacing1"/>
              <w:rPr>
                <w:sz w:val="20"/>
                <w:szCs w:val="20"/>
              </w:rPr>
            </w:pPr>
            <w:r w:rsidRPr="001A3C76">
              <w:rPr>
                <w:sz w:val="20"/>
                <w:szCs w:val="20"/>
              </w:rPr>
              <w:t>30.085.833</w:t>
            </w:r>
          </w:p>
        </w:tc>
        <w:tc>
          <w:tcPr>
            <w:tcW w:w="1276" w:type="dxa"/>
            <w:vAlign w:val="center"/>
          </w:tcPr>
          <w:p w:rsidR="009A7929" w:rsidRPr="001A3C76" w:rsidRDefault="009A7929" w:rsidP="001A3C76">
            <w:pPr>
              <w:pStyle w:val="NoSpacing1"/>
              <w:rPr>
                <w:sz w:val="20"/>
                <w:szCs w:val="20"/>
              </w:rPr>
            </w:pPr>
            <w:r w:rsidRPr="001A3C76">
              <w:rPr>
                <w:sz w:val="20"/>
                <w:szCs w:val="20"/>
              </w:rPr>
              <w:t>23.946.169</w:t>
            </w:r>
          </w:p>
        </w:tc>
        <w:tc>
          <w:tcPr>
            <w:tcW w:w="1276" w:type="dxa"/>
            <w:vAlign w:val="center"/>
          </w:tcPr>
          <w:p w:rsidR="009A7929" w:rsidRPr="001A3C76" w:rsidRDefault="009A7929" w:rsidP="001A3C76">
            <w:pPr>
              <w:pStyle w:val="NoSpacing1"/>
              <w:rPr>
                <w:sz w:val="20"/>
                <w:szCs w:val="20"/>
              </w:rPr>
            </w:pPr>
            <w:r w:rsidRPr="001A3C76">
              <w:rPr>
                <w:sz w:val="20"/>
                <w:szCs w:val="20"/>
              </w:rPr>
              <w:t>24.722.456</w:t>
            </w:r>
          </w:p>
        </w:tc>
        <w:tc>
          <w:tcPr>
            <w:tcW w:w="850" w:type="dxa"/>
            <w:vAlign w:val="center"/>
          </w:tcPr>
          <w:p w:rsidR="009A7929" w:rsidRPr="001A3C76" w:rsidRDefault="009A7929" w:rsidP="001A3C76">
            <w:pPr>
              <w:pStyle w:val="NoSpacing1"/>
              <w:rPr>
                <w:sz w:val="20"/>
                <w:szCs w:val="20"/>
              </w:rPr>
            </w:pPr>
            <w:r w:rsidRPr="001A3C76">
              <w:rPr>
                <w:sz w:val="20"/>
                <w:szCs w:val="20"/>
              </w:rPr>
              <w:t>103,2</w:t>
            </w:r>
          </w:p>
        </w:tc>
        <w:tc>
          <w:tcPr>
            <w:tcW w:w="851" w:type="dxa"/>
            <w:vAlign w:val="center"/>
          </w:tcPr>
          <w:p w:rsidR="009A7929" w:rsidRPr="001A3C76" w:rsidRDefault="009A7929" w:rsidP="001A3C76">
            <w:pPr>
              <w:pStyle w:val="NoSpacing1"/>
              <w:rPr>
                <w:sz w:val="20"/>
                <w:szCs w:val="20"/>
              </w:rPr>
            </w:pPr>
            <w:r w:rsidRPr="001A3C76">
              <w:rPr>
                <w:sz w:val="20"/>
                <w:szCs w:val="20"/>
              </w:rPr>
              <w:t>106,9</w:t>
            </w:r>
          </w:p>
        </w:tc>
        <w:tc>
          <w:tcPr>
            <w:tcW w:w="850" w:type="dxa"/>
            <w:noWrap/>
            <w:vAlign w:val="center"/>
          </w:tcPr>
          <w:p w:rsidR="009A7929" w:rsidRPr="001A3C76" w:rsidRDefault="009A7929" w:rsidP="001A3C76">
            <w:pPr>
              <w:pStyle w:val="NoSpacing1"/>
              <w:rPr>
                <w:sz w:val="20"/>
                <w:szCs w:val="20"/>
              </w:rPr>
            </w:pPr>
            <w:r w:rsidRPr="001A3C76">
              <w:rPr>
                <w:sz w:val="20"/>
                <w:szCs w:val="20"/>
              </w:rPr>
              <w:t>98,5</w:t>
            </w:r>
          </w:p>
        </w:tc>
      </w:tr>
      <w:tr w:rsidR="009A7929" w:rsidRPr="007D77CE" w:rsidTr="001737A6">
        <w:trPr>
          <w:trHeight w:val="156"/>
        </w:trPr>
        <w:tc>
          <w:tcPr>
            <w:tcW w:w="993" w:type="dxa"/>
          </w:tcPr>
          <w:p w:rsidR="009A7929" w:rsidRPr="001A3C76" w:rsidRDefault="009A7929" w:rsidP="001A3C76">
            <w:pPr>
              <w:pStyle w:val="NoSpacing1"/>
              <w:rPr>
                <w:sz w:val="20"/>
                <w:szCs w:val="20"/>
              </w:rPr>
            </w:pPr>
            <w:r w:rsidRPr="001A3C76">
              <w:rPr>
                <w:sz w:val="20"/>
                <w:szCs w:val="20"/>
              </w:rPr>
              <w:t>MF Zagreb</w:t>
            </w:r>
          </w:p>
        </w:tc>
        <w:tc>
          <w:tcPr>
            <w:tcW w:w="1275" w:type="dxa"/>
            <w:vAlign w:val="center"/>
          </w:tcPr>
          <w:p w:rsidR="009A7929" w:rsidRPr="001A3C76" w:rsidRDefault="009A7929" w:rsidP="001A3C76">
            <w:pPr>
              <w:pStyle w:val="NoSpacing1"/>
              <w:rPr>
                <w:sz w:val="20"/>
                <w:szCs w:val="20"/>
              </w:rPr>
            </w:pPr>
            <w:r w:rsidRPr="001A3C76">
              <w:rPr>
                <w:sz w:val="20"/>
                <w:szCs w:val="20"/>
              </w:rPr>
              <w:t>182.875.261</w:t>
            </w:r>
          </w:p>
        </w:tc>
        <w:tc>
          <w:tcPr>
            <w:tcW w:w="1276" w:type="dxa"/>
            <w:vAlign w:val="center"/>
          </w:tcPr>
          <w:p w:rsidR="009A7929" w:rsidRPr="001A3C76" w:rsidRDefault="009A7929" w:rsidP="001A3C76">
            <w:pPr>
              <w:pStyle w:val="NoSpacing1"/>
              <w:rPr>
                <w:sz w:val="20"/>
                <w:szCs w:val="20"/>
              </w:rPr>
            </w:pPr>
            <w:r w:rsidRPr="001A3C76">
              <w:rPr>
                <w:sz w:val="20"/>
                <w:szCs w:val="20"/>
              </w:rPr>
              <w:t>141.381.873</w:t>
            </w:r>
          </w:p>
        </w:tc>
        <w:tc>
          <w:tcPr>
            <w:tcW w:w="1276" w:type="dxa"/>
            <w:vAlign w:val="center"/>
          </w:tcPr>
          <w:p w:rsidR="009A7929" w:rsidRPr="001A3C76" w:rsidRDefault="009A7929" w:rsidP="001A3C76">
            <w:pPr>
              <w:pStyle w:val="NoSpacing1"/>
              <w:rPr>
                <w:sz w:val="20"/>
                <w:szCs w:val="20"/>
              </w:rPr>
            </w:pPr>
            <w:r w:rsidRPr="001A3C76">
              <w:rPr>
                <w:sz w:val="20"/>
                <w:szCs w:val="20"/>
              </w:rPr>
              <w:t>417.089.330</w:t>
            </w:r>
          </w:p>
        </w:tc>
        <w:tc>
          <w:tcPr>
            <w:tcW w:w="1276" w:type="dxa"/>
            <w:vAlign w:val="center"/>
          </w:tcPr>
          <w:p w:rsidR="009A7929" w:rsidRPr="001A3C76" w:rsidRDefault="009A7929" w:rsidP="001A3C76">
            <w:pPr>
              <w:pStyle w:val="NoSpacing1"/>
              <w:rPr>
                <w:sz w:val="20"/>
                <w:szCs w:val="20"/>
              </w:rPr>
            </w:pPr>
            <w:r w:rsidRPr="001A3C76">
              <w:rPr>
                <w:sz w:val="20"/>
                <w:szCs w:val="20"/>
              </w:rPr>
              <w:t>413.529.875</w:t>
            </w:r>
          </w:p>
        </w:tc>
        <w:tc>
          <w:tcPr>
            <w:tcW w:w="850" w:type="dxa"/>
            <w:vAlign w:val="center"/>
          </w:tcPr>
          <w:p w:rsidR="009A7929" w:rsidRPr="001A3C76" w:rsidRDefault="009A7929" w:rsidP="001A3C76">
            <w:pPr>
              <w:pStyle w:val="NoSpacing1"/>
              <w:rPr>
                <w:sz w:val="20"/>
                <w:szCs w:val="20"/>
              </w:rPr>
            </w:pPr>
            <w:r w:rsidRPr="001A3C76">
              <w:rPr>
                <w:sz w:val="20"/>
                <w:szCs w:val="20"/>
              </w:rPr>
              <w:t>99,1</w:t>
            </w:r>
          </w:p>
        </w:tc>
        <w:tc>
          <w:tcPr>
            <w:tcW w:w="851" w:type="dxa"/>
            <w:vAlign w:val="center"/>
          </w:tcPr>
          <w:p w:rsidR="009A7929" w:rsidRPr="001A3C76" w:rsidRDefault="009A7929" w:rsidP="001A3C76">
            <w:pPr>
              <w:pStyle w:val="NoSpacing1"/>
              <w:rPr>
                <w:sz w:val="20"/>
                <w:szCs w:val="20"/>
              </w:rPr>
            </w:pPr>
            <w:r w:rsidRPr="001A3C76">
              <w:rPr>
                <w:sz w:val="20"/>
                <w:szCs w:val="20"/>
              </w:rPr>
              <w:t>94,9</w:t>
            </w:r>
          </w:p>
        </w:tc>
        <w:tc>
          <w:tcPr>
            <w:tcW w:w="850" w:type="dxa"/>
            <w:noWrap/>
            <w:vAlign w:val="center"/>
          </w:tcPr>
          <w:p w:rsidR="009A7929" w:rsidRPr="001A3C76" w:rsidRDefault="009A7929" w:rsidP="001A3C76">
            <w:pPr>
              <w:pStyle w:val="NoSpacing1"/>
              <w:rPr>
                <w:sz w:val="20"/>
                <w:szCs w:val="20"/>
              </w:rPr>
            </w:pPr>
            <w:r w:rsidRPr="001A3C76">
              <w:rPr>
                <w:sz w:val="20"/>
                <w:szCs w:val="20"/>
              </w:rPr>
              <w:t>88,2</w:t>
            </w:r>
          </w:p>
        </w:tc>
      </w:tr>
      <w:tr w:rsidR="009A7929" w:rsidRPr="007D77CE" w:rsidTr="001737A6">
        <w:trPr>
          <w:trHeight w:val="165"/>
        </w:trPr>
        <w:tc>
          <w:tcPr>
            <w:tcW w:w="993" w:type="dxa"/>
            <w:tcBorders>
              <w:bottom w:val="double" w:sz="4" w:space="0" w:color="auto"/>
            </w:tcBorders>
          </w:tcPr>
          <w:p w:rsidR="009A7929" w:rsidRPr="001A3C76" w:rsidRDefault="009A7929" w:rsidP="001A3C76">
            <w:pPr>
              <w:pStyle w:val="NoSpacing1"/>
              <w:rPr>
                <w:sz w:val="18"/>
                <w:szCs w:val="18"/>
              </w:rPr>
            </w:pPr>
            <w:r w:rsidRPr="001A3C76">
              <w:rPr>
                <w:sz w:val="18"/>
                <w:szCs w:val="18"/>
              </w:rPr>
              <w:t>Ukupno MF</w:t>
            </w:r>
          </w:p>
        </w:tc>
        <w:tc>
          <w:tcPr>
            <w:tcW w:w="1275"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354.113.305</w:t>
            </w:r>
          </w:p>
        </w:tc>
        <w:tc>
          <w:tcPr>
            <w:tcW w:w="1276"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275.155.012</w:t>
            </w:r>
          </w:p>
        </w:tc>
        <w:tc>
          <w:tcPr>
            <w:tcW w:w="1276"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535.387.218</w:t>
            </w:r>
          </w:p>
        </w:tc>
        <w:tc>
          <w:tcPr>
            <w:tcW w:w="1276"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537.333.586</w:t>
            </w:r>
          </w:p>
        </w:tc>
        <w:tc>
          <w:tcPr>
            <w:tcW w:w="850"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100,4</w:t>
            </w:r>
          </w:p>
        </w:tc>
        <w:tc>
          <w:tcPr>
            <w:tcW w:w="851" w:type="dxa"/>
            <w:tcBorders>
              <w:bottom w:val="double" w:sz="4" w:space="0" w:color="auto"/>
            </w:tcBorders>
            <w:vAlign w:val="center"/>
          </w:tcPr>
          <w:p w:rsidR="009A7929" w:rsidRPr="001A3C76" w:rsidRDefault="009A7929" w:rsidP="001A3C76">
            <w:pPr>
              <w:pStyle w:val="NoSpacing1"/>
              <w:rPr>
                <w:sz w:val="18"/>
                <w:szCs w:val="18"/>
              </w:rPr>
            </w:pPr>
            <w:r w:rsidRPr="001A3C76">
              <w:rPr>
                <w:sz w:val="18"/>
                <w:szCs w:val="18"/>
              </w:rPr>
              <w:t>99,0</w:t>
            </w:r>
          </w:p>
        </w:tc>
        <w:tc>
          <w:tcPr>
            <w:tcW w:w="850" w:type="dxa"/>
            <w:tcBorders>
              <w:bottom w:val="double" w:sz="4" w:space="0" w:color="auto"/>
            </w:tcBorders>
            <w:noWrap/>
            <w:vAlign w:val="center"/>
          </w:tcPr>
          <w:p w:rsidR="009A7929" w:rsidRPr="001A3C76" w:rsidRDefault="009A7929" w:rsidP="001A3C76">
            <w:pPr>
              <w:pStyle w:val="NoSpacing1"/>
              <w:rPr>
                <w:sz w:val="18"/>
                <w:szCs w:val="18"/>
              </w:rPr>
            </w:pPr>
            <w:r w:rsidRPr="001A3C76">
              <w:rPr>
                <w:sz w:val="18"/>
                <w:szCs w:val="18"/>
              </w:rPr>
              <w:t>94,1</w:t>
            </w:r>
          </w:p>
        </w:tc>
      </w:tr>
    </w:tbl>
    <w:p w:rsidR="009A7929" w:rsidRPr="001A3C76" w:rsidRDefault="009A7929" w:rsidP="001A3C76">
      <w:pPr>
        <w:pStyle w:val="FootnoteText"/>
        <w:jc w:val="both"/>
        <w:rPr>
          <w:color w:val="000000"/>
          <w:sz w:val="18"/>
          <w:szCs w:val="18"/>
          <w:lang w:val="hr-HR"/>
        </w:rPr>
      </w:pPr>
      <w:r w:rsidRPr="001A3C76">
        <w:rPr>
          <w:color w:val="000000"/>
          <w:sz w:val="18"/>
          <w:szCs w:val="18"/>
          <w:lang w:val="hr-HR"/>
        </w:rPr>
        <w:t xml:space="preserve">Izvor: Izrada autora prema podatcima iz Izvješća o obavljenoj financijskoj reviziji visokih učilišta za 2009. i 2014. </w:t>
      </w:r>
      <w:r>
        <w:rPr>
          <w:color w:val="000000"/>
          <w:sz w:val="18"/>
          <w:szCs w:val="18"/>
          <w:lang w:val="hr-HR"/>
        </w:rPr>
        <w:t xml:space="preserve">te </w:t>
      </w:r>
      <w:r w:rsidRPr="001A3C76">
        <w:rPr>
          <w:color w:val="000000"/>
          <w:sz w:val="18"/>
          <w:szCs w:val="18"/>
          <w:lang w:val="hr-HR"/>
        </w:rPr>
        <w:t>pojedinačnih izvješća fakulteta za 2009. i 2014., (</w:t>
      </w:r>
      <w:hyperlink r:id="rId13" w:history="1">
        <w:r w:rsidRPr="001A3C76">
          <w:rPr>
            <w:rStyle w:val="Hyperlink"/>
            <w:sz w:val="18"/>
            <w:szCs w:val="18"/>
            <w:lang w:val="hr-HR"/>
          </w:rPr>
          <w:t>http://www.revizija.hr/izvjesca/2011-vu-za-2009/izvjesce_o_obavljenoj_financijskoj_reviziji_visokih_ucilista_za_2009.pdf</w:t>
        </w:r>
      </w:hyperlink>
      <w:r w:rsidRPr="001A3C76">
        <w:rPr>
          <w:color w:val="000000"/>
          <w:sz w:val="18"/>
          <w:szCs w:val="18"/>
          <w:lang w:val="hr-HR"/>
        </w:rPr>
        <w:t>, dostupno 10. svibnja 2018.)</w:t>
      </w:r>
    </w:p>
    <w:p w:rsidR="009A7929" w:rsidRPr="00136C4F" w:rsidRDefault="009A7929" w:rsidP="00B41217">
      <w:pPr>
        <w:ind w:firstLine="720"/>
        <w:rPr>
          <w:color w:val="000000"/>
          <w:lang w:val="hr-HR"/>
        </w:rPr>
      </w:pPr>
      <w:r w:rsidRPr="00390736">
        <w:rPr>
          <w:color w:val="000000"/>
          <w:lang w:val="hr-HR"/>
        </w:rPr>
        <w:t xml:space="preserve">U tablici 3. se daje prikaz financijske imovine koncem 2014. </w:t>
      </w:r>
      <w:r w:rsidRPr="00136C4F">
        <w:rPr>
          <w:color w:val="000000"/>
          <w:lang w:val="hr-HR"/>
        </w:rPr>
        <w:t xml:space="preserve">Revizijom visokih učilišta je utvrđeno da su sredstva oročavana tijekom 2014. kod dva medicinska fakulteta, dok na koncu 2014. nije bilo oročenih sredstava. Prema Izvješću o obavljenoj reviziji Medicinskog fakulteta Sveučilišta u Zagrebu, str. 11., utvrđeno je da je </w:t>
      </w:r>
      <w:r w:rsidRPr="00390736">
        <w:rPr>
          <w:color w:val="000000"/>
          <w:lang w:val="hr-HR"/>
        </w:rPr>
        <w:t xml:space="preserve">Fakultet u 2014. oročavao novčana sredstva kod poslovne banke, a koncem 2014. nije bilo oročenih sredstava. Tijekom 2014. su oročavana sredstva ukupno u iznosu 39.800.000,00 kn s rokom do 31. prosinca 2014., uz kamatnu stopu 2,45 %. </w:t>
      </w:r>
      <w:r w:rsidRPr="00136C4F">
        <w:rPr>
          <w:color w:val="000000"/>
          <w:lang w:val="hr-HR"/>
        </w:rPr>
        <w:t>Prema Izvješću o obavljenoj reviziji Medicinskog fakulteta Sveučilišta u Rijeci, str. 11., utvrđeno je da su u</w:t>
      </w:r>
      <w:r w:rsidRPr="00390736">
        <w:rPr>
          <w:color w:val="000000"/>
          <w:lang w:val="hr-HR"/>
        </w:rPr>
        <w:t xml:space="preserve"> 2014. oročavana sredstva (od stranih projekata) u iznosu 6.904.051,00 kn (kod poslovne banke zaključena su dva ugovora o oročavanju sredstava s valutnom klauzulom u iznosu 300.000 EUR i jedan 300.838 EUR) na rok do konca 2014. Ugovorena kamatna stopa je 2,8 % godišnje. Svi oročeni depoziti su vraćeni, te koncem 2014. nije bilo oročenih sredstava. </w:t>
      </w:r>
      <w:r w:rsidRPr="001B1E3D">
        <w:rPr>
          <w:color w:val="000000"/>
          <w:lang w:val="hr-HR"/>
        </w:rPr>
        <w:t>U 2014. naplaćena je kamata u iznosu 159.883,00 kn. Kod druga dva medicinska fakulteta (Osijek i Split) nije utvrđeno da su oročavali sredstva.</w:t>
      </w:r>
      <w:r w:rsidRPr="001B1E3D">
        <w:rPr>
          <w:color w:val="000000"/>
          <w:lang w:val="hr-HR"/>
        </w:rPr>
        <w:tab/>
      </w:r>
      <w:r w:rsidRPr="00136C4F">
        <w:rPr>
          <w:color w:val="000000"/>
          <w:lang w:val="hr-HR"/>
        </w:rPr>
        <w:t>Struktura financijske imovine kod svakog od promatranih fakulteta je drugačija. Kod Medicinskog fakulteta Osijek potraživanja za prihode poslovanja su najznačajnija i čine 50,1 % financijske imovine, dok novčana sredstva čine 34,0 % financijske imovine. Kod drugih promatranih fakulteta novčana sredstva su najznačajnija u okviru financijske imovine. Kod Medicinskog fakulteta Rijeka novčana sredstva čine 55,1 % financijske imovine, kod Medicinskog fakulteta Split novčana sredstva čine 73,1 % financijske imovine, dok kod Medicinskog fakulteta Zagreb novčana sredstva čine 77,0 % financijske imovine.</w:t>
      </w:r>
    </w:p>
    <w:p w:rsidR="009A7929" w:rsidRPr="00136C4F" w:rsidRDefault="009A7929" w:rsidP="00136C4F">
      <w:pPr>
        <w:pStyle w:val="FootnoteText"/>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Default="009A7929" w:rsidP="00136C4F">
      <w:pPr>
        <w:pStyle w:val="FootnoteText"/>
        <w:jc w:val="center"/>
        <w:rPr>
          <w:color w:val="000000"/>
          <w:sz w:val="24"/>
          <w:szCs w:val="24"/>
          <w:lang w:val="hr-HR"/>
        </w:rPr>
      </w:pPr>
    </w:p>
    <w:p w:rsidR="009A7929" w:rsidRPr="001737A6" w:rsidRDefault="009A7929" w:rsidP="001737A6">
      <w:pPr>
        <w:pStyle w:val="FootnoteText"/>
        <w:rPr>
          <w:b/>
          <w:i/>
          <w:color w:val="000000"/>
          <w:sz w:val="22"/>
          <w:szCs w:val="22"/>
          <w:lang w:val="hr-HR"/>
        </w:rPr>
      </w:pPr>
      <w:r w:rsidRPr="001737A6">
        <w:rPr>
          <w:b/>
          <w:i/>
          <w:color w:val="000000"/>
          <w:sz w:val="22"/>
          <w:szCs w:val="22"/>
          <w:lang w:val="hr-HR"/>
        </w:rPr>
        <w:t>Tablica 3. Financijska imovina koncem 2014. (</w:t>
      </w:r>
      <w:r w:rsidRPr="001737A6">
        <w:rPr>
          <w:b/>
          <w:i/>
          <w:color w:val="000000"/>
          <w:sz w:val="22"/>
          <w:szCs w:val="22"/>
        </w:rPr>
        <w:t>u kn bez lp)</w:t>
      </w:r>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76"/>
        <w:gridCol w:w="1134"/>
        <w:gridCol w:w="1134"/>
        <w:gridCol w:w="1134"/>
        <w:gridCol w:w="1134"/>
        <w:gridCol w:w="1134"/>
        <w:gridCol w:w="1276"/>
        <w:gridCol w:w="709"/>
      </w:tblGrid>
      <w:tr w:rsidR="009A7929" w:rsidRPr="007D77CE" w:rsidTr="001737A6">
        <w:trPr>
          <w:trHeight w:val="523"/>
        </w:trPr>
        <w:tc>
          <w:tcPr>
            <w:tcW w:w="1276"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Financijska imovina</w:t>
            </w:r>
          </w:p>
        </w:tc>
        <w:tc>
          <w:tcPr>
            <w:tcW w:w="1134"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MF Osijek</w:t>
            </w:r>
          </w:p>
        </w:tc>
        <w:tc>
          <w:tcPr>
            <w:tcW w:w="1134"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MF Rijeka</w:t>
            </w:r>
          </w:p>
        </w:tc>
        <w:tc>
          <w:tcPr>
            <w:tcW w:w="1134"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MF</w:t>
            </w:r>
          </w:p>
          <w:p w:rsidR="009A7929" w:rsidRPr="001A3C76" w:rsidRDefault="009A7929" w:rsidP="001A3C76">
            <w:pPr>
              <w:pStyle w:val="NoSpacing1"/>
              <w:rPr>
                <w:sz w:val="18"/>
                <w:szCs w:val="18"/>
              </w:rPr>
            </w:pPr>
            <w:r w:rsidRPr="001A3C76">
              <w:rPr>
                <w:sz w:val="18"/>
                <w:szCs w:val="18"/>
              </w:rPr>
              <w:t>Split</w:t>
            </w:r>
          </w:p>
        </w:tc>
        <w:tc>
          <w:tcPr>
            <w:tcW w:w="1134"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MF</w:t>
            </w:r>
          </w:p>
          <w:p w:rsidR="009A7929" w:rsidRPr="001A3C76" w:rsidRDefault="009A7929" w:rsidP="001A3C76">
            <w:pPr>
              <w:pStyle w:val="NoSpacing1"/>
              <w:rPr>
                <w:sz w:val="18"/>
                <w:szCs w:val="18"/>
              </w:rPr>
            </w:pPr>
            <w:r w:rsidRPr="001A3C76">
              <w:rPr>
                <w:sz w:val="18"/>
                <w:szCs w:val="18"/>
              </w:rPr>
              <w:t>Zagreb</w:t>
            </w:r>
          </w:p>
        </w:tc>
        <w:tc>
          <w:tcPr>
            <w:tcW w:w="1134"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Ukupno MF</w:t>
            </w:r>
          </w:p>
        </w:tc>
        <w:tc>
          <w:tcPr>
            <w:tcW w:w="1276" w:type="dxa"/>
            <w:tcBorders>
              <w:top w:val="double" w:sz="4" w:space="0" w:color="auto"/>
            </w:tcBorders>
            <w:vAlign w:val="center"/>
          </w:tcPr>
          <w:p w:rsidR="009A7929" w:rsidRPr="001A3C76" w:rsidRDefault="009A7929" w:rsidP="001A3C76">
            <w:pPr>
              <w:pStyle w:val="NoSpacing1"/>
              <w:rPr>
                <w:sz w:val="18"/>
                <w:szCs w:val="18"/>
              </w:rPr>
            </w:pPr>
            <w:r w:rsidRPr="001A3C76">
              <w:rPr>
                <w:sz w:val="18"/>
                <w:szCs w:val="18"/>
              </w:rPr>
              <w:t>Ukupno 68 visokih učilišta</w:t>
            </w:r>
          </w:p>
        </w:tc>
        <w:tc>
          <w:tcPr>
            <w:tcW w:w="709" w:type="dxa"/>
            <w:tcBorders>
              <w:top w:val="double" w:sz="4" w:space="0" w:color="auto"/>
            </w:tcBorders>
            <w:noWrap/>
            <w:vAlign w:val="center"/>
          </w:tcPr>
          <w:p w:rsidR="009A7929" w:rsidRPr="001A3C76" w:rsidRDefault="009A7929" w:rsidP="001A3C76">
            <w:pPr>
              <w:pStyle w:val="NoSpacing1"/>
              <w:rPr>
                <w:sz w:val="18"/>
                <w:szCs w:val="18"/>
              </w:rPr>
            </w:pPr>
            <w:r w:rsidRPr="001A3C76">
              <w:rPr>
                <w:sz w:val="18"/>
                <w:szCs w:val="18"/>
              </w:rPr>
              <w:t>Udjel MF</w:t>
            </w:r>
          </w:p>
          <w:p w:rsidR="009A7929" w:rsidRPr="001A3C76" w:rsidRDefault="009A7929" w:rsidP="001A3C76">
            <w:pPr>
              <w:pStyle w:val="NoSpacing1"/>
              <w:rPr>
                <w:sz w:val="18"/>
                <w:szCs w:val="18"/>
              </w:rPr>
            </w:pPr>
            <w:r w:rsidRPr="001A3C76">
              <w:rPr>
                <w:sz w:val="18"/>
                <w:szCs w:val="18"/>
              </w:rPr>
              <w:t>u ukupno visoka učilišta (6/7)</w:t>
            </w:r>
          </w:p>
        </w:tc>
      </w:tr>
      <w:tr w:rsidR="009A7929" w:rsidRPr="007D77CE" w:rsidTr="001737A6">
        <w:trPr>
          <w:trHeight w:val="110"/>
        </w:trPr>
        <w:tc>
          <w:tcPr>
            <w:tcW w:w="1276" w:type="dxa"/>
          </w:tcPr>
          <w:p w:rsidR="009A7929" w:rsidRPr="001A3C76" w:rsidRDefault="009A7929" w:rsidP="001737A6">
            <w:pPr>
              <w:pStyle w:val="NoSpacing1"/>
              <w:jc w:val="center"/>
              <w:rPr>
                <w:sz w:val="18"/>
                <w:szCs w:val="18"/>
              </w:rPr>
            </w:pPr>
            <w:r w:rsidRPr="001A3C76">
              <w:rPr>
                <w:sz w:val="18"/>
                <w:szCs w:val="18"/>
              </w:rPr>
              <w:t>1</w:t>
            </w:r>
          </w:p>
        </w:tc>
        <w:tc>
          <w:tcPr>
            <w:tcW w:w="1134" w:type="dxa"/>
          </w:tcPr>
          <w:p w:rsidR="009A7929" w:rsidRPr="001A3C76" w:rsidRDefault="009A7929" w:rsidP="001737A6">
            <w:pPr>
              <w:pStyle w:val="NoSpacing1"/>
              <w:jc w:val="center"/>
              <w:rPr>
                <w:sz w:val="18"/>
                <w:szCs w:val="18"/>
              </w:rPr>
            </w:pPr>
            <w:r w:rsidRPr="001A3C76">
              <w:rPr>
                <w:sz w:val="18"/>
                <w:szCs w:val="18"/>
              </w:rPr>
              <w:t>2</w:t>
            </w:r>
          </w:p>
        </w:tc>
        <w:tc>
          <w:tcPr>
            <w:tcW w:w="1134" w:type="dxa"/>
          </w:tcPr>
          <w:p w:rsidR="009A7929" w:rsidRPr="001A3C76" w:rsidRDefault="009A7929" w:rsidP="001737A6">
            <w:pPr>
              <w:pStyle w:val="NoSpacing1"/>
              <w:jc w:val="center"/>
              <w:rPr>
                <w:sz w:val="18"/>
                <w:szCs w:val="18"/>
              </w:rPr>
            </w:pPr>
            <w:r w:rsidRPr="001A3C76">
              <w:rPr>
                <w:sz w:val="18"/>
                <w:szCs w:val="18"/>
              </w:rPr>
              <w:t>3</w:t>
            </w:r>
          </w:p>
        </w:tc>
        <w:tc>
          <w:tcPr>
            <w:tcW w:w="1134" w:type="dxa"/>
          </w:tcPr>
          <w:p w:rsidR="009A7929" w:rsidRPr="001A3C76" w:rsidRDefault="009A7929" w:rsidP="001737A6">
            <w:pPr>
              <w:pStyle w:val="NoSpacing1"/>
              <w:jc w:val="center"/>
              <w:rPr>
                <w:sz w:val="18"/>
                <w:szCs w:val="18"/>
              </w:rPr>
            </w:pPr>
            <w:r w:rsidRPr="001A3C76">
              <w:rPr>
                <w:sz w:val="18"/>
                <w:szCs w:val="18"/>
              </w:rPr>
              <w:t>4</w:t>
            </w:r>
          </w:p>
        </w:tc>
        <w:tc>
          <w:tcPr>
            <w:tcW w:w="1134" w:type="dxa"/>
          </w:tcPr>
          <w:p w:rsidR="009A7929" w:rsidRPr="001A3C76" w:rsidRDefault="009A7929" w:rsidP="001737A6">
            <w:pPr>
              <w:pStyle w:val="NoSpacing1"/>
              <w:jc w:val="center"/>
              <w:rPr>
                <w:sz w:val="18"/>
                <w:szCs w:val="18"/>
              </w:rPr>
            </w:pPr>
            <w:r w:rsidRPr="001A3C76">
              <w:rPr>
                <w:sz w:val="18"/>
                <w:szCs w:val="18"/>
              </w:rPr>
              <w:t>5</w:t>
            </w:r>
          </w:p>
        </w:tc>
        <w:tc>
          <w:tcPr>
            <w:tcW w:w="1134" w:type="dxa"/>
          </w:tcPr>
          <w:p w:rsidR="009A7929" w:rsidRPr="001A3C76" w:rsidRDefault="009A7929" w:rsidP="001737A6">
            <w:pPr>
              <w:pStyle w:val="NoSpacing1"/>
              <w:jc w:val="center"/>
              <w:rPr>
                <w:sz w:val="18"/>
                <w:szCs w:val="18"/>
              </w:rPr>
            </w:pPr>
            <w:r w:rsidRPr="001A3C76">
              <w:rPr>
                <w:sz w:val="18"/>
                <w:szCs w:val="18"/>
              </w:rPr>
              <w:t>6</w:t>
            </w:r>
          </w:p>
        </w:tc>
        <w:tc>
          <w:tcPr>
            <w:tcW w:w="1276" w:type="dxa"/>
          </w:tcPr>
          <w:p w:rsidR="009A7929" w:rsidRPr="001A3C76" w:rsidRDefault="009A7929" w:rsidP="001737A6">
            <w:pPr>
              <w:pStyle w:val="NoSpacing1"/>
              <w:jc w:val="center"/>
              <w:rPr>
                <w:sz w:val="18"/>
                <w:szCs w:val="18"/>
              </w:rPr>
            </w:pPr>
            <w:r w:rsidRPr="001A3C76">
              <w:rPr>
                <w:sz w:val="18"/>
                <w:szCs w:val="18"/>
              </w:rPr>
              <w:t>7</w:t>
            </w:r>
          </w:p>
        </w:tc>
        <w:tc>
          <w:tcPr>
            <w:tcW w:w="709" w:type="dxa"/>
            <w:noWrap/>
          </w:tcPr>
          <w:p w:rsidR="009A7929" w:rsidRPr="001A3C76" w:rsidRDefault="009A7929" w:rsidP="001737A6">
            <w:pPr>
              <w:pStyle w:val="NoSpacing1"/>
              <w:jc w:val="center"/>
              <w:rPr>
                <w:sz w:val="18"/>
                <w:szCs w:val="18"/>
              </w:rPr>
            </w:pPr>
            <w:r w:rsidRPr="001A3C76">
              <w:rPr>
                <w:sz w:val="18"/>
                <w:szCs w:val="18"/>
              </w:rPr>
              <w:t>8</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Novčana sredstva</w:t>
            </w:r>
          </w:p>
        </w:tc>
        <w:tc>
          <w:tcPr>
            <w:tcW w:w="1134" w:type="dxa"/>
            <w:vAlign w:val="center"/>
          </w:tcPr>
          <w:p w:rsidR="009A7929" w:rsidRPr="001A3C76" w:rsidRDefault="009A7929" w:rsidP="001737A6">
            <w:pPr>
              <w:pStyle w:val="NoSpacing1"/>
              <w:jc w:val="right"/>
              <w:rPr>
                <w:sz w:val="18"/>
                <w:szCs w:val="18"/>
              </w:rPr>
            </w:pPr>
            <w:r w:rsidRPr="001A3C76">
              <w:rPr>
                <w:sz w:val="18"/>
                <w:szCs w:val="18"/>
              </w:rPr>
              <w:t>4.414.476</w:t>
            </w:r>
          </w:p>
        </w:tc>
        <w:tc>
          <w:tcPr>
            <w:tcW w:w="1134" w:type="dxa"/>
            <w:vAlign w:val="center"/>
          </w:tcPr>
          <w:p w:rsidR="009A7929" w:rsidRPr="001A3C76" w:rsidRDefault="009A7929" w:rsidP="001737A6">
            <w:pPr>
              <w:pStyle w:val="NoSpacing1"/>
              <w:jc w:val="right"/>
              <w:rPr>
                <w:sz w:val="18"/>
                <w:szCs w:val="18"/>
              </w:rPr>
            </w:pPr>
            <w:r w:rsidRPr="001A3C76">
              <w:rPr>
                <w:sz w:val="18"/>
                <w:szCs w:val="18"/>
              </w:rPr>
              <w:t>17.066.180</w:t>
            </w:r>
          </w:p>
        </w:tc>
        <w:tc>
          <w:tcPr>
            <w:tcW w:w="1134" w:type="dxa"/>
            <w:vAlign w:val="center"/>
          </w:tcPr>
          <w:p w:rsidR="009A7929" w:rsidRPr="001A3C76" w:rsidRDefault="009A7929" w:rsidP="001737A6">
            <w:pPr>
              <w:pStyle w:val="NoSpacing1"/>
              <w:jc w:val="right"/>
              <w:rPr>
                <w:sz w:val="18"/>
                <w:szCs w:val="18"/>
              </w:rPr>
            </w:pPr>
            <w:r w:rsidRPr="001A3C76">
              <w:rPr>
                <w:sz w:val="18"/>
                <w:szCs w:val="18"/>
              </w:rPr>
              <w:t>8.257.433</w:t>
            </w:r>
          </w:p>
        </w:tc>
        <w:tc>
          <w:tcPr>
            <w:tcW w:w="1134" w:type="dxa"/>
            <w:vAlign w:val="center"/>
          </w:tcPr>
          <w:p w:rsidR="009A7929" w:rsidRPr="001A3C76" w:rsidRDefault="009A7929" w:rsidP="001737A6">
            <w:pPr>
              <w:pStyle w:val="NoSpacing1"/>
              <w:jc w:val="right"/>
              <w:rPr>
                <w:sz w:val="18"/>
                <w:szCs w:val="18"/>
              </w:rPr>
            </w:pPr>
            <w:r w:rsidRPr="001A3C76">
              <w:rPr>
                <w:sz w:val="18"/>
                <w:szCs w:val="18"/>
              </w:rPr>
              <w:t>61.809.672</w:t>
            </w:r>
          </w:p>
        </w:tc>
        <w:tc>
          <w:tcPr>
            <w:tcW w:w="1134" w:type="dxa"/>
            <w:vAlign w:val="center"/>
          </w:tcPr>
          <w:p w:rsidR="009A7929" w:rsidRPr="001A3C76" w:rsidRDefault="009A7929" w:rsidP="001737A6">
            <w:pPr>
              <w:pStyle w:val="NoSpacing1"/>
              <w:jc w:val="right"/>
              <w:rPr>
                <w:sz w:val="18"/>
                <w:szCs w:val="18"/>
              </w:rPr>
            </w:pPr>
            <w:r w:rsidRPr="001A3C76">
              <w:rPr>
                <w:sz w:val="18"/>
                <w:szCs w:val="18"/>
              </w:rPr>
              <w:t>91.547.761</w:t>
            </w:r>
          </w:p>
        </w:tc>
        <w:tc>
          <w:tcPr>
            <w:tcW w:w="1276" w:type="dxa"/>
            <w:vAlign w:val="center"/>
          </w:tcPr>
          <w:p w:rsidR="009A7929" w:rsidRPr="001A3C76" w:rsidRDefault="009A7929" w:rsidP="001737A6">
            <w:pPr>
              <w:pStyle w:val="NoSpacing1"/>
              <w:jc w:val="right"/>
              <w:rPr>
                <w:sz w:val="18"/>
                <w:szCs w:val="18"/>
              </w:rPr>
            </w:pPr>
            <w:r w:rsidRPr="001A3C76">
              <w:rPr>
                <w:sz w:val="18"/>
                <w:szCs w:val="18"/>
              </w:rPr>
              <w:t>789.170.229</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11,6</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Depoziti, jamčevni polozi i potraživ</w:t>
            </w:r>
            <w:r>
              <w:rPr>
                <w:sz w:val="18"/>
                <w:szCs w:val="18"/>
              </w:rPr>
              <w:t>.</w:t>
            </w:r>
            <w:r w:rsidRPr="001A3C76">
              <w:rPr>
                <w:sz w:val="18"/>
                <w:szCs w:val="18"/>
              </w:rPr>
              <w:t xml:space="preserve"> od zaposlenih, te za više plaćene poreze i ost</w:t>
            </w:r>
            <w:r>
              <w:rPr>
                <w:sz w:val="18"/>
                <w:szCs w:val="18"/>
              </w:rPr>
              <w:t>.</w:t>
            </w:r>
          </w:p>
        </w:tc>
        <w:tc>
          <w:tcPr>
            <w:tcW w:w="1134" w:type="dxa"/>
            <w:vAlign w:val="center"/>
          </w:tcPr>
          <w:p w:rsidR="009A7929" w:rsidRPr="001A3C76" w:rsidRDefault="009A7929" w:rsidP="001737A6">
            <w:pPr>
              <w:pStyle w:val="NoSpacing1"/>
              <w:jc w:val="right"/>
              <w:rPr>
                <w:sz w:val="18"/>
                <w:szCs w:val="18"/>
              </w:rPr>
            </w:pPr>
            <w:r w:rsidRPr="001A3C76">
              <w:rPr>
                <w:sz w:val="18"/>
                <w:szCs w:val="18"/>
              </w:rPr>
              <w:t>279.150</w:t>
            </w:r>
          </w:p>
        </w:tc>
        <w:tc>
          <w:tcPr>
            <w:tcW w:w="1134" w:type="dxa"/>
            <w:vAlign w:val="center"/>
          </w:tcPr>
          <w:p w:rsidR="009A7929" w:rsidRPr="001A3C76" w:rsidRDefault="009A7929" w:rsidP="001737A6">
            <w:pPr>
              <w:pStyle w:val="NoSpacing1"/>
              <w:jc w:val="right"/>
              <w:rPr>
                <w:sz w:val="18"/>
                <w:szCs w:val="18"/>
              </w:rPr>
            </w:pPr>
            <w:r w:rsidRPr="001A3C76">
              <w:rPr>
                <w:sz w:val="18"/>
                <w:szCs w:val="18"/>
              </w:rPr>
              <w:t>3.150.287</w:t>
            </w:r>
          </w:p>
        </w:tc>
        <w:tc>
          <w:tcPr>
            <w:tcW w:w="1134" w:type="dxa"/>
            <w:vAlign w:val="center"/>
          </w:tcPr>
          <w:p w:rsidR="009A7929" w:rsidRPr="001A3C76" w:rsidRDefault="009A7929" w:rsidP="001737A6">
            <w:pPr>
              <w:pStyle w:val="NoSpacing1"/>
              <w:jc w:val="right"/>
              <w:rPr>
                <w:sz w:val="18"/>
                <w:szCs w:val="18"/>
              </w:rPr>
            </w:pPr>
            <w:r w:rsidRPr="001A3C76">
              <w:rPr>
                <w:sz w:val="18"/>
                <w:szCs w:val="18"/>
              </w:rPr>
              <w:t>350.047</w:t>
            </w:r>
          </w:p>
        </w:tc>
        <w:tc>
          <w:tcPr>
            <w:tcW w:w="1134" w:type="dxa"/>
            <w:vAlign w:val="center"/>
          </w:tcPr>
          <w:p w:rsidR="009A7929" w:rsidRPr="001A3C76" w:rsidRDefault="009A7929" w:rsidP="001737A6">
            <w:pPr>
              <w:pStyle w:val="NoSpacing1"/>
              <w:jc w:val="right"/>
              <w:rPr>
                <w:sz w:val="18"/>
                <w:szCs w:val="18"/>
              </w:rPr>
            </w:pPr>
            <w:r w:rsidRPr="001A3C76">
              <w:rPr>
                <w:sz w:val="18"/>
                <w:szCs w:val="18"/>
              </w:rPr>
              <w:t>241.651</w:t>
            </w:r>
          </w:p>
        </w:tc>
        <w:tc>
          <w:tcPr>
            <w:tcW w:w="1134" w:type="dxa"/>
            <w:vAlign w:val="center"/>
          </w:tcPr>
          <w:p w:rsidR="009A7929" w:rsidRPr="001A3C76" w:rsidRDefault="009A7929" w:rsidP="001737A6">
            <w:pPr>
              <w:pStyle w:val="NoSpacing1"/>
              <w:jc w:val="right"/>
              <w:rPr>
                <w:sz w:val="18"/>
                <w:szCs w:val="18"/>
              </w:rPr>
            </w:pPr>
            <w:r w:rsidRPr="001A3C76">
              <w:rPr>
                <w:sz w:val="18"/>
                <w:szCs w:val="18"/>
              </w:rPr>
              <w:t>4.021.135</w:t>
            </w:r>
          </w:p>
        </w:tc>
        <w:tc>
          <w:tcPr>
            <w:tcW w:w="1276" w:type="dxa"/>
            <w:vAlign w:val="center"/>
          </w:tcPr>
          <w:p w:rsidR="009A7929" w:rsidRPr="001A3C76" w:rsidRDefault="009A7929" w:rsidP="001737A6">
            <w:pPr>
              <w:pStyle w:val="NoSpacing1"/>
              <w:jc w:val="right"/>
              <w:rPr>
                <w:sz w:val="18"/>
                <w:szCs w:val="18"/>
              </w:rPr>
            </w:pPr>
            <w:r w:rsidRPr="001A3C76">
              <w:rPr>
                <w:sz w:val="18"/>
                <w:szCs w:val="18"/>
              </w:rPr>
              <w:t>241.060.251</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1,7</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Potraživanja za dane zajmove</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276" w:type="dxa"/>
            <w:vAlign w:val="center"/>
          </w:tcPr>
          <w:p w:rsidR="009A7929" w:rsidRPr="001A3C76" w:rsidRDefault="009A7929" w:rsidP="001737A6">
            <w:pPr>
              <w:pStyle w:val="NoSpacing1"/>
              <w:jc w:val="right"/>
              <w:rPr>
                <w:sz w:val="18"/>
                <w:szCs w:val="18"/>
              </w:rPr>
            </w:pPr>
            <w:r w:rsidRPr="001A3C76">
              <w:rPr>
                <w:sz w:val="18"/>
                <w:szCs w:val="18"/>
              </w:rPr>
              <w:t>25.528.805</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Vrijednosni papiri, dionice i udjeli u glavnici</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10.600</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52.000</w:t>
            </w:r>
          </w:p>
        </w:tc>
        <w:tc>
          <w:tcPr>
            <w:tcW w:w="1134" w:type="dxa"/>
            <w:vAlign w:val="center"/>
          </w:tcPr>
          <w:p w:rsidR="009A7929" w:rsidRPr="001A3C76" w:rsidRDefault="009A7929" w:rsidP="001737A6">
            <w:pPr>
              <w:pStyle w:val="NoSpacing1"/>
              <w:jc w:val="right"/>
              <w:rPr>
                <w:sz w:val="18"/>
                <w:szCs w:val="18"/>
              </w:rPr>
            </w:pPr>
            <w:r w:rsidRPr="001A3C76">
              <w:rPr>
                <w:sz w:val="18"/>
                <w:szCs w:val="18"/>
              </w:rPr>
              <w:t>62.600</w:t>
            </w:r>
          </w:p>
        </w:tc>
        <w:tc>
          <w:tcPr>
            <w:tcW w:w="1276" w:type="dxa"/>
            <w:vAlign w:val="center"/>
          </w:tcPr>
          <w:p w:rsidR="009A7929" w:rsidRPr="001A3C76" w:rsidRDefault="009A7929" w:rsidP="001737A6">
            <w:pPr>
              <w:pStyle w:val="NoSpacing1"/>
              <w:jc w:val="right"/>
              <w:rPr>
                <w:sz w:val="18"/>
                <w:szCs w:val="18"/>
              </w:rPr>
            </w:pPr>
            <w:r w:rsidRPr="001A3C76">
              <w:rPr>
                <w:sz w:val="18"/>
                <w:szCs w:val="18"/>
              </w:rPr>
              <w:t>8.957.209</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0,7</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Potraživanja za prihode poslovanja</w:t>
            </w:r>
          </w:p>
        </w:tc>
        <w:tc>
          <w:tcPr>
            <w:tcW w:w="1134" w:type="dxa"/>
            <w:vAlign w:val="center"/>
          </w:tcPr>
          <w:p w:rsidR="009A7929" w:rsidRPr="001A3C76" w:rsidRDefault="009A7929" w:rsidP="001737A6">
            <w:pPr>
              <w:pStyle w:val="NoSpacing1"/>
              <w:jc w:val="right"/>
              <w:rPr>
                <w:sz w:val="18"/>
                <w:szCs w:val="18"/>
              </w:rPr>
            </w:pPr>
            <w:r w:rsidRPr="001A3C76">
              <w:rPr>
                <w:sz w:val="18"/>
                <w:szCs w:val="18"/>
              </w:rPr>
              <w:t>6.510.633</w:t>
            </w:r>
          </w:p>
        </w:tc>
        <w:tc>
          <w:tcPr>
            <w:tcW w:w="1134" w:type="dxa"/>
            <w:vAlign w:val="center"/>
          </w:tcPr>
          <w:p w:rsidR="009A7929" w:rsidRPr="001A3C76" w:rsidRDefault="009A7929" w:rsidP="001737A6">
            <w:pPr>
              <w:pStyle w:val="NoSpacing1"/>
              <w:jc w:val="right"/>
              <w:rPr>
                <w:sz w:val="18"/>
                <w:szCs w:val="18"/>
              </w:rPr>
            </w:pPr>
            <w:r w:rsidRPr="001A3C76">
              <w:rPr>
                <w:sz w:val="18"/>
                <w:szCs w:val="18"/>
              </w:rPr>
              <w:t>10.308.707</w:t>
            </w:r>
          </w:p>
        </w:tc>
        <w:tc>
          <w:tcPr>
            <w:tcW w:w="1134" w:type="dxa"/>
            <w:vAlign w:val="center"/>
          </w:tcPr>
          <w:p w:rsidR="009A7929" w:rsidRPr="001A3C76" w:rsidRDefault="009A7929" w:rsidP="001737A6">
            <w:pPr>
              <w:pStyle w:val="NoSpacing1"/>
              <w:jc w:val="right"/>
              <w:rPr>
                <w:sz w:val="18"/>
                <w:szCs w:val="18"/>
              </w:rPr>
            </w:pPr>
            <w:r w:rsidRPr="001A3C76">
              <w:rPr>
                <w:sz w:val="18"/>
                <w:szCs w:val="18"/>
              </w:rPr>
              <w:t>832.458</w:t>
            </w:r>
          </w:p>
        </w:tc>
        <w:tc>
          <w:tcPr>
            <w:tcW w:w="1134" w:type="dxa"/>
            <w:vAlign w:val="center"/>
          </w:tcPr>
          <w:p w:rsidR="009A7929" w:rsidRPr="001A3C76" w:rsidRDefault="009A7929" w:rsidP="001737A6">
            <w:pPr>
              <w:pStyle w:val="NoSpacing1"/>
              <w:jc w:val="right"/>
              <w:rPr>
                <w:sz w:val="18"/>
                <w:szCs w:val="18"/>
              </w:rPr>
            </w:pPr>
            <w:r w:rsidRPr="001A3C76">
              <w:rPr>
                <w:sz w:val="18"/>
                <w:szCs w:val="18"/>
              </w:rPr>
              <w:t>8.390.526</w:t>
            </w:r>
          </w:p>
        </w:tc>
        <w:tc>
          <w:tcPr>
            <w:tcW w:w="1134" w:type="dxa"/>
            <w:vAlign w:val="center"/>
          </w:tcPr>
          <w:p w:rsidR="009A7929" w:rsidRPr="001A3C76" w:rsidRDefault="009A7929" w:rsidP="001737A6">
            <w:pPr>
              <w:pStyle w:val="NoSpacing1"/>
              <w:jc w:val="right"/>
              <w:rPr>
                <w:sz w:val="18"/>
                <w:szCs w:val="18"/>
              </w:rPr>
            </w:pPr>
            <w:r w:rsidRPr="001A3C76">
              <w:rPr>
                <w:sz w:val="18"/>
                <w:szCs w:val="18"/>
              </w:rPr>
              <w:t>26.042.324</w:t>
            </w:r>
          </w:p>
        </w:tc>
        <w:tc>
          <w:tcPr>
            <w:tcW w:w="1276" w:type="dxa"/>
            <w:vAlign w:val="center"/>
          </w:tcPr>
          <w:p w:rsidR="009A7929" w:rsidRPr="001A3C76" w:rsidRDefault="009A7929" w:rsidP="001737A6">
            <w:pPr>
              <w:pStyle w:val="NoSpacing1"/>
              <w:jc w:val="right"/>
              <w:rPr>
                <w:sz w:val="18"/>
                <w:szCs w:val="18"/>
              </w:rPr>
            </w:pPr>
            <w:r w:rsidRPr="001A3C76">
              <w:rPr>
                <w:sz w:val="18"/>
                <w:szCs w:val="18"/>
              </w:rPr>
              <w:t>197.481.139</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13,2</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sidRPr="001A3C76">
              <w:rPr>
                <w:sz w:val="18"/>
                <w:szCs w:val="18"/>
              </w:rPr>
              <w:t>Potraživanja od prodaje nefinancijske imovine</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379.022</w:t>
            </w:r>
          </w:p>
        </w:tc>
        <w:tc>
          <w:tcPr>
            <w:tcW w:w="1134" w:type="dxa"/>
            <w:vAlign w:val="center"/>
          </w:tcPr>
          <w:p w:rsidR="009A7929" w:rsidRPr="001A3C76" w:rsidRDefault="009A7929" w:rsidP="001737A6">
            <w:pPr>
              <w:pStyle w:val="NoSpacing1"/>
              <w:jc w:val="right"/>
              <w:rPr>
                <w:sz w:val="18"/>
                <w:szCs w:val="18"/>
              </w:rPr>
            </w:pPr>
            <w:r w:rsidRPr="001A3C76">
              <w:rPr>
                <w:sz w:val="18"/>
                <w:szCs w:val="18"/>
              </w:rPr>
              <w:t>0</w:t>
            </w:r>
          </w:p>
        </w:tc>
        <w:tc>
          <w:tcPr>
            <w:tcW w:w="1134" w:type="dxa"/>
            <w:vAlign w:val="center"/>
          </w:tcPr>
          <w:p w:rsidR="009A7929" w:rsidRPr="001A3C76" w:rsidRDefault="009A7929" w:rsidP="001737A6">
            <w:pPr>
              <w:pStyle w:val="NoSpacing1"/>
              <w:jc w:val="right"/>
              <w:rPr>
                <w:sz w:val="18"/>
                <w:szCs w:val="18"/>
              </w:rPr>
            </w:pPr>
            <w:r w:rsidRPr="001A3C76">
              <w:rPr>
                <w:sz w:val="18"/>
                <w:szCs w:val="18"/>
              </w:rPr>
              <w:t>282.275</w:t>
            </w:r>
          </w:p>
        </w:tc>
        <w:tc>
          <w:tcPr>
            <w:tcW w:w="1134" w:type="dxa"/>
            <w:vAlign w:val="center"/>
          </w:tcPr>
          <w:p w:rsidR="009A7929" w:rsidRPr="001A3C76" w:rsidRDefault="009A7929" w:rsidP="001737A6">
            <w:pPr>
              <w:pStyle w:val="NoSpacing1"/>
              <w:jc w:val="right"/>
              <w:rPr>
                <w:sz w:val="18"/>
                <w:szCs w:val="18"/>
              </w:rPr>
            </w:pPr>
            <w:r w:rsidRPr="001A3C76">
              <w:rPr>
                <w:sz w:val="18"/>
                <w:szCs w:val="18"/>
              </w:rPr>
              <w:t>661.297</w:t>
            </w:r>
          </w:p>
        </w:tc>
        <w:tc>
          <w:tcPr>
            <w:tcW w:w="1276" w:type="dxa"/>
            <w:vAlign w:val="center"/>
          </w:tcPr>
          <w:p w:rsidR="009A7929" w:rsidRPr="001A3C76" w:rsidRDefault="009A7929" w:rsidP="001737A6">
            <w:pPr>
              <w:pStyle w:val="NoSpacing1"/>
              <w:jc w:val="right"/>
              <w:rPr>
                <w:sz w:val="18"/>
                <w:szCs w:val="18"/>
              </w:rPr>
            </w:pPr>
            <w:r w:rsidRPr="001A3C76">
              <w:rPr>
                <w:sz w:val="18"/>
                <w:szCs w:val="18"/>
              </w:rPr>
              <w:t>7.712.296</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8,6</w:t>
            </w:r>
          </w:p>
        </w:tc>
      </w:tr>
      <w:tr w:rsidR="009A7929" w:rsidRPr="007D77CE" w:rsidTr="001737A6">
        <w:trPr>
          <w:trHeight w:val="156"/>
        </w:trPr>
        <w:tc>
          <w:tcPr>
            <w:tcW w:w="1276" w:type="dxa"/>
          </w:tcPr>
          <w:p w:rsidR="009A7929" w:rsidRPr="001A3C76" w:rsidRDefault="009A7929" w:rsidP="001A3C76">
            <w:pPr>
              <w:pStyle w:val="NoSpacing1"/>
              <w:rPr>
                <w:sz w:val="18"/>
                <w:szCs w:val="18"/>
              </w:rPr>
            </w:pPr>
            <w:r>
              <w:rPr>
                <w:sz w:val="18"/>
                <w:szCs w:val="18"/>
              </w:rPr>
              <w:t>Rashodi buduć. razdob</w:t>
            </w:r>
            <w:r w:rsidRPr="001A3C76">
              <w:rPr>
                <w:sz w:val="18"/>
                <w:szCs w:val="18"/>
              </w:rPr>
              <w:t xml:space="preserve"> i nedospjela naplata prihoda</w:t>
            </w:r>
          </w:p>
        </w:tc>
        <w:tc>
          <w:tcPr>
            <w:tcW w:w="1134" w:type="dxa"/>
            <w:vAlign w:val="center"/>
          </w:tcPr>
          <w:p w:rsidR="009A7929" w:rsidRPr="001A3C76" w:rsidRDefault="009A7929" w:rsidP="001737A6">
            <w:pPr>
              <w:pStyle w:val="NoSpacing1"/>
              <w:jc w:val="right"/>
              <w:rPr>
                <w:sz w:val="18"/>
                <w:szCs w:val="18"/>
              </w:rPr>
            </w:pPr>
            <w:r w:rsidRPr="001A3C76">
              <w:rPr>
                <w:sz w:val="18"/>
                <w:szCs w:val="18"/>
              </w:rPr>
              <w:t>1.792.988</w:t>
            </w:r>
          </w:p>
        </w:tc>
        <w:tc>
          <w:tcPr>
            <w:tcW w:w="1134" w:type="dxa"/>
            <w:vAlign w:val="center"/>
          </w:tcPr>
          <w:p w:rsidR="009A7929" w:rsidRPr="001A3C76" w:rsidRDefault="009A7929" w:rsidP="001737A6">
            <w:pPr>
              <w:pStyle w:val="NoSpacing1"/>
              <w:jc w:val="right"/>
              <w:rPr>
                <w:sz w:val="18"/>
                <w:szCs w:val="18"/>
              </w:rPr>
            </w:pPr>
            <w:r w:rsidRPr="001A3C76">
              <w:rPr>
                <w:sz w:val="18"/>
                <w:szCs w:val="18"/>
              </w:rPr>
              <w:t>83.470</w:t>
            </w:r>
          </w:p>
        </w:tc>
        <w:tc>
          <w:tcPr>
            <w:tcW w:w="1134" w:type="dxa"/>
            <w:vAlign w:val="center"/>
          </w:tcPr>
          <w:p w:rsidR="009A7929" w:rsidRPr="001A3C76" w:rsidRDefault="009A7929" w:rsidP="001737A6">
            <w:pPr>
              <w:pStyle w:val="NoSpacing1"/>
              <w:jc w:val="right"/>
              <w:rPr>
                <w:sz w:val="18"/>
                <w:szCs w:val="18"/>
              </w:rPr>
            </w:pPr>
            <w:r w:rsidRPr="001A3C76">
              <w:rPr>
                <w:sz w:val="18"/>
                <w:szCs w:val="18"/>
              </w:rPr>
              <w:t>1.858.680</w:t>
            </w:r>
          </w:p>
        </w:tc>
        <w:tc>
          <w:tcPr>
            <w:tcW w:w="1134" w:type="dxa"/>
            <w:vAlign w:val="center"/>
          </w:tcPr>
          <w:p w:rsidR="009A7929" w:rsidRPr="001A3C76" w:rsidRDefault="009A7929" w:rsidP="001737A6">
            <w:pPr>
              <w:pStyle w:val="NoSpacing1"/>
              <w:jc w:val="right"/>
              <w:rPr>
                <w:sz w:val="18"/>
                <w:szCs w:val="18"/>
              </w:rPr>
            </w:pPr>
            <w:r w:rsidRPr="001A3C76">
              <w:rPr>
                <w:sz w:val="18"/>
                <w:szCs w:val="18"/>
              </w:rPr>
              <w:t>9.545.666</w:t>
            </w:r>
          </w:p>
        </w:tc>
        <w:tc>
          <w:tcPr>
            <w:tcW w:w="1134" w:type="dxa"/>
            <w:vAlign w:val="center"/>
          </w:tcPr>
          <w:p w:rsidR="009A7929" w:rsidRPr="001A3C76" w:rsidRDefault="009A7929" w:rsidP="001737A6">
            <w:pPr>
              <w:pStyle w:val="NoSpacing1"/>
              <w:jc w:val="right"/>
              <w:rPr>
                <w:sz w:val="18"/>
                <w:szCs w:val="18"/>
              </w:rPr>
            </w:pPr>
            <w:r w:rsidRPr="001A3C76">
              <w:rPr>
                <w:sz w:val="18"/>
                <w:szCs w:val="18"/>
              </w:rPr>
              <w:t>13.280.804</w:t>
            </w:r>
          </w:p>
        </w:tc>
        <w:tc>
          <w:tcPr>
            <w:tcW w:w="1276" w:type="dxa"/>
            <w:vAlign w:val="center"/>
          </w:tcPr>
          <w:p w:rsidR="009A7929" w:rsidRPr="001A3C76" w:rsidRDefault="009A7929" w:rsidP="001737A6">
            <w:pPr>
              <w:pStyle w:val="NoSpacing1"/>
              <w:jc w:val="right"/>
              <w:rPr>
                <w:sz w:val="18"/>
                <w:szCs w:val="18"/>
              </w:rPr>
            </w:pPr>
            <w:r w:rsidRPr="001A3C76">
              <w:rPr>
                <w:sz w:val="18"/>
                <w:szCs w:val="18"/>
              </w:rPr>
              <w:t>130.417.778</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10,2</w:t>
            </w:r>
          </w:p>
        </w:tc>
      </w:tr>
      <w:tr w:rsidR="009A7929" w:rsidRPr="007D77CE" w:rsidTr="001737A6">
        <w:trPr>
          <w:trHeight w:val="165"/>
        </w:trPr>
        <w:tc>
          <w:tcPr>
            <w:tcW w:w="1276" w:type="dxa"/>
          </w:tcPr>
          <w:p w:rsidR="009A7929" w:rsidRPr="001A3C76" w:rsidRDefault="009A7929" w:rsidP="001A3C76">
            <w:pPr>
              <w:pStyle w:val="NoSpacing1"/>
              <w:rPr>
                <w:sz w:val="18"/>
                <w:szCs w:val="18"/>
              </w:rPr>
            </w:pPr>
            <w:r w:rsidRPr="001A3C76">
              <w:rPr>
                <w:sz w:val="18"/>
                <w:szCs w:val="18"/>
              </w:rPr>
              <w:t>Ukupno</w:t>
            </w:r>
          </w:p>
        </w:tc>
        <w:tc>
          <w:tcPr>
            <w:tcW w:w="1134" w:type="dxa"/>
            <w:vAlign w:val="center"/>
          </w:tcPr>
          <w:p w:rsidR="009A7929" w:rsidRPr="001A3C76" w:rsidRDefault="009A7929" w:rsidP="001737A6">
            <w:pPr>
              <w:pStyle w:val="NoSpacing1"/>
              <w:jc w:val="right"/>
              <w:rPr>
                <w:sz w:val="18"/>
                <w:szCs w:val="18"/>
              </w:rPr>
            </w:pPr>
            <w:r w:rsidRPr="001A3C76">
              <w:rPr>
                <w:sz w:val="18"/>
                <w:szCs w:val="18"/>
              </w:rPr>
              <w:t>12.997.247</w:t>
            </w:r>
          </w:p>
        </w:tc>
        <w:tc>
          <w:tcPr>
            <w:tcW w:w="1134" w:type="dxa"/>
            <w:vAlign w:val="center"/>
          </w:tcPr>
          <w:p w:rsidR="009A7929" w:rsidRPr="001A3C76" w:rsidRDefault="009A7929" w:rsidP="001737A6">
            <w:pPr>
              <w:pStyle w:val="NoSpacing1"/>
              <w:jc w:val="right"/>
              <w:rPr>
                <w:sz w:val="18"/>
                <w:szCs w:val="18"/>
              </w:rPr>
            </w:pPr>
            <w:r w:rsidRPr="001A3C76">
              <w:rPr>
                <w:sz w:val="18"/>
                <w:szCs w:val="18"/>
              </w:rPr>
              <w:t>30.998.266</w:t>
            </w:r>
          </w:p>
        </w:tc>
        <w:tc>
          <w:tcPr>
            <w:tcW w:w="1134" w:type="dxa"/>
            <w:vAlign w:val="center"/>
          </w:tcPr>
          <w:p w:rsidR="009A7929" w:rsidRPr="001A3C76" w:rsidRDefault="009A7929" w:rsidP="001737A6">
            <w:pPr>
              <w:pStyle w:val="NoSpacing1"/>
              <w:jc w:val="right"/>
              <w:rPr>
                <w:sz w:val="18"/>
                <w:szCs w:val="18"/>
              </w:rPr>
            </w:pPr>
            <w:r w:rsidRPr="001A3C76">
              <w:rPr>
                <w:sz w:val="18"/>
                <w:szCs w:val="18"/>
              </w:rPr>
              <w:t>11.298.618</w:t>
            </w:r>
          </w:p>
        </w:tc>
        <w:tc>
          <w:tcPr>
            <w:tcW w:w="1134" w:type="dxa"/>
            <w:vAlign w:val="center"/>
          </w:tcPr>
          <w:p w:rsidR="009A7929" w:rsidRPr="001A3C76" w:rsidRDefault="009A7929" w:rsidP="001737A6">
            <w:pPr>
              <w:pStyle w:val="NoSpacing1"/>
              <w:jc w:val="right"/>
              <w:rPr>
                <w:sz w:val="18"/>
                <w:szCs w:val="18"/>
              </w:rPr>
            </w:pPr>
            <w:r w:rsidRPr="001A3C76">
              <w:rPr>
                <w:sz w:val="18"/>
                <w:szCs w:val="18"/>
              </w:rPr>
              <w:t>80.321.790</w:t>
            </w:r>
          </w:p>
        </w:tc>
        <w:tc>
          <w:tcPr>
            <w:tcW w:w="1134" w:type="dxa"/>
            <w:vAlign w:val="center"/>
          </w:tcPr>
          <w:p w:rsidR="009A7929" w:rsidRPr="001A3C76" w:rsidRDefault="009A7929" w:rsidP="001737A6">
            <w:pPr>
              <w:pStyle w:val="NoSpacing1"/>
              <w:jc w:val="right"/>
              <w:rPr>
                <w:sz w:val="18"/>
                <w:szCs w:val="18"/>
              </w:rPr>
            </w:pPr>
            <w:r w:rsidRPr="001A3C76">
              <w:rPr>
                <w:sz w:val="18"/>
                <w:szCs w:val="18"/>
              </w:rPr>
              <w:t>135.615.921</w:t>
            </w:r>
          </w:p>
        </w:tc>
        <w:tc>
          <w:tcPr>
            <w:tcW w:w="1276" w:type="dxa"/>
            <w:vAlign w:val="center"/>
          </w:tcPr>
          <w:p w:rsidR="009A7929" w:rsidRPr="001737A6" w:rsidRDefault="009A7929" w:rsidP="001737A6">
            <w:pPr>
              <w:pStyle w:val="NoSpacing1"/>
              <w:jc w:val="right"/>
              <w:rPr>
                <w:sz w:val="16"/>
                <w:szCs w:val="16"/>
              </w:rPr>
            </w:pPr>
            <w:r w:rsidRPr="001737A6">
              <w:rPr>
                <w:sz w:val="16"/>
                <w:szCs w:val="16"/>
              </w:rPr>
              <w:t>1.400.327.707</w:t>
            </w:r>
          </w:p>
        </w:tc>
        <w:tc>
          <w:tcPr>
            <w:tcW w:w="709" w:type="dxa"/>
            <w:noWrap/>
            <w:vAlign w:val="center"/>
          </w:tcPr>
          <w:p w:rsidR="009A7929" w:rsidRPr="001A3C76" w:rsidRDefault="009A7929" w:rsidP="001737A6">
            <w:pPr>
              <w:pStyle w:val="NoSpacing1"/>
              <w:jc w:val="right"/>
              <w:rPr>
                <w:sz w:val="18"/>
                <w:szCs w:val="18"/>
              </w:rPr>
            </w:pPr>
            <w:r w:rsidRPr="001A3C76">
              <w:rPr>
                <w:sz w:val="18"/>
                <w:szCs w:val="18"/>
              </w:rPr>
              <w:t>9,7</w:t>
            </w:r>
          </w:p>
        </w:tc>
      </w:tr>
      <w:tr w:rsidR="009A7929" w:rsidRPr="007D77CE" w:rsidTr="001737A6">
        <w:trPr>
          <w:trHeight w:val="165"/>
        </w:trPr>
        <w:tc>
          <w:tcPr>
            <w:tcW w:w="1276" w:type="dxa"/>
            <w:tcBorders>
              <w:bottom w:val="double" w:sz="4" w:space="0" w:color="auto"/>
            </w:tcBorders>
          </w:tcPr>
          <w:p w:rsidR="009A7929" w:rsidRPr="001A3C76" w:rsidRDefault="009A7929" w:rsidP="001A3C76">
            <w:pPr>
              <w:pStyle w:val="NoSpacing1"/>
              <w:rPr>
                <w:sz w:val="18"/>
                <w:szCs w:val="18"/>
              </w:rPr>
            </w:pPr>
            <w:r w:rsidRPr="001A3C76">
              <w:rPr>
                <w:sz w:val="18"/>
                <w:szCs w:val="18"/>
              </w:rPr>
              <w:t>Uk</w:t>
            </w:r>
            <w:r>
              <w:rPr>
                <w:sz w:val="18"/>
                <w:szCs w:val="18"/>
              </w:rPr>
              <w:t>. f</w:t>
            </w:r>
            <w:r w:rsidRPr="001A3C76">
              <w:rPr>
                <w:sz w:val="18"/>
                <w:szCs w:val="18"/>
              </w:rPr>
              <w:t>inanc</w:t>
            </w:r>
            <w:r>
              <w:rPr>
                <w:sz w:val="18"/>
                <w:szCs w:val="18"/>
              </w:rPr>
              <w:t>.</w:t>
            </w:r>
            <w:r w:rsidRPr="001A3C76">
              <w:rPr>
                <w:sz w:val="18"/>
                <w:szCs w:val="18"/>
              </w:rPr>
              <w:t xml:space="preserve"> imov</w:t>
            </w:r>
            <w:r>
              <w:rPr>
                <w:sz w:val="18"/>
                <w:szCs w:val="18"/>
              </w:rPr>
              <w:t>.</w:t>
            </w:r>
            <w:r w:rsidRPr="001A3C76">
              <w:rPr>
                <w:sz w:val="18"/>
                <w:szCs w:val="18"/>
              </w:rPr>
              <w:t>/</w:t>
            </w:r>
          </w:p>
          <w:p w:rsidR="009A7929" w:rsidRPr="001A3C76" w:rsidRDefault="009A7929" w:rsidP="001A3C76">
            <w:pPr>
              <w:pStyle w:val="NoSpacing1"/>
              <w:rPr>
                <w:sz w:val="18"/>
                <w:szCs w:val="18"/>
              </w:rPr>
            </w:pPr>
            <w:r>
              <w:rPr>
                <w:sz w:val="18"/>
                <w:szCs w:val="18"/>
              </w:rPr>
              <w:t>ukupna imov.</w:t>
            </w:r>
          </w:p>
          <w:p w:rsidR="009A7929" w:rsidRPr="001A3C76" w:rsidRDefault="009A7929" w:rsidP="001A3C76">
            <w:pPr>
              <w:pStyle w:val="NoSpacing1"/>
              <w:rPr>
                <w:sz w:val="18"/>
                <w:szCs w:val="18"/>
              </w:rPr>
            </w:pPr>
            <w:r w:rsidRPr="001A3C76">
              <w:rPr>
                <w:sz w:val="18"/>
                <w:szCs w:val="18"/>
              </w:rPr>
              <w:t>udjel u %</w:t>
            </w:r>
          </w:p>
        </w:tc>
        <w:tc>
          <w:tcPr>
            <w:tcW w:w="1134"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64,4</w:t>
            </w:r>
          </w:p>
        </w:tc>
        <w:tc>
          <w:tcPr>
            <w:tcW w:w="1134"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39,3</w:t>
            </w:r>
          </w:p>
        </w:tc>
        <w:tc>
          <w:tcPr>
            <w:tcW w:w="1134"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45,7</w:t>
            </w:r>
          </w:p>
        </w:tc>
        <w:tc>
          <w:tcPr>
            <w:tcW w:w="1134"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19,4</w:t>
            </w:r>
          </w:p>
        </w:tc>
        <w:tc>
          <w:tcPr>
            <w:tcW w:w="1134"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25,2</w:t>
            </w:r>
          </w:p>
        </w:tc>
        <w:tc>
          <w:tcPr>
            <w:tcW w:w="1276" w:type="dxa"/>
            <w:tcBorders>
              <w:bottom w:val="double" w:sz="4" w:space="0" w:color="auto"/>
            </w:tcBorders>
            <w:vAlign w:val="center"/>
          </w:tcPr>
          <w:p w:rsidR="009A7929" w:rsidRPr="001A3C76" w:rsidRDefault="009A7929" w:rsidP="001737A6">
            <w:pPr>
              <w:pStyle w:val="NoSpacing1"/>
              <w:jc w:val="right"/>
              <w:rPr>
                <w:sz w:val="18"/>
                <w:szCs w:val="18"/>
              </w:rPr>
            </w:pPr>
            <w:r w:rsidRPr="001A3C76">
              <w:rPr>
                <w:sz w:val="18"/>
                <w:szCs w:val="18"/>
              </w:rPr>
              <w:t>-</w:t>
            </w:r>
          </w:p>
        </w:tc>
        <w:tc>
          <w:tcPr>
            <w:tcW w:w="709" w:type="dxa"/>
            <w:tcBorders>
              <w:bottom w:val="double" w:sz="4" w:space="0" w:color="auto"/>
            </w:tcBorders>
            <w:noWrap/>
            <w:vAlign w:val="center"/>
          </w:tcPr>
          <w:p w:rsidR="009A7929" w:rsidRPr="001A3C76" w:rsidRDefault="009A7929" w:rsidP="001737A6">
            <w:pPr>
              <w:pStyle w:val="NoSpacing1"/>
              <w:jc w:val="right"/>
              <w:rPr>
                <w:sz w:val="18"/>
                <w:szCs w:val="18"/>
              </w:rPr>
            </w:pPr>
            <w:r w:rsidRPr="001A3C76">
              <w:rPr>
                <w:sz w:val="18"/>
                <w:szCs w:val="18"/>
              </w:rPr>
              <w:t>-</w:t>
            </w:r>
          </w:p>
        </w:tc>
      </w:tr>
    </w:tbl>
    <w:p w:rsidR="009A7929" w:rsidRPr="001A3C76" w:rsidRDefault="009A7929" w:rsidP="001A3C76">
      <w:pPr>
        <w:pStyle w:val="FootnoteText"/>
        <w:jc w:val="both"/>
        <w:rPr>
          <w:color w:val="000000"/>
          <w:sz w:val="18"/>
          <w:szCs w:val="18"/>
          <w:lang w:val="hr-HR"/>
        </w:rPr>
      </w:pPr>
      <w:r w:rsidRPr="001A3C76">
        <w:rPr>
          <w:color w:val="000000"/>
          <w:sz w:val="18"/>
          <w:szCs w:val="18"/>
          <w:lang w:val="hr-HR"/>
        </w:rPr>
        <w:t>Izvor: Izrada autora prema podatcima iz Izvješća o obavljenoj financijskoj reviziji visokih učilišta za 2014.,(</w:t>
      </w:r>
      <w:hyperlink r:id="rId14" w:history="1">
        <w:r w:rsidRPr="001A3C76">
          <w:rPr>
            <w:rStyle w:val="Hyperlink"/>
            <w:sz w:val="18"/>
            <w:szCs w:val="18"/>
            <w:lang w:val="hr-HR"/>
          </w:rPr>
          <w:t>http://www.revizija.hr/izvjesca/2016/rr-2016/revizija-visoka-ucilista-2016/visoka-ucilista-skupno/izvjesce-o-obavljenoj-financijskoj-reviziji-visokih-ucilista.pdf</w:t>
        </w:r>
      </w:hyperlink>
      <w:r w:rsidRPr="001A3C76">
        <w:rPr>
          <w:color w:val="000000"/>
          <w:sz w:val="18"/>
          <w:szCs w:val="18"/>
          <w:lang w:val="hr-HR"/>
        </w:rPr>
        <w:t>,dostupno 10. svibnja 2018.)</w:t>
      </w:r>
    </w:p>
    <w:p w:rsidR="009A7929" w:rsidRDefault="009A7929" w:rsidP="00B41217">
      <w:pPr>
        <w:pStyle w:val="NoSpacing1"/>
        <w:ind w:firstLine="720"/>
        <w:jc w:val="both"/>
        <w:rPr>
          <w:color w:val="000000"/>
          <w:szCs w:val="24"/>
        </w:rPr>
      </w:pPr>
    </w:p>
    <w:p w:rsidR="009A7929" w:rsidRPr="00136C4F" w:rsidRDefault="009A7929" w:rsidP="00B41217">
      <w:pPr>
        <w:pStyle w:val="NoSpacing1"/>
        <w:ind w:firstLine="720"/>
        <w:jc w:val="both"/>
        <w:rPr>
          <w:color w:val="000000"/>
          <w:szCs w:val="24"/>
        </w:rPr>
      </w:pPr>
      <w:r w:rsidRPr="00136C4F">
        <w:rPr>
          <w:color w:val="000000"/>
          <w:szCs w:val="24"/>
        </w:rPr>
        <w:t>U tablici 4. se daje prikaz obveza koncem 2014. U strukturi obveza su, kod Medicinskog fakulteta Osijek i Medicinskog fakulteta Zagreb, najznačajnije obveze za rashode poslovanja, dok je kod druga dva fakulteta, Medicinskog fakulteta Rijeka i Medicinskog fakulteta Split najznačajniji udjel odgođenog plaćanja rashoda i naplaćeni prihodi budućeg razdoblja.</w:t>
      </w:r>
    </w:p>
    <w:p w:rsidR="009A7929" w:rsidRPr="00136C4F" w:rsidRDefault="009A7929" w:rsidP="00136C4F">
      <w:pPr>
        <w:rPr>
          <w:color w:val="000000"/>
          <w:lang w:val="hr-HR"/>
        </w:rPr>
      </w:pPr>
    </w:p>
    <w:p w:rsidR="009A7929" w:rsidRDefault="009A7929" w:rsidP="001737A6">
      <w:pPr>
        <w:pStyle w:val="FootnoteText"/>
        <w:rPr>
          <w:b/>
          <w:i/>
          <w:color w:val="000000"/>
          <w:sz w:val="22"/>
          <w:szCs w:val="22"/>
          <w:lang w:val="hr-HR"/>
        </w:rPr>
      </w:pPr>
    </w:p>
    <w:p w:rsidR="009A7929" w:rsidRDefault="009A7929" w:rsidP="001737A6">
      <w:pPr>
        <w:pStyle w:val="FootnoteText"/>
        <w:rPr>
          <w:b/>
          <w:i/>
          <w:color w:val="000000"/>
          <w:sz w:val="22"/>
          <w:szCs w:val="22"/>
          <w:lang w:val="hr-HR"/>
        </w:rPr>
      </w:pPr>
    </w:p>
    <w:p w:rsidR="009A7929" w:rsidRDefault="009A7929" w:rsidP="001737A6">
      <w:pPr>
        <w:pStyle w:val="FootnoteText"/>
        <w:rPr>
          <w:b/>
          <w:i/>
          <w:color w:val="000000"/>
          <w:sz w:val="22"/>
          <w:szCs w:val="22"/>
          <w:lang w:val="hr-HR"/>
        </w:rPr>
      </w:pPr>
    </w:p>
    <w:p w:rsidR="009A7929" w:rsidRPr="001737A6" w:rsidRDefault="009A7929" w:rsidP="001737A6">
      <w:pPr>
        <w:pStyle w:val="FootnoteText"/>
        <w:rPr>
          <w:b/>
          <w:i/>
          <w:color w:val="000000"/>
          <w:sz w:val="22"/>
          <w:szCs w:val="22"/>
          <w:lang w:val="hr-HR"/>
        </w:rPr>
      </w:pPr>
      <w:r w:rsidRPr="001737A6">
        <w:rPr>
          <w:b/>
          <w:i/>
          <w:color w:val="000000"/>
          <w:sz w:val="22"/>
          <w:szCs w:val="22"/>
          <w:lang w:val="hr-HR"/>
        </w:rPr>
        <w:t>Tablica 4. Obveze koncem 2014. (</w:t>
      </w:r>
      <w:r w:rsidRPr="001737A6">
        <w:rPr>
          <w:b/>
          <w:i/>
          <w:color w:val="000000"/>
          <w:sz w:val="22"/>
          <w:szCs w:val="22"/>
        </w:rPr>
        <w:t>u kn bez lp)</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127"/>
        <w:gridCol w:w="1559"/>
        <w:gridCol w:w="1843"/>
        <w:gridCol w:w="1701"/>
        <w:gridCol w:w="708"/>
        <w:gridCol w:w="851"/>
      </w:tblGrid>
      <w:tr w:rsidR="009A7929" w:rsidRPr="007D77CE" w:rsidTr="001737A6">
        <w:trPr>
          <w:trHeight w:val="523"/>
        </w:trPr>
        <w:tc>
          <w:tcPr>
            <w:tcW w:w="2127"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Visoko učilište</w:t>
            </w:r>
          </w:p>
        </w:tc>
        <w:tc>
          <w:tcPr>
            <w:tcW w:w="1559"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Obveze 31.12.2014.</w:t>
            </w:r>
          </w:p>
        </w:tc>
        <w:tc>
          <w:tcPr>
            <w:tcW w:w="1843"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Obveze za rashode poslovanja</w:t>
            </w:r>
          </w:p>
        </w:tc>
        <w:tc>
          <w:tcPr>
            <w:tcW w:w="1701" w:type="dxa"/>
            <w:tcBorders>
              <w:top w:val="double" w:sz="4" w:space="0" w:color="auto"/>
            </w:tcBorders>
            <w:shd w:val="clear" w:color="auto" w:fill="DBE5F1"/>
          </w:tcPr>
          <w:p w:rsidR="009A7929" w:rsidRPr="001A3C76" w:rsidRDefault="009A7929" w:rsidP="001A3C76">
            <w:pPr>
              <w:pStyle w:val="NoSpacing1"/>
              <w:rPr>
                <w:sz w:val="20"/>
                <w:szCs w:val="20"/>
              </w:rPr>
            </w:pPr>
            <w:r w:rsidRPr="001A3C76">
              <w:rPr>
                <w:sz w:val="20"/>
                <w:szCs w:val="20"/>
              </w:rPr>
              <w:t>Odgođeno plaćanje rashoda i naplaćeni prihodi budućih razdoblja</w:t>
            </w:r>
          </w:p>
        </w:tc>
        <w:tc>
          <w:tcPr>
            <w:tcW w:w="708"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 xml:space="preserve">Udjel </w:t>
            </w:r>
          </w:p>
          <w:p w:rsidR="009A7929" w:rsidRPr="001A3C76" w:rsidRDefault="009A7929" w:rsidP="001A3C76">
            <w:pPr>
              <w:pStyle w:val="NoSpacing1"/>
              <w:rPr>
                <w:sz w:val="20"/>
                <w:szCs w:val="20"/>
              </w:rPr>
            </w:pPr>
            <w:r w:rsidRPr="001A3C76">
              <w:rPr>
                <w:sz w:val="20"/>
                <w:szCs w:val="20"/>
              </w:rPr>
              <w:t>(3/2)</w:t>
            </w:r>
          </w:p>
        </w:tc>
        <w:tc>
          <w:tcPr>
            <w:tcW w:w="851"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 xml:space="preserve">Udjel </w:t>
            </w:r>
          </w:p>
          <w:p w:rsidR="009A7929" w:rsidRPr="001A3C76" w:rsidRDefault="009A7929" w:rsidP="001A3C76">
            <w:pPr>
              <w:pStyle w:val="NoSpacing1"/>
              <w:rPr>
                <w:sz w:val="20"/>
                <w:szCs w:val="20"/>
              </w:rPr>
            </w:pPr>
            <w:r w:rsidRPr="001A3C76">
              <w:rPr>
                <w:sz w:val="20"/>
                <w:szCs w:val="20"/>
              </w:rPr>
              <w:t>(4/2)</w:t>
            </w:r>
          </w:p>
        </w:tc>
      </w:tr>
      <w:tr w:rsidR="009A7929" w:rsidRPr="007D77CE" w:rsidTr="001A3C76">
        <w:trPr>
          <w:trHeight w:val="110"/>
        </w:trPr>
        <w:tc>
          <w:tcPr>
            <w:tcW w:w="2127" w:type="dxa"/>
          </w:tcPr>
          <w:p w:rsidR="009A7929" w:rsidRPr="001737A6" w:rsidRDefault="009A7929" w:rsidP="001737A6">
            <w:pPr>
              <w:pStyle w:val="NoSpacing1"/>
              <w:jc w:val="center"/>
              <w:rPr>
                <w:sz w:val="18"/>
                <w:szCs w:val="18"/>
              </w:rPr>
            </w:pPr>
            <w:r w:rsidRPr="001737A6">
              <w:rPr>
                <w:sz w:val="18"/>
                <w:szCs w:val="18"/>
              </w:rPr>
              <w:t>1</w:t>
            </w:r>
          </w:p>
        </w:tc>
        <w:tc>
          <w:tcPr>
            <w:tcW w:w="1559" w:type="dxa"/>
          </w:tcPr>
          <w:p w:rsidR="009A7929" w:rsidRPr="001737A6" w:rsidRDefault="009A7929" w:rsidP="001737A6">
            <w:pPr>
              <w:pStyle w:val="NoSpacing1"/>
              <w:jc w:val="center"/>
              <w:rPr>
                <w:sz w:val="18"/>
                <w:szCs w:val="18"/>
              </w:rPr>
            </w:pPr>
            <w:r w:rsidRPr="001737A6">
              <w:rPr>
                <w:sz w:val="18"/>
                <w:szCs w:val="18"/>
              </w:rPr>
              <w:t>2</w:t>
            </w:r>
          </w:p>
        </w:tc>
        <w:tc>
          <w:tcPr>
            <w:tcW w:w="1843" w:type="dxa"/>
          </w:tcPr>
          <w:p w:rsidR="009A7929" w:rsidRPr="001737A6" w:rsidRDefault="009A7929" w:rsidP="001737A6">
            <w:pPr>
              <w:pStyle w:val="NoSpacing1"/>
              <w:jc w:val="center"/>
              <w:rPr>
                <w:sz w:val="18"/>
                <w:szCs w:val="18"/>
              </w:rPr>
            </w:pPr>
            <w:r w:rsidRPr="001737A6">
              <w:rPr>
                <w:sz w:val="18"/>
                <w:szCs w:val="18"/>
              </w:rPr>
              <w:t>3</w:t>
            </w:r>
          </w:p>
        </w:tc>
        <w:tc>
          <w:tcPr>
            <w:tcW w:w="1701" w:type="dxa"/>
          </w:tcPr>
          <w:p w:rsidR="009A7929" w:rsidRPr="001737A6" w:rsidRDefault="009A7929" w:rsidP="001737A6">
            <w:pPr>
              <w:pStyle w:val="NoSpacing1"/>
              <w:jc w:val="center"/>
              <w:rPr>
                <w:sz w:val="18"/>
                <w:szCs w:val="18"/>
              </w:rPr>
            </w:pPr>
            <w:r w:rsidRPr="001737A6">
              <w:rPr>
                <w:sz w:val="18"/>
                <w:szCs w:val="18"/>
              </w:rPr>
              <w:t>4</w:t>
            </w:r>
          </w:p>
        </w:tc>
        <w:tc>
          <w:tcPr>
            <w:tcW w:w="708" w:type="dxa"/>
          </w:tcPr>
          <w:p w:rsidR="009A7929" w:rsidRPr="001737A6" w:rsidRDefault="009A7929" w:rsidP="001737A6">
            <w:pPr>
              <w:pStyle w:val="NoSpacing1"/>
              <w:jc w:val="center"/>
              <w:rPr>
                <w:sz w:val="18"/>
                <w:szCs w:val="18"/>
              </w:rPr>
            </w:pPr>
            <w:r w:rsidRPr="001737A6">
              <w:rPr>
                <w:sz w:val="18"/>
                <w:szCs w:val="18"/>
              </w:rPr>
              <w:t>5</w:t>
            </w:r>
          </w:p>
        </w:tc>
        <w:tc>
          <w:tcPr>
            <w:tcW w:w="851" w:type="dxa"/>
            <w:vAlign w:val="center"/>
          </w:tcPr>
          <w:p w:rsidR="009A7929" w:rsidRPr="001737A6" w:rsidRDefault="009A7929" w:rsidP="001737A6">
            <w:pPr>
              <w:pStyle w:val="NoSpacing1"/>
              <w:jc w:val="center"/>
              <w:rPr>
                <w:sz w:val="18"/>
                <w:szCs w:val="18"/>
              </w:rPr>
            </w:pPr>
            <w:r w:rsidRPr="001737A6">
              <w:rPr>
                <w:sz w:val="18"/>
                <w:szCs w:val="18"/>
              </w:rPr>
              <w:t>6</w:t>
            </w:r>
          </w:p>
        </w:tc>
      </w:tr>
      <w:tr w:rsidR="009A7929" w:rsidRPr="007D77CE" w:rsidTr="001A3C76">
        <w:trPr>
          <w:trHeight w:val="156"/>
        </w:trPr>
        <w:tc>
          <w:tcPr>
            <w:tcW w:w="2127" w:type="dxa"/>
          </w:tcPr>
          <w:p w:rsidR="009A7929" w:rsidRPr="001A3C76" w:rsidRDefault="009A7929" w:rsidP="001A3C76">
            <w:pPr>
              <w:pStyle w:val="NoSpacing1"/>
              <w:rPr>
                <w:sz w:val="20"/>
                <w:szCs w:val="20"/>
              </w:rPr>
            </w:pPr>
            <w:r w:rsidRPr="001A3C76">
              <w:rPr>
                <w:sz w:val="20"/>
                <w:szCs w:val="20"/>
              </w:rPr>
              <w:t>Medicinski fakultet, Osijek</w:t>
            </w:r>
          </w:p>
        </w:tc>
        <w:tc>
          <w:tcPr>
            <w:tcW w:w="1559" w:type="dxa"/>
            <w:vAlign w:val="center"/>
          </w:tcPr>
          <w:p w:rsidR="009A7929" w:rsidRPr="001A3C76" w:rsidRDefault="009A7929" w:rsidP="001737A6">
            <w:pPr>
              <w:pStyle w:val="NoSpacing1"/>
              <w:jc w:val="right"/>
              <w:rPr>
                <w:sz w:val="20"/>
                <w:szCs w:val="20"/>
              </w:rPr>
            </w:pPr>
            <w:r w:rsidRPr="001A3C76">
              <w:rPr>
                <w:sz w:val="20"/>
                <w:szCs w:val="20"/>
              </w:rPr>
              <w:t>5.268.208</w:t>
            </w:r>
          </w:p>
        </w:tc>
        <w:tc>
          <w:tcPr>
            <w:tcW w:w="1843" w:type="dxa"/>
            <w:vAlign w:val="center"/>
          </w:tcPr>
          <w:p w:rsidR="009A7929" w:rsidRPr="001A3C76" w:rsidRDefault="009A7929" w:rsidP="001737A6">
            <w:pPr>
              <w:pStyle w:val="NoSpacing1"/>
              <w:jc w:val="right"/>
              <w:rPr>
                <w:sz w:val="20"/>
                <w:szCs w:val="20"/>
              </w:rPr>
            </w:pPr>
            <w:r w:rsidRPr="001A3C76">
              <w:rPr>
                <w:sz w:val="20"/>
                <w:szCs w:val="20"/>
              </w:rPr>
              <w:t>3.166.503</w:t>
            </w:r>
          </w:p>
        </w:tc>
        <w:tc>
          <w:tcPr>
            <w:tcW w:w="1701" w:type="dxa"/>
            <w:vAlign w:val="center"/>
          </w:tcPr>
          <w:p w:rsidR="009A7929" w:rsidRPr="001A3C76" w:rsidRDefault="009A7929" w:rsidP="001737A6">
            <w:pPr>
              <w:pStyle w:val="NoSpacing1"/>
              <w:jc w:val="right"/>
              <w:rPr>
                <w:sz w:val="20"/>
                <w:szCs w:val="20"/>
              </w:rPr>
            </w:pPr>
            <w:r w:rsidRPr="001A3C76">
              <w:rPr>
                <w:sz w:val="20"/>
                <w:szCs w:val="20"/>
              </w:rPr>
              <w:t xml:space="preserve">697.510 </w:t>
            </w:r>
          </w:p>
        </w:tc>
        <w:tc>
          <w:tcPr>
            <w:tcW w:w="708" w:type="dxa"/>
            <w:vAlign w:val="center"/>
          </w:tcPr>
          <w:p w:rsidR="009A7929" w:rsidRPr="001A3C76" w:rsidRDefault="009A7929" w:rsidP="001737A6">
            <w:pPr>
              <w:pStyle w:val="NoSpacing1"/>
              <w:jc w:val="right"/>
              <w:rPr>
                <w:sz w:val="20"/>
                <w:szCs w:val="20"/>
              </w:rPr>
            </w:pPr>
            <w:r w:rsidRPr="001A3C76">
              <w:rPr>
                <w:sz w:val="20"/>
                <w:szCs w:val="20"/>
              </w:rPr>
              <w:t>60,1</w:t>
            </w:r>
          </w:p>
        </w:tc>
        <w:tc>
          <w:tcPr>
            <w:tcW w:w="851" w:type="dxa"/>
            <w:vAlign w:val="center"/>
          </w:tcPr>
          <w:p w:rsidR="009A7929" w:rsidRPr="001A3C76" w:rsidRDefault="009A7929" w:rsidP="001737A6">
            <w:pPr>
              <w:pStyle w:val="NoSpacing1"/>
              <w:jc w:val="right"/>
              <w:rPr>
                <w:sz w:val="20"/>
                <w:szCs w:val="20"/>
              </w:rPr>
            </w:pPr>
            <w:r w:rsidRPr="001A3C76">
              <w:rPr>
                <w:sz w:val="20"/>
                <w:szCs w:val="20"/>
              </w:rPr>
              <w:t>13,2</w:t>
            </w:r>
          </w:p>
        </w:tc>
      </w:tr>
      <w:tr w:rsidR="009A7929" w:rsidRPr="007D77CE" w:rsidTr="001A3C76">
        <w:trPr>
          <w:trHeight w:val="156"/>
        </w:trPr>
        <w:tc>
          <w:tcPr>
            <w:tcW w:w="2127" w:type="dxa"/>
          </w:tcPr>
          <w:p w:rsidR="009A7929" w:rsidRPr="001A3C76" w:rsidRDefault="009A7929" w:rsidP="001A3C76">
            <w:pPr>
              <w:pStyle w:val="NoSpacing1"/>
              <w:rPr>
                <w:sz w:val="20"/>
                <w:szCs w:val="20"/>
              </w:rPr>
            </w:pPr>
            <w:r w:rsidRPr="001A3C76">
              <w:rPr>
                <w:sz w:val="20"/>
                <w:szCs w:val="20"/>
              </w:rPr>
              <w:t>Medicinski fakultet, Rijeka</w:t>
            </w:r>
          </w:p>
        </w:tc>
        <w:tc>
          <w:tcPr>
            <w:tcW w:w="1559" w:type="dxa"/>
            <w:vAlign w:val="center"/>
          </w:tcPr>
          <w:p w:rsidR="009A7929" w:rsidRPr="001A3C76" w:rsidRDefault="009A7929" w:rsidP="001737A6">
            <w:pPr>
              <w:pStyle w:val="NoSpacing1"/>
              <w:jc w:val="right"/>
              <w:rPr>
                <w:sz w:val="20"/>
                <w:szCs w:val="20"/>
              </w:rPr>
            </w:pPr>
            <w:r w:rsidRPr="001A3C76">
              <w:rPr>
                <w:sz w:val="20"/>
                <w:szCs w:val="20"/>
              </w:rPr>
              <w:t>21.609.034</w:t>
            </w:r>
          </w:p>
        </w:tc>
        <w:tc>
          <w:tcPr>
            <w:tcW w:w="1843" w:type="dxa"/>
            <w:vAlign w:val="center"/>
          </w:tcPr>
          <w:p w:rsidR="009A7929" w:rsidRPr="001A3C76" w:rsidRDefault="009A7929" w:rsidP="001737A6">
            <w:pPr>
              <w:pStyle w:val="NoSpacing1"/>
              <w:jc w:val="right"/>
              <w:rPr>
                <w:sz w:val="20"/>
                <w:szCs w:val="20"/>
              </w:rPr>
            </w:pPr>
            <w:r w:rsidRPr="001A3C76">
              <w:rPr>
                <w:sz w:val="20"/>
                <w:szCs w:val="20"/>
              </w:rPr>
              <w:t>8.439.094</w:t>
            </w:r>
          </w:p>
        </w:tc>
        <w:tc>
          <w:tcPr>
            <w:tcW w:w="1701" w:type="dxa"/>
            <w:vAlign w:val="center"/>
          </w:tcPr>
          <w:p w:rsidR="009A7929" w:rsidRPr="001A3C76" w:rsidRDefault="009A7929" w:rsidP="001737A6">
            <w:pPr>
              <w:pStyle w:val="NoSpacing1"/>
              <w:jc w:val="right"/>
              <w:rPr>
                <w:sz w:val="20"/>
                <w:szCs w:val="20"/>
              </w:rPr>
            </w:pPr>
            <w:r w:rsidRPr="001A3C76">
              <w:rPr>
                <w:sz w:val="20"/>
                <w:szCs w:val="20"/>
              </w:rPr>
              <w:t xml:space="preserve">12.821.632 </w:t>
            </w:r>
          </w:p>
        </w:tc>
        <w:tc>
          <w:tcPr>
            <w:tcW w:w="708" w:type="dxa"/>
            <w:vAlign w:val="center"/>
          </w:tcPr>
          <w:p w:rsidR="009A7929" w:rsidRPr="001A3C76" w:rsidRDefault="009A7929" w:rsidP="001737A6">
            <w:pPr>
              <w:pStyle w:val="NoSpacing1"/>
              <w:jc w:val="right"/>
              <w:rPr>
                <w:sz w:val="20"/>
                <w:szCs w:val="20"/>
              </w:rPr>
            </w:pPr>
            <w:r w:rsidRPr="001A3C76">
              <w:rPr>
                <w:sz w:val="20"/>
                <w:szCs w:val="20"/>
              </w:rPr>
              <w:t>39,1</w:t>
            </w:r>
          </w:p>
        </w:tc>
        <w:tc>
          <w:tcPr>
            <w:tcW w:w="851" w:type="dxa"/>
            <w:vAlign w:val="center"/>
          </w:tcPr>
          <w:p w:rsidR="009A7929" w:rsidRPr="001A3C76" w:rsidRDefault="009A7929" w:rsidP="001737A6">
            <w:pPr>
              <w:pStyle w:val="NoSpacing1"/>
              <w:jc w:val="right"/>
              <w:rPr>
                <w:sz w:val="20"/>
                <w:szCs w:val="20"/>
              </w:rPr>
            </w:pPr>
            <w:r w:rsidRPr="001A3C76">
              <w:rPr>
                <w:sz w:val="20"/>
                <w:szCs w:val="20"/>
              </w:rPr>
              <w:t>59,3</w:t>
            </w:r>
          </w:p>
        </w:tc>
      </w:tr>
      <w:tr w:rsidR="009A7929" w:rsidRPr="007D77CE" w:rsidTr="001A3C76">
        <w:trPr>
          <w:trHeight w:val="156"/>
        </w:trPr>
        <w:tc>
          <w:tcPr>
            <w:tcW w:w="2127" w:type="dxa"/>
          </w:tcPr>
          <w:p w:rsidR="009A7929" w:rsidRPr="001A3C76" w:rsidRDefault="009A7929" w:rsidP="001A3C76">
            <w:pPr>
              <w:pStyle w:val="NoSpacing1"/>
              <w:rPr>
                <w:sz w:val="20"/>
                <w:szCs w:val="20"/>
              </w:rPr>
            </w:pPr>
            <w:r w:rsidRPr="001A3C76">
              <w:rPr>
                <w:sz w:val="20"/>
                <w:szCs w:val="20"/>
              </w:rPr>
              <w:t>Medicinski fakultet, Split</w:t>
            </w:r>
          </w:p>
        </w:tc>
        <w:tc>
          <w:tcPr>
            <w:tcW w:w="1559" w:type="dxa"/>
            <w:vAlign w:val="center"/>
          </w:tcPr>
          <w:p w:rsidR="009A7929" w:rsidRPr="001A3C76" w:rsidRDefault="009A7929" w:rsidP="001737A6">
            <w:pPr>
              <w:pStyle w:val="NoSpacing1"/>
              <w:jc w:val="right"/>
              <w:rPr>
                <w:sz w:val="20"/>
                <w:szCs w:val="20"/>
              </w:rPr>
            </w:pPr>
            <w:r w:rsidRPr="001A3C76">
              <w:rPr>
                <w:sz w:val="20"/>
                <w:szCs w:val="20"/>
              </w:rPr>
              <w:t>9.335.586</w:t>
            </w:r>
          </w:p>
        </w:tc>
        <w:tc>
          <w:tcPr>
            <w:tcW w:w="1843" w:type="dxa"/>
            <w:vAlign w:val="center"/>
          </w:tcPr>
          <w:p w:rsidR="009A7929" w:rsidRPr="001A3C76" w:rsidRDefault="009A7929" w:rsidP="001737A6">
            <w:pPr>
              <w:pStyle w:val="NoSpacing1"/>
              <w:jc w:val="right"/>
              <w:rPr>
                <w:sz w:val="20"/>
                <w:szCs w:val="20"/>
              </w:rPr>
            </w:pPr>
            <w:r w:rsidRPr="001A3C76">
              <w:rPr>
                <w:sz w:val="20"/>
                <w:szCs w:val="20"/>
              </w:rPr>
              <w:t>2.934.706</w:t>
            </w:r>
          </w:p>
        </w:tc>
        <w:tc>
          <w:tcPr>
            <w:tcW w:w="1701" w:type="dxa"/>
            <w:vAlign w:val="center"/>
          </w:tcPr>
          <w:p w:rsidR="009A7929" w:rsidRPr="001A3C76" w:rsidRDefault="009A7929" w:rsidP="001737A6">
            <w:pPr>
              <w:pStyle w:val="NoSpacing1"/>
              <w:jc w:val="right"/>
              <w:rPr>
                <w:sz w:val="20"/>
                <w:szCs w:val="20"/>
              </w:rPr>
            </w:pPr>
            <w:r w:rsidRPr="001A3C76">
              <w:rPr>
                <w:sz w:val="20"/>
                <w:szCs w:val="20"/>
              </w:rPr>
              <w:t>6.232.180</w:t>
            </w:r>
          </w:p>
        </w:tc>
        <w:tc>
          <w:tcPr>
            <w:tcW w:w="708" w:type="dxa"/>
            <w:vAlign w:val="center"/>
          </w:tcPr>
          <w:p w:rsidR="009A7929" w:rsidRPr="001A3C76" w:rsidRDefault="009A7929" w:rsidP="001737A6">
            <w:pPr>
              <w:pStyle w:val="NoSpacing1"/>
              <w:jc w:val="right"/>
              <w:rPr>
                <w:sz w:val="20"/>
                <w:szCs w:val="20"/>
              </w:rPr>
            </w:pPr>
            <w:r w:rsidRPr="001A3C76">
              <w:rPr>
                <w:sz w:val="20"/>
                <w:szCs w:val="20"/>
              </w:rPr>
              <w:t>31,4</w:t>
            </w:r>
          </w:p>
        </w:tc>
        <w:tc>
          <w:tcPr>
            <w:tcW w:w="851" w:type="dxa"/>
            <w:vAlign w:val="center"/>
          </w:tcPr>
          <w:p w:rsidR="009A7929" w:rsidRPr="001A3C76" w:rsidRDefault="009A7929" w:rsidP="001737A6">
            <w:pPr>
              <w:pStyle w:val="NoSpacing1"/>
              <w:jc w:val="right"/>
              <w:rPr>
                <w:sz w:val="20"/>
                <w:szCs w:val="20"/>
              </w:rPr>
            </w:pPr>
            <w:r w:rsidRPr="001A3C76">
              <w:rPr>
                <w:sz w:val="20"/>
                <w:szCs w:val="20"/>
              </w:rPr>
              <w:t>66,8</w:t>
            </w:r>
          </w:p>
        </w:tc>
      </w:tr>
      <w:tr w:rsidR="009A7929" w:rsidRPr="007D77CE" w:rsidTr="001A3C76">
        <w:trPr>
          <w:trHeight w:val="156"/>
        </w:trPr>
        <w:tc>
          <w:tcPr>
            <w:tcW w:w="2127" w:type="dxa"/>
          </w:tcPr>
          <w:p w:rsidR="009A7929" w:rsidRPr="001A3C76" w:rsidRDefault="009A7929" w:rsidP="001A3C76">
            <w:pPr>
              <w:pStyle w:val="NoSpacing1"/>
              <w:rPr>
                <w:sz w:val="20"/>
                <w:szCs w:val="20"/>
              </w:rPr>
            </w:pPr>
            <w:r w:rsidRPr="001A3C76">
              <w:rPr>
                <w:sz w:val="20"/>
                <w:szCs w:val="20"/>
              </w:rPr>
              <w:t>Medicinski fakultet, Zagreb</w:t>
            </w:r>
          </w:p>
        </w:tc>
        <w:tc>
          <w:tcPr>
            <w:tcW w:w="1559" w:type="dxa"/>
            <w:vAlign w:val="center"/>
          </w:tcPr>
          <w:p w:rsidR="009A7929" w:rsidRPr="001A3C76" w:rsidRDefault="009A7929" w:rsidP="001737A6">
            <w:pPr>
              <w:pStyle w:val="NoSpacing1"/>
              <w:jc w:val="right"/>
              <w:rPr>
                <w:sz w:val="20"/>
                <w:szCs w:val="20"/>
              </w:rPr>
            </w:pPr>
            <w:r w:rsidRPr="001A3C76">
              <w:rPr>
                <w:sz w:val="20"/>
                <w:szCs w:val="20"/>
              </w:rPr>
              <w:t>27.170.735</w:t>
            </w:r>
          </w:p>
        </w:tc>
        <w:tc>
          <w:tcPr>
            <w:tcW w:w="1843" w:type="dxa"/>
            <w:vAlign w:val="center"/>
          </w:tcPr>
          <w:p w:rsidR="009A7929" w:rsidRPr="001A3C76" w:rsidRDefault="009A7929" w:rsidP="001737A6">
            <w:pPr>
              <w:pStyle w:val="NoSpacing1"/>
              <w:jc w:val="right"/>
              <w:rPr>
                <w:sz w:val="20"/>
                <w:szCs w:val="20"/>
              </w:rPr>
            </w:pPr>
            <w:r w:rsidRPr="001A3C76">
              <w:rPr>
                <w:sz w:val="20"/>
                <w:szCs w:val="20"/>
              </w:rPr>
              <w:t>26.829.280</w:t>
            </w:r>
          </w:p>
        </w:tc>
        <w:tc>
          <w:tcPr>
            <w:tcW w:w="1701" w:type="dxa"/>
            <w:vAlign w:val="center"/>
          </w:tcPr>
          <w:p w:rsidR="009A7929" w:rsidRPr="001A3C76" w:rsidRDefault="009A7929" w:rsidP="001737A6">
            <w:pPr>
              <w:pStyle w:val="NoSpacing1"/>
              <w:jc w:val="right"/>
              <w:rPr>
                <w:sz w:val="20"/>
                <w:szCs w:val="20"/>
              </w:rPr>
            </w:pPr>
            <w:r w:rsidRPr="001A3C76">
              <w:rPr>
                <w:sz w:val="20"/>
                <w:szCs w:val="20"/>
              </w:rPr>
              <w:t>34.310</w:t>
            </w:r>
          </w:p>
        </w:tc>
        <w:tc>
          <w:tcPr>
            <w:tcW w:w="708" w:type="dxa"/>
            <w:vAlign w:val="center"/>
          </w:tcPr>
          <w:p w:rsidR="009A7929" w:rsidRPr="001A3C76" w:rsidRDefault="009A7929" w:rsidP="001737A6">
            <w:pPr>
              <w:pStyle w:val="NoSpacing1"/>
              <w:jc w:val="right"/>
              <w:rPr>
                <w:sz w:val="20"/>
                <w:szCs w:val="20"/>
              </w:rPr>
            </w:pPr>
            <w:r w:rsidRPr="001A3C76">
              <w:rPr>
                <w:sz w:val="20"/>
                <w:szCs w:val="20"/>
              </w:rPr>
              <w:t>98,7</w:t>
            </w:r>
          </w:p>
        </w:tc>
        <w:tc>
          <w:tcPr>
            <w:tcW w:w="851" w:type="dxa"/>
            <w:vAlign w:val="center"/>
          </w:tcPr>
          <w:p w:rsidR="009A7929" w:rsidRPr="001A3C76" w:rsidRDefault="009A7929" w:rsidP="001737A6">
            <w:pPr>
              <w:pStyle w:val="NoSpacing1"/>
              <w:jc w:val="right"/>
              <w:rPr>
                <w:sz w:val="20"/>
                <w:szCs w:val="20"/>
              </w:rPr>
            </w:pPr>
            <w:r w:rsidRPr="001A3C76">
              <w:rPr>
                <w:sz w:val="20"/>
                <w:szCs w:val="20"/>
              </w:rPr>
              <w:t>0,1</w:t>
            </w:r>
          </w:p>
        </w:tc>
      </w:tr>
      <w:tr w:rsidR="009A7929" w:rsidRPr="007D77CE" w:rsidTr="001A3C76">
        <w:trPr>
          <w:trHeight w:val="156"/>
        </w:trPr>
        <w:tc>
          <w:tcPr>
            <w:tcW w:w="2127" w:type="dxa"/>
          </w:tcPr>
          <w:p w:rsidR="009A7929" w:rsidRPr="001A3C76" w:rsidRDefault="009A7929" w:rsidP="001A3C76">
            <w:pPr>
              <w:pStyle w:val="NoSpacing1"/>
              <w:rPr>
                <w:sz w:val="20"/>
                <w:szCs w:val="20"/>
              </w:rPr>
            </w:pPr>
            <w:r w:rsidRPr="001A3C76">
              <w:rPr>
                <w:sz w:val="20"/>
                <w:szCs w:val="20"/>
              </w:rPr>
              <w:t>Ukupno medicinski fakulteti</w:t>
            </w:r>
          </w:p>
        </w:tc>
        <w:tc>
          <w:tcPr>
            <w:tcW w:w="1559" w:type="dxa"/>
            <w:vAlign w:val="center"/>
          </w:tcPr>
          <w:p w:rsidR="009A7929" w:rsidRPr="001A3C76" w:rsidRDefault="009A7929" w:rsidP="001737A6">
            <w:pPr>
              <w:pStyle w:val="NoSpacing1"/>
              <w:jc w:val="right"/>
              <w:rPr>
                <w:sz w:val="20"/>
                <w:szCs w:val="20"/>
              </w:rPr>
            </w:pPr>
            <w:r w:rsidRPr="001A3C76">
              <w:rPr>
                <w:sz w:val="20"/>
                <w:szCs w:val="20"/>
              </w:rPr>
              <w:t>63.383.563</w:t>
            </w:r>
          </w:p>
        </w:tc>
        <w:tc>
          <w:tcPr>
            <w:tcW w:w="1843" w:type="dxa"/>
            <w:vAlign w:val="center"/>
          </w:tcPr>
          <w:p w:rsidR="009A7929" w:rsidRPr="001A3C76" w:rsidRDefault="009A7929" w:rsidP="001737A6">
            <w:pPr>
              <w:pStyle w:val="NoSpacing1"/>
              <w:jc w:val="right"/>
              <w:rPr>
                <w:sz w:val="20"/>
                <w:szCs w:val="20"/>
              </w:rPr>
            </w:pPr>
            <w:r w:rsidRPr="001A3C76">
              <w:rPr>
                <w:sz w:val="20"/>
                <w:szCs w:val="20"/>
              </w:rPr>
              <w:t>41.369.583</w:t>
            </w:r>
          </w:p>
        </w:tc>
        <w:tc>
          <w:tcPr>
            <w:tcW w:w="1701" w:type="dxa"/>
            <w:vAlign w:val="center"/>
          </w:tcPr>
          <w:p w:rsidR="009A7929" w:rsidRPr="001A3C76" w:rsidRDefault="009A7929" w:rsidP="001737A6">
            <w:pPr>
              <w:pStyle w:val="NoSpacing1"/>
              <w:jc w:val="right"/>
              <w:rPr>
                <w:sz w:val="20"/>
                <w:szCs w:val="20"/>
              </w:rPr>
            </w:pPr>
            <w:r w:rsidRPr="001A3C76">
              <w:rPr>
                <w:sz w:val="20"/>
                <w:szCs w:val="20"/>
              </w:rPr>
              <w:t>19.245.632</w:t>
            </w:r>
          </w:p>
        </w:tc>
        <w:tc>
          <w:tcPr>
            <w:tcW w:w="708" w:type="dxa"/>
            <w:vAlign w:val="center"/>
          </w:tcPr>
          <w:p w:rsidR="009A7929" w:rsidRPr="001A3C76" w:rsidRDefault="009A7929" w:rsidP="001737A6">
            <w:pPr>
              <w:pStyle w:val="NoSpacing1"/>
              <w:jc w:val="right"/>
              <w:rPr>
                <w:sz w:val="20"/>
                <w:szCs w:val="20"/>
              </w:rPr>
            </w:pPr>
            <w:r w:rsidRPr="001A3C76">
              <w:rPr>
                <w:sz w:val="20"/>
                <w:szCs w:val="20"/>
              </w:rPr>
              <w:t>65,3</w:t>
            </w:r>
          </w:p>
        </w:tc>
        <w:tc>
          <w:tcPr>
            <w:tcW w:w="851" w:type="dxa"/>
            <w:vAlign w:val="center"/>
          </w:tcPr>
          <w:p w:rsidR="009A7929" w:rsidRPr="001A3C76" w:rsidRDefault="009A7929" w:rsidP="001737A6">
            <w:pPr>
              <w:pStyle w:val="NoSpacing1"/>
              <w:jc w:val="right"/>
              <w:rPr>
                <w:sz w:val="20"/>
                <w:szCs w:val="20"/>
              </w:rPr>
            </w:pPr>
            <w:r w:rsidRPr="001A3C76">
              <w:rPr>
                <w:sz w:val="20"/>
                <w:szCs w:val="20"/>
              </w:rPr>
              <w:t>30,4</w:t>
            </w:r>
          </w:p>
        </w:tc>
      </w:tr>
      <w:tr w:rsidR="009A7929" w:rsidRPr="007D77CE" w:rsidTr="001A3C76">
        <w:trPr>
          <w:trHeight w:val="165"/>
        </w:trPr>
        <w:tc>
          <w:tcPr>
            <w:tcW w:w="2127" w:type="dxa"/>
          </w:tcPr>
          <w:p w:rsidR="009A7929" w:rsidRPr="001A3C76" w:rsidRDefault="009A7929" w:rsidP="001A3C76">
            <w:pPr>
              <w:pStyle w:val="NoSpacing1"/>
              <w:rPr>
                <w:sz w:val="20"/>
                <w:szCs w:val="20"/>
              </w:rPr>
            </w:pPr>
            <w:r w:rsidRPr="001A3C76">
              <w:rPr>
                <w:sz w:val="20"/>
                <w:szCs w:val="20"/>
              </w:rPr>
              <w:t>Ukupno 68 visokih učilišta</w:t>
            </w:r>
          </w:p>
        </w:tc>
        <w:tc>
          <w:tcPr>
            <w:tcW w:w="1559" w:type="dxa"/>
            <w:vAlign w:val="center"/>
          </w:tcPr>
          <w:p w:rsidR="009A7929" w:rsidRPr="001A3C76" w:rsidRDefault="009A7929" w:rsidP="001737A6">
            <w:pPr>
              <w:pStyle w:val="NoSpacing1"/>
              <w:jc w:val="right"/>
              <w:rPr>
                <w:sz w:val="20"/>
                <w:szCs w:val="20"/>
              </w:rPr>
            </w:pPr>
            <w:r w:rsidRPr="001A3C76">
              <w:rPr>
                <w:sz w:val="20"/>
                <w:szCs w:val="20"/>
              </w:rPr>
              <w:t>591.912.814</w:t>
            </w:r>
          </w:p>
        </w:tc>
        <w:tc>
          <w:tcPr>
            <w:tcW w:w="1843" w:type="dxa"/>
            <w:vAlign w:val="center"/>
          </w:tcPr>
          <w:p w:rsidR="009A7929" w:rsidRPr="001A3C76" w:rsidRDefault="009A7929" w:rsidP="001737A6">
            <w:pPr>
              <w:pStyle w:val="NoSpacing1"/>
              <w:jc w:val="right"/>
              <w:rPr>
                <w:sz w:val="20"/>
                <w:szCs w:val="20"/>
              </w:rPr>
            </w:pPr>
            <w:r w:rsidRPr="001A3C76">
              <w:rPr>
                <w:sz w:val="20"/>
                <w:szCs w:val="20"/>
              </w:rPr>
              <w:t>270.070.784</w:t>
            </w:r>
          </w:p>
        </w:tc>
        <w:tc>
          <w:tcPr>
            <w:tcW w:w="1701" w:type="dxa"/>
          </w:tcPr>
          <w:p w:rsidR="009A7929" w:rsidRPr="001A3C76" w:rsidRDefault="009A7929" w:rsidP="001737A6">
            <w:pPr>
              <w:pStyle w:val="NoSpacing1"/>
              <w:jc w:val="right"/>
              <w:rPr>
                <w:sz w:val="20"/>
                <w:szCs w:val="20"/>
              </w:rPr>
            </w:pPr>
            <w:r w:rsidRPr="001A3C76">
              <w:rPr>
                <w:sz w:val="20"/>
                <w:szCs w:val="20"/>
              </w:rPr>
              <w:t>206.263.526</w:t>
            </w:r>
          </w:p>
        </w:tc>
        <w:tc>
          <w:tcPr>
            <w:tcW w:w="708" w:type="dxa"/>
            <w:vAlign w:val="center"/>
          </w:tcPr>
          <w:p w:rsidR="009A7929" w:rsidRPr="001A3C76" w:rsidRDefault="009A7929" w:rsidP="001737A6">
            <w:pPr>
              <w:pStyle w:val="NoSpacing1"/>
              <w:jc w:val="right"/>
              <w:rPr>
                <w:sz w:val="20"/>
                <w:szCs w:val="20"/>
              </w:rPr>
            </w:pPr>
            <w:r w:rsidRPr="001A3C76">
              <w:rPr>
                <w:sz w:val="20"/>
                <w:szCs w:val="20"/>
              </w:rPr>
              <w:t>45,6</w:t>
            </w:r>
          </w:p>
        </w:tc>
        <w:tc>
          <w:tcPr>
            <w:tcW w:w="851" w:type="dxa"/>
            <w:vAlign w:val="center"/>
          </w:tcPr>
          <w:p w:rsidR="009A7929" w:rsidRPr="001A3C76" w:rsidRDefault="009A7929" w:rsidP="001737A6">
            <w:pPr>
              <w:pStyle w:val="NoSpacing1"/>
              <w:jc w:val="right"/>
              <w:rPr>
                <w:sz w:val="20"/>
                <w:szCs w:val="20"/>
              </w:rPr>
            </w:pPr>
            <w:r w:rsidRPr="001A3C76">
              <w:rPr>
                <w:sz w:val="20"/>
                <w:szCs w:val="20"/>
              </w:rPr>
              <w:t>34,8</w:t>
            </w:r>
          </w:p>
        </w:tc>
      </w:tr>
      <w:tr w:rsidR="009A7929" w:rsidRPr="007D77CE" w:rsidTr="001A3C76">
        <w:trPr>
          <w:trHeight w:val="165"/>
        </w:trPr>
        <w:tc>
          <w:tcPr>
            <w:tcW w:w="2127" w:type="dxa"/>
            <w:tcBorders>
              <w:bottom w:val="double" w:sz="4" w:space="0" w:color="auto"/>
            </w:tcBorders>
          </w:tcPr>
          <w:p w:rsidR="009A7929" w:rsidRPr="001A3C76" w:rsidRDefault="009A7929" w:rsidP="001A3C76">
            <w:pPr>
              <w:pStyle w:val="NoSpacing1"/>
              <w:rPr>
                <w:sz w:val="20"/>
                <w:szCs w:val="20"/>
              </w:rPr>
            </w:pPr>
            <w:r w:rsidRPr="001A3C76">
              <w:rPr>
                <w:sz w:val="20"/>
                <w:szCs w:val="20"/>
              </w:rPr>
              <w:t>Udjel ukupno medicinski fakulteti u ukupno 68 visokih učilišta</w:t>
            </w:r>
          </w:p>
        </w:tc>
        <w:tc>
          <w:tcPr>
            <w:tcW w:w="1559"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10,7</w:t>
            </w:r>
          </w:p>
        </w:tc>
        <w:tc>
          <w:tcPr>
            <w:tcW w:w="1843"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15,3</w:t>
            </w:r>
          </w:p>
        </w:tc>
        <w:tc>
          <w:tcPr>
            <w:tcW w:w="1701"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9,3</w:t>
            </w:r>
          </w:p>
        </w:tc>
        <w:tc>
          <w:tcPr>
            <w:tcW w:w="708"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w:t>
            </w:r>
          </w:p>
        </w:tc>
        <w:tc>
          <w:tcPr>
            <w:tcW w:w="851"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w:t>
            </w:r>
          </w:p>
        </w:tc>
      </w:tr>
    </w:tbl>
    <w:p w:rsidR="009A7929" w:rsidRPr="001A3C76" w:rsidRDefault="009A7929" w:rsidP="001A3C76">
      <w:pPr>
        <w:pStyle w:val="FootnoteText"/>
        <w:rPr>
          <w:color w:val="000000"/>
          <w:sz w:val="18"/>
          <w:szCs w:val="18"/>
          <w:lang w:val="hr-HR"/>
        </w:rPr>
      </w:pPr>
      <w:r w:rsidRPr="001A3C76">
        <w:rPr>
          <w:color w:val="000000"/>
          <w:sz w:val="18"/>
          <w:szCs w:val="18"/>
          <w:lang w:val="hr-HR"/>
        </w:rPr>
        <w:t>Izvor: Izrada autora prema podatcima iz Izvješća o obavljenoj financijskoj reviziji visokih učilišta za 2014.,(</w:t>
      </w:r>
      <w:hyperlink r:id="rId15" w:history="1">
        <w:r w:rsidRPr="001A3C76">
          <w:rPr>
            <w:rStyle w:val="Hyperlink"/>
            <w:sz w:val="18"/>
            <w:szCs w:val="18"/>
            <w:lang w:val="hr-HR"/>
          </w:rPr>
          <w:t>http://www.revizija.hr/izvjesca/2016/rr-2016/revizija-visoka-ucilista-2016/visoka-ucilista-skupno/izvjesce-o-obavljenoj-financijskoj-reviziji-visokih-ucilista.pdf</w:t>
        </w:r>
      </w:hyperlink>
      <w:r w:rsidRPr="001A3C76">
        <w:rPr>
          <w:color w:val="000000"/>
          <w:sz w:val="18"/>
          <w:szCs w:val="18"/>
          <w:lang w:val="hr-HR"/>
        </w:rPr>
        <w:t xml:space="preserve"> (dostupno 10. svibnja 2018.)</w:t>
      </w:r>
    </w:p>
    <w:p w:rsidR="009A7929" w:rsidRPr="00136C4F" w:rsidRDefault="009A7929" w:rsidP="00136C4F">
      <w:pPr>
        <w:pStyle w:val="NoSpacing1"/>
        <w:jc w:val="both"/>
        <w:rPr>
          <w:color w:val="000000"/>
          <w:szCs w:val="24"/>
        </w:rPr>
      </w:pPr>
    </w:p>
    <w:p w:rsidR="009A7929" w:rsidRPr="00136C4F" w:rsidRDefault="009A7929" w:rsidP="00B41217">
      <w:pPr>
        <w:pStyle w:val="NoSpacing1"/>
        <w:ind w:firstLine="720"/>
        <w:jc w:val="both"/>
        <w:rPr>
          <w:color w:val="000000"/>
          <w:szCs w:val="24"/>
        </w:rPr>
      </w:pPr>
      <w:r w:rsidRPr="00136C4F">
        <w:rPr>
          <w:color w:val="000000"/>
          <w:szCs w:val="24"/>
        </w:rPr>
        <w:t>U tablici 5. se daje prikaz ostvarenja ukupnih rashoda i izdataka, te ostvarenje rashoda prema vrstama za svaki od medicinskih fakulteta, te visokih učilišta (68). Najznačajnije rashode i izdatke u apsolutnom iznosu je ostvario Medicinski fakultet, Zagreb, zatim Medicinski fakultet, Rijeka, Medicinski fakultet, Split te najmanje Medicinski fakultet, Osijek. U odnosu na ukupne rashode i izdatke, uočavamo da su u apsolutnom iznosu kod svih fakulteta najznačajniji, a isto tako i kod visokih učilišta, ostvareni rashodi za zaposlene. Nakon toga slijede materijalni rashodi, rashodi za nabavu nefinancijske imovine, te drugi rashodi i izdaci. Rashodi za nabavu nefinancijske imovine kod četiri medicinska fakulteta iznose 20.100.515,00 kn, od čega su najmanji kod Medicinskog fakulteta, Osijek. U odnosu na prethodno revizijom obuhvaćeno razdoblje za 2009., možemo zaključiti da su rashodi za zaposlene povećani. Značajnije povećanje od prosječnog povećanja (10,8 %) za sva četiri promatrana fakulteta, je uočeno kod Medicinskog fakulteta, Split (25,4 %) i Medicinskog fakulteta Osijek (18,5 %).</w:t>
      </w:r>
    </w:p>
    <w:p w:rsidR="009A7929" w:rsidRPr="00136C4F" w:rsidRDefault="009A7929" w:rsidP="00136C4F">
      <w:pPr>
        <w:pStyle w:val="NoSpacing1"/>
        <w:jc w:val="both"/>
        <w:rPr>
          <w:color w:val="000000"/>
          <w:szCs w:val="24"/>
        </w:rPr>
      </w:pPr>
    </w:p>
    <w:p w:rsidR="009A7929" w:rsidRPr="001737A6" w:rsidRDefault="009A7929" w:rsidP="001737A6">
      <w:pPr>
        <w:pStyle w:val="FootnoteText"/>
        <w:rPr>
          <w:b/>
          <w:i/>
          <w:color w:val="000000"/>
          <w:sz w:val="22"/>
          <w:szCs w:val="22"/>
          <w:lang w:val="hr-HR"/>
        </w:rPr>
      </w:pPr>
      <w:r w:rsidRPr="001737A6">
        <w:rPr>
          <w:b/>
          <w:i/>
          <w:color w:val="000000"/>
          <w:sz w:val="22"/>
          <w:szCs w:val="22"/>
          <w:lang w:val="hr-HR"/>
        </w:rPr>
        <w:t>Tablica 5. Ostvarenje ukupnih rashoda i izdataka, te ostvarenje rashoda prema vrstama</w:t>
      </w:r>
    </w:p>
    <w:p w:rsidR="009A7929" w:rsidRPr="001737A6" w:rsidRDefault="009A7929" w:rsidP="00B41217">
      <w:pPr>
        <w:pStyle w:val="FootnoteText"/>
        <w:rPr>
          <w:b/>
          <w:i/>
          <w:color w:val="000000"/>
          <w:sz w:val="22"/>
          <w:szCs w:val="22"/>
          <w:lang w:val="hr-HR"/>
        </w:rPr>
      </w:pPr>
      <w:r w:rsidRPr="001737A6">
        <w:rPr>
          <w:b/>
          <w:i/>
          <w:color w:val="000000"/>
          <w:sz w:val="22"/>
          <w:szCs w:val="22"/>
        </w:rPr>
        <w:t>(u kn bez lp)</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76"/>
        <w:gridCol w:w="1134"/>
        <w:gridCol w:w="1276"/>
        <w:gridCol w:w="1134"/>
        <w:gridCol w:w="1276"/>
        <w:gridCol w:w="1275"/>
        <w:gridCol w:w="1418"/>
      </w:tblGrid>
      <w:tr w:rsidR="009A7929" w:rsidRPr="007D77CE" w:rsidTr="00E53E08">
        <w:trPr>
          <w:trHeight w:val="523"/>
        </w:trPr>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Rashodi i izdatci za 2014.</w:t>
            </w:r>
          </w:p>
        </w:tc>
        <w:tc>
          <w:tcPr>
            <w:tcW w:w="1134" w:type="dxa"/>
            <w:tcBorders>
              <w:top w:val="double" w:sz="4" w:space="0" w:color="auto"/>
            </w:tcBorders>
            <w:shd w:val="clear" w:color="auto" w:fill="DBE5F1"/>
          </w:tcPr>
          <w:p w:rsidR="009A7929" w:rsidRPr="001A3C76" w:rsidRDefault="009A7929" w:rsidP="001A3C76">
            <w:pPr>
              <w:pStyle w:val="NoSpacing1"/>
              <w:rPr>
                <w:sz w:val="20"/>
                <w:szCs w:val="20"/>
              </w:rPr>
            </w:pPr>
            <w:r w:rsidRPr="001A3C76">
              <w:rPr>
                <w:sz w:val="20"/>
                <w:szCs w:val="20"/>
              </w:rPr>
              <w:t>Medicinski fakultet, Osijek</w:t>
            </w:r>
          </w:p>
        </w:tc>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Medicinski fakultet, Rijeka</w:t>
            </w:r>
          </w:p>
        </w:tc>
        <w:tc>
          <w:tcPr>
            <w:tcW w:w="1134"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Medicinski fakultet, Split</w:t>
            </w:r>
          </w:p>
        </w:tc>
        <w:tc>
          <w:tcPr>
            <w:tcW w:w="1276"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Medicinski fakultet, Zagreb</w:t>
            </w:r>
          </w:p>
        </w:tc>
        <w:tc>
          <w:tcPr>
            <w:tcW w:w="1275" w:type="dxa"/>
            <w:tcBorders>
              <w:top w:val="double" w:sz="4" w:space="0" w:color="auto"/>
            </w:tcBorders>
            <w:shd w:val="clear" w:color="auto" w:fill="DBE5F1"/>
            <w:vAlign w:val="center"/>
          </w:tcPr>
          <w:p w:rsidR="009A7929" w:rsidRPr="001A3C76" w:rsidRDefault="009A7929" w:rsidP="001A3C76">
            <w:pPr>
              <w:pStyle w:val="NoSpacing1"/>
              <w:rPr>
                <w:sz w:val="20"/>
                <w:szCs w:val="20"/>
              </w:rPr>
            </w:pPr>
            <w:r w:rsidRPr="001A3C76">
              <w:rPr>
                <w:sz w:val="20"/>
                <w:szCs w:val="20"/>
              </w:rPr>
              <w:t>Ukupno medicinski fakulteti</w:t>
            </w:r>
          </w:p>
        </w:tc>
        <w:tc>
          <w:tcPr>
            <w:tcW w:w="1418" w:type="dxa"/>
            <w:tcBorders>
              <w:top w:val="double" w:sz="4" w:space="0" w:color="auto"/>
            </w:tcBorders>
            <w:shd w:val="clear" w:color="auto" w:fill="DBE5F1"/>
            <w:noWrap/>
            <w:vAlign w:val="center"/>
          </w:tcPr>
          <w:p w:rsidR="009A7929" w:rsidRPr="001A3C76" w:rsidRDefault="009A7929" w:rsidP="001A3C76">
            <w:pPr>
              <w:pStyle w:val="NoSpacing1"/>
              <w:rPr>
                <w:sz w:val="20"/>
                <w:szCs w:val="20"/>
              </w:rPr>
            </w:pPr>
            <w:r w:rsidRPr="001A3C76">
              <w:rPr>
                <w:sz w:val="20"/>
                <w:szCs w:val="20"/>
              </w:rPr>
              <w:t>Ukupno 68 visokih učilišta</w:t>
            </w:r>
          </w:p>
        </w:tc>
      </w:tr>
      <w:tr w:rsidR="009A7929" w:rsidRPr="007D77CE" w:rsidTr="00E53E08">
        <w:trPr>
          <w:trHeight w:val="110"/>
        </w:trPr>
        <w:tc>
          <w:tcPr>
            <w:tcW w:w="1276" w:type="dxa"/>
          </w:tcPr>
          <w:p w:rsidR="009A7929" w:rsidRPr="001A3C76" w:rsidRDefault="009A7929" w:rsidP="001A3C76">
            <w:pPr>
              <w:pStyle w:val="NoSpacing1"/>
              <w:jc w:val="center"/>
              <w:rPr>
                <w:sz w:val="18"/>
                <w:szCs w:val="18"/>
              </w:rPr>
            </w:pPr>
            <w:r w:rsidRPr="001A3C76">
              <w:rPr>
                <w:sz w:val="18"/>
                <w:szCs w:val="18"/>
              </w:rPr>
              <w:t>1</w:t>
            </w:r>
          </w:p>
        </w:tc>
        <w:tc>
          <w:tcPr>
            <w:tcW w:w="1134" w:type="dxa"/>
          </w:tcPr>
          <w:p w:rsidR="009A7929" w:rsidRPr="001A3C76" w:rsidRDefault="009A7929" w:rsidP="001A3C76">
            <w:pPr>
              <w:pStyle w:val="NoSpacing1"/>
              <w:jc w:val="center"/>
              <w:rPr>
                <w:sz w:val="18"/>
                <w:szCs w:val="18"/>
              </w:rPr>
            </w:pPr>
            <w:r w:rsidRPr="001A3C76">
              <w:rPr>
                <w:sz w:val="18"/>
                <w:szCs w:val="18"/>
              </w:rPr>
              <w:t>2</w:t>
            </w:r>
          </w:p>
        </w:tc>
        <w:tc>
          <w:tcPr>
            <w:tcW w:w="1276" w:type="dxa"/>
          </w:tcPr>
          <w:p w:rsidR="009A7929" w:rsidRPr="001A3C76" w:rsidRDefault="009A7929" w:rsidP="001A3C76">
            <w:pPr>
              <w:pStyle w:val="NoSpacing1"/>
              <w:jc w:val="center"/>
              <w:rPr>
                <w:sz w:val="18"/>
                <w:szCs w:val="18"/>
              </w:rPr>
            </w:pPr>
            <w:r w:rsidRPr="001A3C76">
              <w:rPr>
                <w:sz w:val="18"/>
                <w:szCs w:val="18"/>
              </w:rPr>
              <w:t>3</w:t>
            </w:r>
          </w:p>
        </w:tc>
        <w:tc>
          <w:tcPr>
            <w:tcW w:w="1134" w:type="dxa"/>
          </w:tcPr>
          <w:p w:rsidR="009A7929" w:rsidRPr="001A3C76" w:rsidRDefault="009A7929" w:rsidP="001A3C76">
            <w:pPr>
              <w:pStyle w:val="NoSpacing1"/>
              <w:jc w:val="center"/>
              <w:rPr>
                <w:sz w:val="18"/>
                <w:szCs w:val="18"/>
              </w:rPr>
            </w:pPr>
            <w:r w:rsidRPr="001A3C76">
              <w:rPr>
                <w:sz w:val="18"/>
                <w:szCs w:val="18"/>
              </w:rPr>
              <w:t>4</w:t>
            </w:r>
          </w:p>
        </w:tc>
        <w:tc>
          <w:tcPr>
            <w:tcW w:w="1276" w:type="dxa"/>
          </w:tcPr>
          <w:p w:rsidR="009A7929" w:rsidRPr="001A3C76" w:rsidRDefault="009A7929" w:rsidP="001A3C76">
            <w:pPr>
              <w:pStyle w:val="NoSpacing1"/>
              <w:jc w:val="center"/>
              <w:rPr>
                <w:sz w:val="18"/>
                <w:szCs w:val="18"/>
              </w:rPr>
            </w:pPr>
            <w:r w:rsidRPr="001A3C76">
              <w:rPr>
                <w:sz w:val="18"/>
                <w:szCs w:val="18"/>
              </w:rPr>
              <w:t>5</w:t>
            </w:r>
          </w:p>
        </w:tc>
        <w:tc>
          <w:tcPr>
            <w:tcW w:w="1275" w:type="dxa"/>
          </w:tcPr>
          <w:p w:rsidR="009A7929" w:rsidRPr="001A3C76" w:rsidRDefault="009A7929" w:rsidP="001A3C76">
            <w:pPr>
              <w:pStyle w:val="NoSpacing1"/>
              <w:jc w:val="center"/>
              <w:rPr>
                <w:sz w:val="18"/>
                <w:szCs w:val="18"/>
              </w:rPr>
            </w:pPr>
            <w:r w:rsidRPr="001A3C76">
              <w:rPr>
                <w:sz w:val="18"/>
                <w:szCs w:val="18"/>
              </w:rPr>
              <w:t>6</w:t>
            </w:r>
          </w:p>
        </w:tc>
        <w:tc>
          <w:tcPr>
            <w:tcW w:w="1418" w:type="dxa"/>
            <w:noWrap/>
          </w:tcPr>
          <w:p w:rsidR="009A7929" w:rsidRPr="001A3C76" w:rsidRDefault="009A7929" w:rsidP="001A3C76">
            <w:pPr>
              <w:pStyle w:val="NoSpacing1"/>
              <w:jc w:val="center"/>
              <w:rPr>
                <w:sz w:val="18"/>
                <w:szCs w:val="18"/>
              </w:rPr>
            </w:pPr>
            <w:r w:rsidRPr="001A3C76">
              <w:rPr>
                <w:sz w:val="18"/>
                <w:szCs w:val="18"/>
              </w:rPr>
              <w:t>7</w:t>
            </w:r>
          </w:p>
        </w:tc>
      </w:tr>
      <w:tr w:rsidR="009A7929" w:rsidRPr="007D77CE" w:rsidTr="00E53E08">
        <w:trPr>
          <w:trHeight w:val="156"/>
        </w:trPr>
        <w:tc>
          <w:tcPr>
            <w:tcW w:w="1276" w:type="dxa"/>
          </w:tcPr>
          <w:p w:rsidR="009A7929" w:rsidRPr="001A3C76" w:rsidRDefault="009A7929" w:rsidP="001A3C76">
            <w:pPr>
              <w:pStyle w:val="NoSpacing1"/>
              <w:rPr>
                <w:sz w:val="20"/>
                <w:szCs w:val="20"/>
              </w:rPr>
            </w:pPr>
            <w:r w:rsidRPr="001A3C76">
              <w:rPr>
                <w:sz w:val="20"/>
                <w:szCs w:val="20"/>
              </w:rPr>
              <w:t>Rashodi za zaposlene</w:t>
            </w:r>
          </w:p>
        </w:tc>
        <w:tc>
          <w:tcPr>
            <w:tcW w:w="1134" w:type="dxa"/>
            <w:vAlign w:val="center"/>
          </w:tcPr>
          <w:p w:rsidR="009A7929" w:rsidRPr="001A3C76" w:rsidRDefault="009A7929" w:rsidP="001737A6">
            <w:pPr>
              <w:pStyle w:val="NoSpacing1"/>
              <w:jc w:val="right"/>
              <w:rPr>
                <w:sz w:val="20"/>
                <w:szCs w:val="20"/>
              </w:rPr>
            </w:pPr>
            <w:r w:rsidRPr="001A3C76">
              <w:rPr>
                <w:sz w:val="20"/>
                <w:szCs w:val="20"/>
              </w:rPr>
              <w:t>20.620.754</w:t>
            </w:r>
          </w:p>
        </w:tc>
        <w:tc>
          <w:tcPr>
            <w:tcW w:w="1276" w:type="dxa"/>
            <w:vAlign w:val="center"/>
          </w:tcPr>
          <w:p w:rsidR="009A7929" w:rsidRPr="001A3C76" w:rsidRDefault="009A7929" w:rsidP="001737A6">
            <w:pPr>
              <w:pStyle w:val="NoSpacing1"/>
              <w:jc w:val="right"/>
              <w:rPr>
                <w:sz w:val="20"/>
                <w:szCs w:val="20"/>
              </w:rPr>
            </w:pPr>
            <w:r w:rsidRPr="001A3C76">
              <w:rPr>
                <w:sz w:val="20"/>
                <w:szCs w:val="20"/>
              </w:rPr>
              <w:t>74.759.454</w:t>
            </w:r>
          </w:p>
        </w:tc>
        <w:tc>
          <w:tcPr>
            <w:tcW w:w="1134" w:type="dxa"/>
            <w:vAlign w:val="center"/>
          </w:tcPr>
          <w:p w:rsidR="009A7929" w:rsidRPr="001A3C76" w:rsidRDefault="009A7929" w:rsidP="001737A6">
            <w:pPr>
              <w:pStyle w:val="NoSpacing1"/>
              <w:jc w:val="right"/>
              <w:rPr>
                <w:sz w:val="20"/>
                <w:szCs w:val="20"/>
              </w:rPr>
            </w:pPr>
            <w:r w:rsidRPr="001A3C76">
              <w:rPr>
                <w:sz w:val="20"/>
                <w:szCs w:val="20"/>
              </w:rPr>
              <w:t xml:space="preserve">27.116.794 </w:t>
            </w:r>
          </w:p>
        </w:tc>
        <w:tc>
          <w:tcPr>
            <w:tcW w:w="1276" w:type="dxa"/>
            <w:vAlign w:val="center"/>
          </w:tcPr>
          <w:p w:rsidR="009A7929" w:rsidRPr="001A3C76" w:rsidRDefault="009A7929" w:rsidP="001737A6">
            <w:pPr>
              <w:pStyle w:val="NoSpacing1"/>
              <w:jc w:val="right"/>
              <w:rPr>
                <w:sz w:val="20"/>
                <w:szCs w:val="20"/>
              </w:rPr>
            </w:pPr>
            <w:r w:rsidRPr="001A3C76">
              <w:rPr>
                <w:sz w:val="20"/>
                <w:szCs w:val="20"/>
              </w:rPr>
              <w:t>122.222.149</w:t>
            </w:r>
          </w:p>
        </w:tc>
        <w:tc>
          <w:tcPr>
            <w:tcW w:w="1275" w:type="dxa"/>
            <w:vAlign w:val="center"/>
          </w:tcPr>
          <w:p w:rsidR="009A7929" w:rsidRPr="001A3C76" w:rsidRDefault="009A7929" w:rsidP="001737A6">
            <w:pPr>
              <w:pStyle w:val="NoSpacing1"/>
              <w:jc w:val="right"/>
              <w:rPr>
                <w:sz w:val="20"/>
                <w:szCs w:val="20"/>
              </w:rPr>
            </w:pPr>
            <w:r w:rsidRPr="001A3C76">
              <w:rPr>
                <w:sz w:val="20"/>
                <w:szCs w:val="20"/>
              </w:rPr>
              <w:t>244.719.151</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 xml:space="preserve">2.409.863.854 </w:t>
            </w:r>
          </w:p>
        </w:tc>
      </w:tr>
      <w:tr w:rsidR="009A7929" w:rsidRPr="007D77CE" w:rsidTr="00E53E08">
        <w:trPr>
          <w:trHeight w:val="156"/>
        </w:trPr>
        <w:tc>
          <w:tcPr>
            <w:tcW w:w="1276" w:type="dxa"/>
          </w:tcPr>
          <w:p w:rsidR="009A7929" w:rsidRPr="001A3C76" w:rsidRDefault="009A7929" w:rsidP="001A3C76">
            <w:pPr>
              <w:pStyle w:val="NoSpacing1"/>
              <w:rPr>
                <w:sz w:val="20"/>
                <w:szCs w:val="20"/>
              </w:rPr>
            </w:pPr>
            <w:r w:rsidRPr="001A3C76">
              <w:rPr>
                <w:sz w:val="20"/>
                <w:szCs w:val="20"/>
              </w:rPr>
              <w:t>Materijalni rashodi</w:t>
            </w:r>
          </w:p>
        </w:tc>
        <w:tc>
          <w:tcPr>
            <w:tcW w:w="1134" w:type="dxa"/>
            <w:vAlign w:val="center"/>
          </w:tcPr>
          <w:p w:rsidR="009A7929" w:rsidRPr="001A3C76" w:rsidRDefault="009A7929" w:rsidP="001737A6">
            <w:pPr>
              <w:pStyle w:val="NoSpacing1"/>
              <w:jc w:val="right"/>
              <w:rPr>
                <w:sz w:val="20"/>
                <w:szCs w:val="20"/>
              </w:rPr>
            </w:pPr>
            <w:r w:rsidRPr="001A3C76">
              <w:rPr>
                <w:sz w:val="20"/>
                <w:szCs w:val="20"/>
              </w:rPr>
              <w:t>9.697.617</w:t>
            </w:r>
          </w:p>
        </w:tc>
        <w:tc>
          <w:tcPr>
            <w:tcW w:w="1276" w:type="dxa"/>
            <w:vAlign w:val="center"/>
          </w:tcPr>
          <w:p w:rsidR="009A7929" w:rsidRPr="001A3C76" w:rsidRDefault="009A7929" w:rsidP="001737A6">
            <w:pPr>
              <w:pStyle w:val="NoSpacing1"/>
              <w:jc w:val="right"/>
              <w:rPr>
                <w:sz w:val="20"/>
                <w:szCs w:val="20"/>
              </w:rPr>
            </w:pPr>
            <w:r w:rsidRPr="001A3C76">
              <w:rPr>
                <w:sz w:val="20"/>
                <w:szCs w:val="20"/>
              </w:rPr>
              <w:t>23.830.940</w:t>
            </w:r>
          </w:p>
        </w:tc>
        <w:tc>
          <w:tcPr>
            <w:tcW w:w="1134" w:type="dxa"/>
            <w:vAlign w:val="center"/>
          </w:tcPr>
          <w:p w:rsidR="009A7929" w:rsidRPr="001A3C76" w:rsidRDefault="009A7929" w:rsidP="001737A6">
            <w:pPr>
              <w:pStyle w:val="NoSpacing1"/>
              <w:jc w:val="right"/>
              <w:rPr>
                <w:sz w:val="20"/>
                <w:szCs w:val="20"/>
              </w:rPr>
            </w:pPr>
            <w:r w:rsidRPr="001A3C76">
              <w:rPr>
                <w:sz w:val="20"/>
                <w:szCs w:val="20"/>
              </w:rPr>
              <w:t>12.041.708</w:t>
            </w:r>
          </w:p>
        </w:tc>
        <w:tc>
          <w:tcPr>
            <w:tcW w:w="1276" w:type="dxa"/>
            <w:vAlign w:val="center"/>
          </w:tcPr>
          <w:p w:rsidR="009A7929" w:rsidRPr="001A3C76" w:rsidRDefault="009A7929" w:rsidP="001737A6">
            <w:pPr>
              <w:pStyle w:val="NoSpacing1"/>
              <w:jc w:val="right"/>
              <w:rPr>
                <w:sz w:val="20"/>
                <w:szCs w:val="20"/>
              </w:rPr>
            </w:pPr>
            <w:r w:rsidRPr="001A3C76">
              <w:rPr>
                <w:sz w:val="20"/>
                <w:szCs w:val="20"/>
              </w:rPr>
              <w:t>39.811.893</w:t>
            </w:r>
          </w:p>
        </w:tc>
        <w:tc>
          <w:tcPr>
            <w:tcW w:w="1275" w:type="dxa"/>
            <w:vAlign w:val="center"/>
          </w:tcPr>
          <w:p w:rsidR="009A7929" w:rsidRPr="001A3C76" w:rsidRDefault="009A7929" w:rsidP="001737A6">
            <w:pPr>
              <w:pStyle w:val="NoSpacing1"/>
              <w:jc w:val="right"/>
              <w:rPr>
                <w:sz w:val="20"/>
                <w:szCs w:val="20"/>
              </w:rPr>
            </w:pPr>
            <w:r w:rsidRPr="001A3C76">
              <w:rPr>
                <w:sz w:val="20"/>
                <w:szCs w:val="20"/>
              </w:rPr>
              <w:t>85.382.158</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 xml:space="preserve">1.045.393.924 </w:t>
            </w:r>
          </w:p>
        </w:tc>
      </w:tr>
      <w:tr w:rsidR="009A7929" w:rsidRPr="007D77CE" w:rsidTr="00E53E08">
        <w:trPr>
          <w:trHeight w:val="156"/>
        </w:trPr>
        <w:tc>
          <w:tcPr>
            <w:tcW w:w="1276" w:type="dxa"/>
          </w:tcPr>
          <w:p w:rsidR="009A7929" w:rsidRPr="001A3C76" w:rsidRDefault="009A7929" w:rsidP="001A3C76">
            <w:pPr>
              <w:pStyle w:val="NoSpacing1"/>
              <w:rPr>
                <w:sz w:val="20"/>
                <w:szCs w:val="20"/>
              </w:rPr>
            </w:pPr>
            <w:r>
              <w:rPr>
                <w:sz w:val="20"/>
                <w:szCs w:val="20"/>
              </w:rPr>
              <w:t xml:space="preserve">Drugi rash. i </w:t>
            </w:r>
            <w:r w:rsidRPr="001A3C76">
              <w:rPr>
                <w:sz w:val="20"/>
                <w:szCs w:val="20"/>
              </w:rPr>
              <w:t>izdaci</w:t>
            </w:r>
          </w:p>
          <w:p w:rsidR="009A7929" w:rsidRPr="001A3C76" w:rsidRDefault="009A7929" w:rsidP="001A3C76">
            <w:pPr>
              <w:pStyle w:val="NoSpacing1"/>
              <w:rPr>
                <w:sz w:val="20"/>
                <w:szCs w:val="20"/>
              </w:rPr>
            </w:pPr>
          </w:p>
        </w:tc>
        <w:tc>
          <w:tcPr>
            <w:tcW w:w="1134" w:type="dxa"/>
            <w:vAlign w:val="center"/>
          </w:tcPr>
          <w:p w:rsidR="009A7929" w:rsidRPr="001A3C76" w:rsidRDefault="009A7929" w:rsidP="001737A6">
            <w:pPr>
              <w:pStyle w:val="NoSpacing1"/>
              <w:jc w:val="right"/>
              <w:rPr>
                <w:sz w:val="20"/>
                <w:szCs w:val="20"/>
              </w:rPr>
            </w:pPr>
            <w:r w:rsidRPr="001A3C76">
              <w:rPr>
                <w:sz w:val="20"/>
                <w:szCs w:val="20"/>
              </w:rPr>
              <w:t>515.864</w:t>
            </w:r>
          </w:p>
        </w:tc>
        <w:tc>
          <w:tcPr>
            <w:tcW w:w="1276" w:type="dxa"/>
            <w:vAlign w:val="center"/>
          </w:tcPr>
          <w:p w:rsidR="009A7929" w:rsidRPr="001A3C76" w:rsidRDefault="009A7929" w:rsidP="001737A6">
            <w:pPr>
              <w:pStyle w:val="NoSpacing1"/>
              <w:jc w:val="right"/>
              <w:rPr>
                <w:sz w:val="20"/>
                <w:szCs w:val="20"/>
              </w:rPr>
            </w:pPr>
            <w:r w:rsidRPr="001A3C76">
              <w:rPr>
                <w:sz w:val="20"/>
                <w:szCs w:val="20"/>
              </w:rPr>
              <w:t>308.750</w:t>
            </w:r>
          </w:p>
        </w:tc>
        <w:tc>
          <w:tcPr>
            <w:tcW w:w="1134" w:type="dxa"/>
            <w:vAlign w:val="center"/>
          </w:tcPr>
          <w:p w:rsidR="009A7929" w:rsidRPr="001A3C76" w:rsidRDefault="009A7929" w:rsidP="001737A6">
            <w:pPr>
              <w:pStyle w:val="NoSpacing1"/>
              <w:jc w:val="right"/>
              <w:rPr>
                <w:sz w:val="20"/>
                <w:szCs w:val="20"/>
              </w:rPr>
            </w:pPr>
            <w:r w:rsidRPr="001A3C76">
              <w:rPr>
                <w:sz w:val="20"/>
                <w:szCs w:val="20"/>
              </w:rPr>
              <w:t>462.333</w:t>
            </w:r>
          </w:p>
        </w:tc>
        <w:tc>
          <w:tcPr>
            <w:tcW w:w="1276" w:type="dxa"/>
            <w:vAlign w:val="center"/>
          </w:tcPr>
          <w:p w:rsidR="009A7929" w:rsidRPr="001A3C76" w:rsidRDefault="009A7929" w:rsidP="001737A6">
            <w:pPr>
              <w:pStyle w:val="NoSpacing1"/>
              <w:jc w:val="right"/>
              <w:rPr>
                <w:sz w:val="20"/>
                <w:szCs w:val="20"/>
              </w:rPr>
            </w:pPr>
            <w:r w:rsidRPr="001A3C76">
              <w:rPr>
                <w:sz w:val="20"/>
                <w:szCs w:val="20"/>
              </w:rPr>
              <w:t>726.644</w:t>
            </w:r>
          </w:p>
        </w:tc>
        <w:tc>
          <w:tcPr>
            <w:tcW w:w="1275" w:type="dxa"/>
            <w:vAlign w:val="center"/>
          </w:tcPr>
          <w:p w:rsidR="009A7929" w:rsidRPr="001A3C76" w:rsidRDefault="009A7929" w:rsidP="001737A6">
            <w:pPr>
              <w:pStyle w:val="NoSpacing1"/>
              <w:jc w:val="right"/>
              <w:rPr>
                <w:sz w:val="20"/>
                <w:szCs w:val="20"/>
              </w:rPr>
            </w:pPr>
            <w:r w:rsidRPr="001A3C76">
              <w:rPr>
                <w:sz w:val="20"/>
                <w:szCs w:val="20"/>
              </w:rPr>
              <w:t>2.013.591</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175.111.776</w:t>
            </w:r>
          </w:p>
        </w:tc>
      </w:tr>
      <w:tr w:rsidR="009A7929" w:rsidRPr="007D77CE" w:rsidTr="00E53E08">
        <w:trPr>
          <w:trHeight w:val="156"/>
        </w:trPr>
        <w:tc>
          <w:tcPr>
            <w:tcW w:w="1276" w:type="dxa"/>
          </w:tcPr>
          <w:p w:rsidR="009A7929" w:rsidRPr="001A3C76" w:rsidRDefault="009A7929" w:rsidP="001A3C76">
            <w:pPr>
              <w:pStyle w:val="NoSpacing1"/>
              <w:rPr>
                <w:sz w:val="20"/>
                <w:szCs w:val="20"/>
              </w:rPr>
            </w:pPr>
            <w:r w:rsidRPr="001A3C76">
              <w:rPr>
                <w:sz w:val="20"/>
                <w:szCs w:val="20"/>
              </w:rPr>
              <w:t>Rashodi za nabavu nefinancijske imovine</w:t>
            </w:r>
          </w:p>
        </w:tc>
        <w:tc>
          <w:tcPr>
            <w:tcW w:w="1134" w:type="dxa"/>
            <w:vAlign w:val="center"/>
          </w:tcPr>
          <w:p w:rsidR="009A7929" w:rsidRPr="001A3C76" w:rsidRDefault="009A7929" w:rsidP="001737A6">
            <w:pPr>
              <w:pStyle w:val="NoSpacing1"/>
              <w:jc w:val="right"/>
              <w:rPr>
                <w:sz w:val="20"/>
                <w:szCs w:val="20"/>
              </w:rPr>
            </w:pPr>
            <w:r w:rsidRPr="001A3C76">
              <w:rPr>
                <w:sz w:val="20"/>
                <w:szCs w:val="20"/>
              </w:rPr>
              <w:t>1.228.616</w:t>
            </w:r>
          </w:p>
        </w:tc>
        <w:tc>
          <w:tcPr>
            <w:tcW w:w="1276" w:type="dxa"/>
            <w:vAlign w:val="center"/>
          </w:tcPr>
          <w:p w:rsidR="009A7929" w:rsidRPr="001A3C76" w:rsidRDefault="009A7929" w:rsidP="001737A6">
            <w:pPr>
              <w:pStyle w:val="NoSpacing1"/>
              <w:jc w:val="right"/>
              <w:rPr>
                <w:sz w:val="20"/>
                <w:szCs w:val="20"/>
              </w:rPr>
            </w:pPr>
            <w:r w:rsidRPr="001A3C76">
              <w:rPr>
                <w:sz w:val="20"/>
                <w:szCs w:val="20"/>
              </w:rPr>
              <w:t>4.055.255</w:t>
            </w:r>
          </w:p>
        </w:tc>
        <w:tc>
          <w:tcPr>
            <w:tcW w:w="1134" w:type="dxa"/>
            <w:vAlign w:val="center"/>
          </w:tcPr>
          <w:p w:rsidR="009A7929" w:rsidRPr="001A3C76" w:rsidRDefault="009A7929" w:rsidP="001737A6">
            <w:pPr>
              <w:pStyle w:val="NoSpacing1"/>
              <w:jc w:val="right"/>
              <w:rPr>
                <w:sz w:val="20"/>
                <w:szCs w:val="20"/>
              </w:rPr>
            </w:pPr>
            <w:r w:rsidRPr="001A3C76">
              <w:rPr>
                <w:sz w:val="20"/>
                <w:szCs w:val="20"/>
              </w:rPr>
              <w:t>5.191.375</w:t>
            </w:r>
          </w:p>
        </w:tc>
        <w:tc>
          <w:tcPr>
            <w:tcW w:w="1276" w:type="dxa"/>
            <w:vAlign w:val="center"/>
          </w:tcPr>
          <w:p w:rsidR="009A7929" w:rsidRPr="001A3C76" w:rsidRDefault="009A7929" w:rsidP="001737A6">
            <w:pPr>
              <w:pStyle w:val="NoSpacing1"/>
              <w:jc w:val="right"/>
              <w:rPr>
                <w:sz w:val="20"/>
                <w:szCs w:val="20"/>
              </w:rPr>
            </w:pPr>
            <w:r w:rsidRPr="001A3C76">
              <w:rPr>
                <w:sz w:val="20"/>
                <w:szCs w:val="20"/>
              </w:rPr>
              <w:t>9.625.269</w:t>
            </w:r>
          </w:p>
        </w:tc>
        <w:tc>
          <w:tcPr>
            <w:tcW w:w="1275" w:type="dxa"/>
            <w:vAlign w:val="center"/>
          </w:tcPr>
          <w:p w:rsidR="009A7929" w:rsidRPr="001A3C76" w:rsidRDefault="009A7929" w:rsidP="001737A6">
            <w:pPr>
              <w:pStyle w:val="NoSpacing1"/>
              <w:jc w:val="right"/>
              <w:rPr>
                <w:sz w:val="20"/>
                <w:szCs w:val="20"/>
              </w:rPr>
            </w:pPr>
            <w:r w:rsidRPr="001A3C76">
              <w:rPr>
                <w:sz w:val="20"/>
                <w:szCs w:val="20"/>
              </w:rPr>
              <w:t>20.100.515</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340.990.559</w:t>
            </w:r>
          </w:p>
        </w:tc>
      </w:tr>
      <w:tr w:rsidR="009A7929" w:rsidRPr="007D77CE" w:rsidTr="00E53E08">
        <w:trPr>
          <w:trHeight w:val="165"/>
        </w:trPr>
        <w:tc>
          <w:tcPr>
            <w:tcW w:w="1276" w:type="dxa"/>
          </w:tcPr>
          <w:p w:rsidR="009A7929" w:rsidRPr="001A3C76" w:rsidRDefault="009A7929" w:rsidP="001A3C76">
            <w:pPr>
              <w:pStyle w:val="NoSpacing1"/>
              <w:rPr>
                <w:sz w:val="20"/>
                <w:szCs w:val="20"/>
              </w:rPr>
            </w:pPr>
            <w:r w:rsidRPr="001A3C76">
              <w:rPr>
                <w:sz w:val="20"/>
                <w:szCs w:val="20"/>
              </w:rPr>
              <w:t>Ukupno</w:t>
            </w:r>
          </w:p>
        </w:tc>
        <w:tc>
          <w:tcPr>
            <w:tcW w:w="1134" w:type="dxa"/>
            <w:vAlign w:val="center"/>
          </w:tcPr>
          <w:p w:rsidR="009A7929" w:rsidRPr="001A3C76" w:rsidRDefault="009A7929" w:rsidP="001737A6">
            <w:pPr>
              <w:pStyle w:val="NoSpacing1"/>
              <w:jc w:val="right"/>
              <w:rPr>
                <w:sz w:val="20"/>
                <w:szCs w:val="20"/>
              </w:rPr>
            </w:pPr>
            <w:r w:rsidRPr="001A3C76">
              <w:rPr>
                <w:sz w:val="20"/>
                <w:szCs w:val="20"/>
              </w:rPr>
              <w:t>32.062.851</w:t>
            </w:r>
          </w:p>
        </w:tc>
        <w:tc>
          <w:tcPr>
            <w:tcW w:w="1276" w:type="dxa"/>
            <w:vAlign w:val="center"/>
          </w:tcPr>
          <w:p w:rsidR="009A7929" w:rsidRPr="001A3C76" w:rsidRDefault="009A7929" w:rsidP="001737A6">
            <w:pPr>
              <w:pStyle w:val="NoSpacing1"/>
              <w:jc w:val="right"/>
              <w:rPr>
                <w:sz w:val="20"/>
                <w:szCs w:val="20"/>
              </w:rPr>
            </w:pPr>
            <w:r w:rsidRPr="001A3C76">
              <w:rPr>
                <w:sz w:val="20"/>
                <w:szCs w:val="20"/>
              </w:rPr>
              <w:t xml:space="preserve">102.954.399 </w:t>
            </w:r>
          </w:p>
        </w:tc>
        <w:tc>
          <w:tcPr>
            <w:tcW w:w="1134" w:type="dxa"/>
            <w:vAlign w:val="center"/>
          </w:tcPr>
          <w:p w:rsidR="009A7929" w:rsidRPr="001A3C76" w:rsidRDefault="009A7929" w:rsidP="001737A6">
            <w:pPr>
              <w:pStyle w:val="NoSpacing1"/>
              <w:jc w:val="right"/>
              <w:rPr>
                <w:sz w:val="20"/>
                <w:szCs w:val="20"/>
              </w:rPr>
            </w:pPr>
            <w:r w:rsidRPr="001A3C76">
              <w:rPr>
                <w:sz w:val="20"/>
                <w:szCs w:val="20"/>
              </w:rPr>
              <w:t xml:space="preserve">44.812.210 </w:t>
            </w:r>
          </w:p>
        </w:tc>
        <w:tc>
          <w:tcPr>
            <w:tcW w:w="1276" w:type="dxa"/>
            <w:vAlign w:val="center"/>
          </w:tcPr>
          <w:p w:rsidR="009A7929" w:rsidRPr="001A3C76" w:rsidRDefault="009A7929" w:rsidP="001737A6">
            <w:pPr>
              <w:pStyle w:val="NoSpacing1"/>
              <w:jc w:val="right"/>
              <w:rPr>
                <w:sz w:val="20"/>
                <w:szCs w:val="20"/>
              </w:rPr>
            </w:pPr>
            <w:r w:rsidRPr="001A3C76">
              <w:rPr>
                <w:sz w:val="20"/>
                <w:szCs w:val="20"/>
              </w:rPr>
              <w:t>172.385.955</w:t>
            </w:r>
          </w:p>
        </w:tc>
        <w:tc>
          <w:tcPr>
            <w:tcW w:w="1275" w:type="dxa"/>
            <w:vAlign w:val="center"/>
          </w:tcPr>
          <w:p w:rsidR="009A7929" w:rsidRPr="001A3C76" w:rsidRDefault="009A7929" w:rsidP="001737A6">
            <w:pPr>
              <w:pStyle w:val="NoSpacing1"/>
              <w:jc w:val="right"/>
              <w:rPr>
                <w:sz w:val="20"/>
                <w:szCs w:val="20"/>
              </w:rPr>
            </w:pPr>
            <w:r w:rsidRPr="001A3C76">
              <w:rPr>
                <w:sz w:val="20"/>
                <w:szCs w:val="20"/>
              </w:rPr>
              <w:t>352.215.415</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 xml:space="preserve">3.971.360.113 </w:t>
            </w:r>
          </w:p>
        </w:tc>
      </w:tr>
      <w:tr w:rsidR="009A7929" w:rsidRPr="007D77CE" w:rsidTr="00E53E08">
        <w:trPr>
          <w:trHeight w:val="498"/>
        </w:trPr>
        <w:tc>
          <w:tcPr>
            <w:tcW w:w="1276" w:type="dxa"/>
          </w:tcPr>
          <w:p w:rsidR="009A7929" w:rsidRPr="001A3C76" w:rsidRDefault="009A7929" w:rsidP="001A3C76">
            <w:pPr>
              <w:pStyle w:val="NoSpacing1"/>
              <w:rPr>
                <w:sz w:val="20"/>
                <w:szCs w:val="20"/>
              </w:rPr>
            </w:pPr>
            <w:r w:rsidRPr="001A3C76">
              <w:rPr>
                <w:sz w:val="20"/>
                <w:szCs w:val="20"/>
              </w:rPr>
              <w:t>Rashodi za zaposlene 2009.</w:t>
            </w:r>
          </w:p>
        </w:tc>
        <w:tc>
          <w:tcPr>
            <w:tcW w:w="1134" w:type="dxa"/>
            <w:vAlign w:val="center"/>
          </w:tcPr>
          <w:p w:rsidR="009A7929" w:rsidRPr="001A3C76" w:rsidRDefault="009A7929" w:rsidP="001737A6">
            <w:pPr>
              <w:pStyle w:val="NoSpacing1"/>
              <w:jc w:val="right"/>
              <w:rPr>
                <w:sz w:val="20"/>
                <w:szCs w:val="20"/>
              </w:rPr>
            </w:pPr>
            <w:r w:rsidRPr="001A3C76">
              <w:rPr>
                <w:sz w:val="20"/>
                <w:szCs w:val="20"/>
              </w:rPr>
              <w:t>17.395.525</w:t>
            </w:r>
          </w:p>
        </w:tc>
        <w:tc>
          <w:tcPr>
            <w:tcW w:w="1276" w:type="dxa"/>
            <w:vAlign w:val="center"/>
          </w:tcPr>
          <w:p w:rsidR="009A7929" w:rsidRPr="001A3C76" w:rsidRDefault="009A7929" w:rsidP="001737A6">
            <w:pPr>
              <w:pStyle w:val="NoSpacing1"/>
              <w:jc w:val="right"/>
              <w:rPr>
                <w:sz w:val="20"/>
                <w:szCs w:val="20"/>
              </w:rPr>
            </w:pPr>
            <w:r w:rsidRPr="001A3C76">
              <w:rPr>
                <w:sz w:val="20"/>
                <w:szCs w:val="20"/>
              </w:rPr>
              <w:t>72.108.867</w:t>
            </w:r>
          </w:p>
        </w:tc>
        <w:tc>
          <w:tcPr>
            <w:tcW w:w="1134" w:type="dxa"/>
            <w:vAlign w:val="center"/>
          </w:tcPr>
          <w:p w:rsidR="009A7929" w:rsidRPr="001A3C76" w:rsidRDefault="009A7929" w:rsidP="001737A6">
            <w:pPr>
              <w:pStyle w:val="NoSpacing1"/>
              <w:jc w:val="right"/>
              <w:rPr>
                <w:sz w:val="20"/>
                <w:szCs w:val="20"/>
              </w:rPr>
            </w:pPr>
            <w:r w:rsidRPr="001A3C76">
              <w:rPr>
                <w:sz w:val="20"/>
                <w:szCs w:val="20"/>
              </w:rPr>
              <w:t>21.620.168</w:t>
            </w:r>
          </w:p>
        </w:tc>
        <w:tc>
          <w:tcPr>
            <w:tcW w:w="1276" w:type="dxa"/>
            <w:vAlign w:val="center"/>
          </w:tcPr>
          <w:p w:rsidR="009A7929" w:rsidRPr="001A3C76" w:rsidRDefault="009A7929" w:rsidP="001737A6">
            <w:pPr>
              <w:pStyle w:val="NoSpacing1"/>
              <w:jc w:val="right"/>
              <w:rPr>
                <w:sz w:val="20"/>
                <w:szCs w:val="20"/>
              </w:rPr>
            </w:pPr>
            <w:r w:rsidRPr="001A3C76">
              <w:rPr>
                <w:sz w:val="20"/>
                <w:szCs w:val="20"/>
              </w:rPr>
              <w:t>109.753.032</w:t>
            </w:r>
          </w:p>
        </w:tc>
        <w:tc>
          <w:tcPr>
            <w:tcW w:w="1275" w:type="dxa"/>
            <w:vAlign w:val="center"/>
          </w:tcPr>
          <w:p w:rsidR="009A7929" w:rsidRPr="001A3C76" w:rsidRDefault="009A7929" w:rsidP="001737A6">
            <w:pPr>
              <w:pStyle w:val="NoSpacing1"/>
              <w:jc w:val="right"/>
              <w:rPr>
                <w:sz w:val="20"/>
                <w:szCs w:val="20"/>
              </w:rPr>
            </w:pPr>
            <w:r w:rsidRPr="001A3C76">
              <w:rPr>
                <w:sz w:val="20"/>
                <w:szCs w:val="20"/>
              </w:rPr>
              <w:t>220.877.592</w:t>
            </w:r>
          </w:p>
        </w:tc>
        <w:tc>
          <w:tcPr>
            <w:tcW w:w="1418" w:type="dxa"/>
            <w:noWrap/>
            <w:vAlign w:val="center"/>
          </w:tcPr>
          <w:p w:rsidR="009A7929" w:rsidRPr="001A3C76" w:rsidRDefault="009A7929" w:rsidP="001737A6">
            <w:pPr>
              <w:pStyle w:val="NoSpacing1"/>
              <w:jc w:val="right"/>
              <w:rPr>
                <w:sz w:val="20"/>
                <w:szCs w:val="20"/>
              </w:rPr>
            </w:pPr>
            <w:r w:rsidRPr="001A3C76">
              <w:rPr>
                <w:sz w:val="20"/>
                <w:szCs w:val="20"/>
              </w:rPr>
              <w:t>-</w:t>
            </w:r>
          </w:p>
        </w:tc>
      </w:tr>
      <w:tr w:rsidR="009A7929" w:rsidRPr="007D77CE" w:rsidTr="00E53E08">
        <w:trPr>
          <w:trHeight w:val="777"/>
        </w:trPr>
        <w:tc>
          <w:tcPr>
            <w:tcW w:w="1276" w:type="dxa"/>
            <w:tcBorders>
              <w:bottom w:val="double" w:sz="4" w:space="0" w:color="auto"/>
            </w:tcBorders>
          </w:tcPr>
          <w:p w:rsidR="009A7929" w:rsidRPr="001A3C76" w:rsidRDefault="009A7929" w:rsidP="00E53E08">
            <w:pPr>
              <w:pStyle w:val="NoSpacing1"/>
              <w:rPr>
                <w:sz w:val="20"/>
                <w:szCs w:val="20"/>
              </w:rPr>
            </w:pPr>
            <w:r w:rsidRPr="001A3C76">
              <w:rPr>
                <w:sz w:val="20"/>
                <w:szCs w:val="20"/>
              </w:rPr>
              <w:t>Indeks rash</w:t>
            </w:r>
            <w:r>
              <w:rPr>
                <w:sz w:val="20"/>
                <w:szCs w:val="20"/>
              </w:rPr>
              <w:t>. za zaposlene 2014/2009</w:t>
            </w:r>
          </w:p>
        </w:tc>
        <w:tc>
          <w:tcPr>
            <w:tcW w:w="1134"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118,5</w:t>
            </w:r>
          </w:p>
        </w:tc>
        <w:tc>
          <w:tcPr>
            <w:tcW w:w="1276"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103,7</w:t>
            </w:r>
          </w:p>
        </w:tc>
        <w:tc>
          <w:tcPr>
            <w:tcW w:w="1134"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125,4</w:t>
            </w:r>
          </w:p>
        </w:tc>
        <w:tc>
          <w:tcPr>
            <w:tcW w:w="1276"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111,4</w:t>
            </w:r>
          </w:p>
        </w:tc>
        <w:tc>
          <w:tcPr>
            <w:tcW w:w="1275" w:type="dxa"/>
            <w:tcBorders>
              <w:bottom w:val="double" w:sz="4" w:space="0" w:color="auto"/>
            </w:tcBorders>
            <w:vAlign w:val="center"/>
          </w:tcPr>
          <w:p w:rsidR="009A7929" w:rsidRPr="001A3C76" w:rsidRDefault="009A7929" w:rsidP="001737A6">
            <w:pPr>
              <w:pStyle w:val="NoSpacing1"/>
              <w:jc w:val="right"/>
              <w:rPr>
                <w:sz w:val="20"/>
                <w:szCs w:val="20"/>
              </w:rPr>
            </w:pPr>
            <w:r w:rsidRPr="001A3C76">
              <w:rPr>
                <w:sz w:val="20"/>
                <w:szCs w:val="20"/>
              </w:rPr>
              <w:t>110,8</w:t>
            </w:r>
          </w:p>
        </w:tc>
        <w:tc>
          <w:tcPr>
            <w:tcW w:w="1418" w:type="dxa"/>
            <w:tcBorders>
              <w:bottom w:val="double" w:sz="4" w:space="0" w:color="auto"/>
            </w:tcBorders>
            <w:noWrap/>
            <w:vAlign w:val="center"/>
          </w:tcPr>
          <w:p w:rsidR="009A7929" w:rsidRPr="001A3C76" w:rsidRDefault="009A7929" w:rsidP="001737A6">
            <w:pPr>
              <w:pStyle w:val="NoSpacing1"/>
              <w:jc w:val="right"/>
              <w:rPr>
                <w:sz w:val="20"/>
                <w:szCs w:val="20"/>
              </w:rPr>
            </w:pPr>
            <w:r w:rsidRPr="001A3C76">
              <w:rPr>
                <w:sz w:val="20"/>
                <w:szCs w:val="20"/>
              </w:rPr>
              <w:t>-</w:t>
            </w:r>
          </w:p>
        </w:tc>
      </w:tr>
    </w:tbl>
    <w:p w:rsidR="009A7929" w:rsidRPr="001A3C76" w:rsidRDefault="009A7929" w:rsidP="001A3C76">
      <w:pPr>
        <w:pStyle w:val="FootnoteText"/>
        <w:jc w:val="both"/>
        <w:rPr>
          <w:color w:val="000000"/>
          <w:sz w:val="18"/>
          <w:szCs w:val="18"/>
          <w:lang w:val="hr-HR"/>
        </w:rPr>
      </w:pPr>
      <w:r w:rsidRPr="001A3C76">
        <w:rPr>
          <w:color w:val="000000"/>
          <w:sz w:val="18"/>
          <w:szCs w:val="18"/>
          <w:lang w:val="hr-HR"/>
        </w:rPr>
        <w:t>Izvor:Izradaautora prema podatcima iz Izvješća o obavljenoj financijskoj reviziji visokih učilišta za 2014. i pojedinačnih izvješća za svaki od fakulteta za 2014. i 2009., (</w:t>
      </w:r>
      <w:hyperlink r:id="rId16" w:history="1">
        <w:r w:rsidRPr="001A3C76">
          <w:rPr>
            <w:rStyle w:val="Hyperlink"/>
            <w:sz w:val="18"/>
            <w:szCs w:val="18"/>
            <w:lang w:val="hr-HR"/>
          </w:rPr>
          <w:t>http://www.revizija.hr/izvjesca/2016/rr-2016/revizija-visoka-ucilista-2016/visoka-ucilista-skupno/izvjesce-o-obavljenoj-financijskoj-reviziji-visokih-ucilista.pdf</w:t>
        </w:r>
      </w:hyperlink>
      <w:r w:rsidRPr="001A3C76">
        <w:rPr>
          <w:color w:val="000000"/>
          <w:sz w:val="18"/>
          <w:szCs w:val="18"/>
          <w:lang w:val="hr-HR"/>
        </w:rPr>
        <w:t>, dostupno 10. svibnja 2018.)</w:t>
      </w:r>
    </w:p>
    <w:p w:rsidR="009A7929" w:rsidRPr="00B41217" w:rsidRDefault="009A7929" w:rsidP="00136C4F">
      <w:pPr>
        <w:pStyle w:val="NoSpacing1"/>
        <w:jc w:val="both"/>
        <w:rPr>
          <w:color w:val="000000"/>
          <w:sz w:val="20"/>
          <w:szCs w:val="20"/>
        </w:rPr>
      </w:pPr>
    </w:p>
    <w:p w:rsidR="009A7929" w:rsidRPr="00136C4F" w:rsidRDefault="009A7929" w:rsidP="00E53E08">
      <w:pPr>
        <w:pStyle w:val="NoSpacing1"/>
        <w:rPr>
          <w:color w:val="000000"/>
          <w:szCs w:val="24"/>
        </w:rPr>
      </w:pPr>
      <w:r w:rsidRPr="00E53E08">
        <w:rPr>
          <w:b/>
          <w:i/>
          <w:color w:val="000000"/>
          <w:sz w:val="22"/>
        </w:rPr>
        <w:t>Tablica 6. Udjel ostvarenja prihoda i rashoda (u kn bez lp</w:t>
      </w:r>
      <w:r>
        <w:rPr>
          <w:color w:val="000000"/>
          <w:szCs w:val="24"/>
        </w:rPr>
        <w:t>)</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560"/>
        <w:gridCol w:w="994"/>
        <w:gridCol w:w="1234"/>
        <w:gridCol w:w="1234"/>
        <w:gridCol w:w="1357"/>
        <w:gridCol w:w="1134"/>
        <w:gridCol w:w="1276"/>
      </w:tblGrid>
      <w:tr w:rsidR="009A7929" w:rsidRPr="007D77CE" w:rsidTr="00BE6392">
        <w:trPr>
          <w:trHeight w:val="523"/>
        </w:trPr>
        <w:tc>
          <w:tcPr>
            <w:tcW w:w="1560"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Medicinski fakultet</w:t>
            </w:r>
          </w:p>
        </w:tc>
        <w:tc>
          <w:tcPr>
            <w:tcW w:w="994"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Udjel u prihodima 68 visokih učilišta</w:t>
            </w:r>
          </w:p>
        </w:tc>
        <w:tc>
          <w:tcPr>
            <w:tcW w:w="1234"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Udjel u rashodima 68 visokih učilišta</w:t>
            </w:r>
          </w:p>
        </w:tc>
        <w:tc>
          <w:tcPr>
            <w:tcW w:w="1234"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Udjel rashoda za</w:t>
            </w:r>
          </w:p>
          <w:p w:rsidR="009A7929" w:rsidRPr="001A3C76" w:rsidRDefault="009A7929" w:rsidP="001A3C76">
            <w:pPr>
              <w:pStyle w:val="NoSpacing1"/>
              <w:jc w:val="center"/>
              <w:rPr>
                <w:sz w:val="20"/>
                <w:szCs w:val="20"/>
              </w:rPr>
            </w:pPr>
            <w:r w:rsidRPr="001A3C76">
              <w:rPr>
                <w:sz w:val="20"/>
                <w:szCs w:val="20"/>
              </w:rPr>
              <w:t>zaposlene</w:t>
            </w:r>
          </w:p>
        </w:tc>
        <w:tc>
          <w:tcPr>
            <w:tcW w:w="1357"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Udjel materijalnih rashoda</w:t>
            </w:r>
          </w:p>
        </w:tc>
        <w:tc>
          <w:tcPr>
            <w:tcW w:w="1134" w:type="dxa"/>
            <w:tcBorders>
              <w:top w:val="double" w:sz="4" w:space="0" w:color="auto"/>
            </w:tcBorders>
            <w:shd w:val="clear" w:color="auto" w:fill="DBE5F1"/>
            <w:vAlign w:val="center"/>
          </w:tcPr>
          <w:p w:rsidR="009A7929" w:rsidRPr="001A3C76" w:rsidRDefault="009A7929" w:rsidP="001A3C76">
            <w:pPr>
              <w:pStyle w:val="NoSpacing1"/>
              <w:jc w:val="center"/>
              <w:rPr>
                <w:sz w:val="20"/>
                <w:szCs w:val="20"/>
              </w:rPr>
            </w:pPr>
            <w:r w:rsidRPr="001A3C76">
              <w:rPr>
                <w:sz w:val="20"/>
                <w:szCs w:val="20"/>
              </w:rPr>
              <w:t>Udjel drugih rashoda i izdataka</w:t>
            </w:r>
          </w:p>
        </w:tc>
        <w:tc>
          <w:tcPr>
            <w:tcW w:w="1276" w:type="dxa"/>
            <w:tcBorders>
              <w:top w:val="double" w:sz="4" w:space="0" w:color="auto"/>
            </w:tcBorders>
            <w:shd w:val="clear" w:color="auto" w:fill="DBE5F1"/>
            <w:noWrap/>
            <w:vAlign w:val="center"/>
          </w:tcPr>
          <w:p w:rsidR="009A7929" w:rsidRPr="001A3C76" w:rsidRDefault="009A7929" w:rsidP="001A3C76">
            <w:pPr>
              <w:pStyle w:val="NoSpacing1"/>
              <w:jc w:val="center"/>
              <w:rPr>
                <w:sz w:val="20"/>
                <w:szCs w:val="20"/>
              </w:rPr>
            </w:pPr>
            <w:r w:rsidRPr="001A3C76">
              <w:rPr>
                <w:sz w:val="20"/>
                <w:szCs w:val="20"/>
              </w:rPr>
              <w:t xml:space="preserve">Udjel </w:t>
            </w:r>
            <w:r>
              <w:rPr>
                <w:sz w:val="20"/>
                <w:szCs w:val="20"/>
              </w:rPr>
              <w:t>rashoda za nabavu nefinanc.i</w:t>
            </w:r>
            <w:r w:rsidRPr="001A3C76">
              <w:rPr>
                <w:sz w:val="20"/>
                <w:szCs w:val="20"/>
              </w:rPr>
              <w:t>movine</w:t>
            </w:r>
          </w:p>
        </w:tc>
      </w:tr>
      <w:tr w:rsidR="009A7929" w:rsidRPr="007D77CE" w:rsidTr="00BE6392">
        <w:trPr>
          <w:trHeight w:val="110"/>
        </w:trPr>
        <w:tc>
          <w:tcPr>
            <w:tcW w:w="1560" w:type="dxa"/>
          </w:tcPr>
          <w:p w:rsidR="009A7929" w:rsidRPr="001A3C76" w:rsidRDefault="009A7929" w:rsidP="001A3C76">
            <w:pPr>
              <w:pStyle w:val="NoSpacing1"/>
              <w:jc w:val="center"/>
              <w:rPr>
                <w:sz w:val="18"/>
                <w:szCs w:val="18"/>
              </w:rPr>
            </w:pPr>
            <w:r w:rsidRPr="001A3C76">
              <w:rPr>
                <w:sz w:val="18"/>
                <w:szCs w:val="18"/>
              </w:rPr>
              <w:t>1</w:t>
            </w:r>
          </w:p>
        </w:tc>
        <w:tc>
          <w:tcPr>
            <w:tcW w:w="994" w:type="dxa"/>
          </w:tcPr>
          <w:p w:rsidR="009A7929" w:rsidRPr="001A3C76" w:rsidRDefault="009A7929" w:rsidP="001A3C76">
            <w:pPr>
              <w:pStyle w:val="NoSpacing1"/>
              <w:jc w:val="center"/>
              <w:rPr>
                <w:sz w:val="18"/>
                <w:szCs w:val="18"/>
              </w:rPr>
            </w:pPr>
            <w:r w:rsidRPr="001A3C76">
              <w:rPr>
                <w:sz w:val="18"/>
                <w:szCs w:val="18"/>
              </w:rPr>
              <w:t>2</w:t>
            </w:r>
          </w:p>
        </w:tc>
        <w:tc>
          <w:tcPr>
            <w:tcW w:w="1234" w:type="dxa"/>
          </w:tcPr>
          <w:p w:rsidR="009A7929" w:rsidRPr="001A3C76" w:rsidRDefault="009A7929" w:rsidP="001A3C76">
            <w:pPr>
              <w:pStyle w:val="NoSpacing1"/>
              <w:jc w:val="center"/>
              <w:rPr>
                <w:sz w:val="18"/>
                <w:szCs w:val="18"/>
              </w:rPr>
            </w:pPr>
            <w:r w:rsidRPr="001A3C76">
              <w:rPr>
                <w:sz w:val="18"/>
                <w:szCs w:val="18"/>
              </w:rPr>
              <w:t>3</w:t>
            </w:r>
          </w:p>
        </w:tc>
        <w:tc>
          <w:tcPr>
            <w:tcW w:w="1234" w:type="dxa"/>
          </w:tcPr>
          <w:p w:rsidR="009A7929" w:rsidRPr="001A3C76" w:rsidRDefault="009A7929" w:rsidP="001A3C76">
            <w:pPr>
              <w:pStyle w:val="NoSpacing1"/>
              <w:jc w:val="center"/>
              <w:rPr>
                <w:sz w:val="18"/>
                <w:szCs w:val="18"/>
              </w:rPr>
            </w:pPr>
            <w:r w:rsidRPr="001A3C76">
              <w:rPr>
                <w:sz w:val="18"/>
                <w:szCs w:val="18"/>
              </w:rPr>
              <w:t>4</w:t>
            </w:r>
          </w:p>
        </w:tc>
        <w:tc>
          <w:tcPr>
            <w:tcW w:w="1357" w:type="dxa"/>
          </w:tcPr>
          <w:p w:rsidR="009A7929" w:rsidRPr="001A3C76" w:rsidRDefault="009A7929" w:rsidP="001A3C76">
            <w:pPr>
              <w:pStyle w:val="NoSpacing1"/>
              <w:jc w:val="center"/>
              <w:rPr>
                <w:sz w:val="18"/>
                <w:szCs w:val="18"/>
              </w:rPr>
            </w:pPr>
            <w:r w:rsidRPr="001A3C76">
              <w:rPr>
                <w:sz w:val="18"/>
                <w:szCs w:val="18"/>
              </w:rPr>
              <w:t>5</w:t>
            </w:r>
          </w:p>
        </w:tc>
        <w:tc>
          <w:tcPr>
            <w:tcW w:w="1134" w:type="dxa"/>
          </w:tcPr>
          <w:p w:rsidR="009A7929" w:rsidRPr="001A3C76" w:rsidRDefault="009A7929" w:rsidP="001A3C76">
            <w:pPr>
              <w:pStyle w:val="NoSpacing1"/>
              <w:jc w:val="center"/>
              <w:rPr>
                <w:sz w:val="18"/>
                <w:szCs w:val="18"/>
              </w:rPr>
            </w:pPr>
            <w:r w:rsidRPr="001A3C76">
              <w:rPr>
                <w:sz w:val="18"/>
                <w:szCs w:val="18"/>
              </w:rPr>
              <w:t>6</w:t>
            </w:r>
          </w:p>
        </w:tc>
        <w:tc>
          <w:tcPr>
            <w:tcW w:w="1276" w:type="dxa"/>
            <w:noWrap/>
          </w:tcPr>
          <w:p w:rsidR="009A7929" w:rsidRPr="001A3C76" w:rsidRDefault="009A7929" w:rsidP="001A3C76">
            <w:pPr>
              <w:pStyle w:val="NoSpacing1"/>
              <w:jc w:val="center"/>
              <w:rPr>
                <w:sz w:val="18"/>
                <w:szCs w:val="18"/>
              </w:rPr>
            </w:pPr>
            <w:r w:rsidRPr="001A3C76">
              <w:rPr>
                <w:sz w:val="18"/>
                <w:szCs w:val="18"/>
              </w:rPr>
              <w:t>7</w:t>
            </w:r>
          </w:p>
        </w:tc>
      </w:tr>
      <w:tr w:rsidR="009A7929" w:rsidRPr="007D77CE" w:rsidTr="00BE6392">
        <w:trPr>
          <w:trHeight w:val="156"/>
        </w:trPr>
        <w:tc>
          <w:tcPr>
            <w:tcW w:w="1560" w:type="dxa"/>
          </w:tcPr>
          <w:p w:rsidR="009A7929" w:rsidRPr="001A3C76" w:rsidRDefault="009A7929" w:rsidP="001A3C76">
            <w:pPr>
              <w:pStyle w:val="NoSpacing1"/>
              <w:rPr>
                <w:sz w:val="20"/>
                <w:szCs w:val="20"/>
              </w:rPr>
            </w:pPr>
            <w:r w:rsidRPr="001A3C76">
              <w:rPr>
                <w:sz w:val="20"/>
                <w:szCs w:val="20"/>
              </w:rPr>
              <w:t>Medicinski fakultet, Osijek</w:t>
            </w:r>
          </w:p>
        </w:tc>
        <w:tc>
          <w:tcPr>
            <w:tcW w:w="994" w:type="dxa"/>
            <w:vAlign w:val="center"/>
          </w:tcPr>
          <w:p w:rsidR="009A7929" w:rsidRPr="001A3C76" w:rsidRDefault="009A7929" w:rsidP="00E53E08">
            <w:pPr>
              <w:pStyle w:val="NoSpacing1"/>
              <w:jc w:val="right"/>
              <w:rPr>
                <w:sz w:val="20"/>
                <w:szCs w:val="20"/>
              </w:rPr>
            </w:pPr>
            <w:r w:rsidRPr="001A3C76">
              <w:rPr>
                <w:sz w:val="20"/>
                <w:szCs w:val="20"/>
              </w:rPr>
              <w:t>0,8</w:t>
            </w:r>
          </w:p>
        </w:tc>
        <w:tc>
          <w:tcPr>
            <w:tcW w:w="1234" w:type="dxa"/>
            <w:vAlign w:val="center"/>
          </w:tcPr>
          <w:p w:rsidR="009A7929" w:rsidRPr="001A3C76" w:rsidRDefault="009A7929" w:rsidP="00E53E08">
            <w:pPr>
              <w:pStyle w:val="NoSpacing1"/>
              <w:jc w:val="right"/>
              <w:rPr>
                <w:sz w:val="20"/>
                <w:szCs w:val="20"/>
              </w:rPr>
            </w:pPr>
            <w:r w:rsidRPr="001A3C76">
              <w:rPr>
                <w:sz w:val="20"/>
                <w:szCs w:val="20"/>
              </w:rPr>
              <w:t>0,8</w:t>
            </w:r>
          </w:p>
        </w:tc>
        <w:tc>
          <w:tcPr>
            <w:tcW w:w="1234" w:type="dxa"/>
            <w:vAlign w:val="center"/>
          </w:tcPr>
          <w:p w:rsidR="009A7929" w:rsidRPr="001A3C76" w:rsidRDefault="009A7929" w:rsidP="00E53E08">
            <w:pPr>
              <w:pStyle w:val="NoSpacing1"/>
              <w:jc w:val="right"/>
              <w:rPr>
                <w:sz w:val="20"/>
                <w:szCs w:val="20"/>
              </w:rPr>
            </w:pPr>
            <w:r w:rsidRPr="001A3C76">
              <w:rPr>
                <w:sz w:val="20"/>
                <w:szCs w:val="20"/>
              </w:rPr>
              <w:t>0,9</w:t>
            </w:r>
          </w:p>
        </w:tc>
        <w:tc>
          <w:tcPr>
            <w:tcW w:w="1357" w:type="dxa"/>
            <w:vAlign w:val="center"/>
          </w:tcPr>
          <w:p w:rsidR="009A7929" w:rsidRPr="001A3C76" w:rsidRDefault="009A7929" w:rsidP="00E53E08">
            <w:pPr>
              <w:pStyle w:val="NoSpacing1"/>
              <w:jc w:val="right"/>
              <w:rPr>
                <w:sz w:val="20"/>
                <w:szCs w:val="20"/>
              </w:rPr>
            </w:pPr>
            <w:r w:rsidRPr="001A3C76">
              <w:rPr>
                <w:sz w:val="20"/>
                <w:szCs w:val="20"/>
              </w:rPr>
              <w:t>0,9</w:t>
            </w:r>
          </w:p>
        </w:tc>
        <w:tc>
          <w:tcPr>
            <w:tcW w:w="1134" w:type="dxa"/>
            <w:vAlign w:val="center"/>
          </w:tcPr>
          <w:p w:rsidR="009A7929" w:rsidRPr="001A3C76" w:rsidRDefault="009A7929" w:rsidP="00E53E08">
            <w:pPr>
              <w:pStyle w:val="NoSpacing1"/>
              <w:jc w:val="right"/>
              <w:rPr>
                <w:sz w:val="20"/>
                <w:szCs w:val="20"/>
              </w:rPr>
            </w:pPr>
            <w:r w:rsidRPr="001A3C76">
              <w:rPr>
                <w:sz w:val="20"/>
                <w:szCs w:val="20"/>
              </w:rPr>
              <w:t>0,3</w:t>
            </w:r>
          </w:p>
        </w:tc>
        <w:tc>
          <w:tcPr>
            <w:tcW w:w="1276" w:type="dxa"/>
            <w:noWrap/>
            <w:vAlign w:val="center"/>
          </w:tcPr>
          <w:p w:rsidR="009A7929" w:rsidRPr="001A3C76" w:rsidRDefault="009A7929" w:rsidP="00E53E08">
            <w:pPr>
              <w:pStyle w:val="NoSpacing1"/>
              <w:jc w:val="right"/>
              <w:rPr>
                <w:sz w:val="20"/>
                <w:szCs w:val="20"/>
              </w:rPr>
            </w:pPr>
            <w:r w:rsidRPr="001A3C76">
              <w:rPr>
                <w:sz w:val="20"/>
                <w:szCs w:val="20"/>
              </w:rPr>
              <w:t>0,4</w:t>
            </w:r>
          </w:p>
        </w:tc>
      </w:tr>
      <w:tr w:rsidR="009A7929" w:rsidRPr="007D77CE" w:rsidTr="00BE6392">
        <w:trPr>
          <w:trHeight w:val="156"/>
        </w:trPr>
        <w:tc>
          <w:tcPr>
            <w:tcW w:w="1560" w:type="dxa"/>
          </w:tcPr>
          <w:p w:rsidR="009A7929" w:rsidRPr="001A3C76" w:rsidRDefault="009A7929" w:rsidP="001A3C76">
            <w:pPr>
              <w:pStyle w:val="NoSpacing1"/>
              <w:rPr>
                <w:sz w:val="20"/>
                <w:szCs w:val="20"/>
              </w:rPr>
            </w:pPr>
            <w:r w:rsidRPr="001A3C76">
              <w:rPr>
                <w:sz w:val="20"/>
                <w:szCs w:val="20"/>
              </w:rPr>
              <w:t>Medicinski fakultet, Rijeka</w:t>
            </w:r>
          </w:p>
        </w:tc>
        <w:tc>
          <w:tcPr>
            <w:tcW w:w="994" w:type="dxa"/>
            <w:vAlign w:val="center"/>
          </w:tcPr>
          <w:p w:rsidR="009A7929" w:rsidRPr="001A3C76" w:rsidRDefault="009A7929" w:rsidP="00E53E08">
            <w:pPr>
              <w:pStyle w:val="NoSpacing1"/>
              <w:jc w:val="right"/>
              <w:rPr>
                <w:sz w:val="20"/>
                <w:szCs w:val="20"/>
              </w:rPr>
            </w:pPr>
            <w:r w:rsidRPr="001A3C76">
              <w:rPr>
                <w:sz w:val="20"/>
                <w:szCs w:val="20"/>
              </w:rPr>
              <w:t>2,6</w:t>
            </w:r>
          </w:p>
        </w:tc>
        <w:tc>
          <w:tcPr>
            <w:tcW w:w="1234" w:type="dxa"/>
            <w:vAlign w:val="center"/>
          </w:tcPr>
          <w:p w:rsidR="009A7929" w:rsidRPr="001A3C76" w:rsidRDefault="009A7929" w:rsidP="00E53E08">
            <w:pPr>
              <w:pStyle w:val="NoSpacing1"/>
              <w:jc w:val="right"/>
              <w:rPr>
                <w:sz w:val="20"/>
                <w:szCs w:val="20"/>
              </w:rPr>
            </w:pPr>
            <w:r w:rsidRPr="001A3C76">
              <w:rPr>
                <w:sz w:val="20"/>
                <w:szCs w:val="20"/>
              </w:rPr>
              <w:t>2,6</w:t>
            </w:r>
          </w:p>
        </w:tc>
        <w:tc>
          <w:tcPr>
            <w:tcW w:w="1234" w:type="dxa"/>
            <w:vAlign w:val="center"/>
          </w:tcPr>
          <w:p w:rsidR="009A7929" w:rsidRPr="001A3C76" w:rsidRDefault="009A7929" w:rsidP="00E53E08">
            <w:pPr>
              <w:pStyle w:val="NoSpacing1"/>
              <w:jc w:val="right"/>
              <w:rPr>
                <w:sz w:val="20"/>
                <w:szCs w:val="20"/>
              </w:rPr>
            </w:pPr>
            <w:r w:rsidRPr="001A3C76">
              <w:rPr>
                <w:sz w:val="20"/>
                <w:szCs w:val="20"/>
              </w:rPr>
              <w:t>3,1</w:t>
            </w:r>
          </w:p>
        </w:tc>
        <w:tc>
          <w:tcPr>
            <w:tcW w:w="1357" w:type="dxa"/>
            <w:vAlign w:val="center"/>
          </w:tcPr>
          <w:p w:rsidR="009A7929" w:rsidRPr="001A3C76" w:rsidRDefault="009A7929" w:rsidP="00E53E08">
            <w:pPr>
              <w:pStyle w:val="NoSpacing1"/>
              <w:jc w:val="right"/>
              <w:rPr>
                <w:sz w:val="20"/>
                <w:szCs w:val="20"/>
              </w:rPr>
            </w:pPr>
            <w:r w:rsidRPr="001A3C76">
              <w:rPr>
                <w:sz w:val="20"/>
                <w:szCs w:val="20"/>
              </w:rPr>
              <w:t>2,3</w:t>
            </w:r>
          </w:p>
        </w:tc>
        <w:tc>
          <w:tcPr>
            <w:tcW w:w="1134" w:type="dxa"/>
            <w:vAlign w:val="center"/>
          </w:tcPr>
          <w:p w:rsidR="009A7929" w:rsidRPr="001A3C76" w:rsidRDefault="009A7929" w:rsidP="00E53E08">
            <w:pPr>
              <w:pStyle w:val="NoSpacing1"/>
              <w:jc w:val="right"/>
              <w:rPr>
                <w:sz w:val="20"/>
                <w:szCs w:val="20"/>
              </w:rPr>
            </w:pPr>
            <w:r w:rsidRPr="001A3C76">
              <w:rPr>
                <w:sz w:val="20"/>
                <w:szCs w:val="20"/>
              </w:rPr>
              <w:t>0,2</w:t>
            </w:r>
          </w:p>
        </w:tc>
        <w:tc>
          <w:tcPr>
            <w:tcW w:w="1276" w:type="dxa"/>
            <w:noWrap/>
            <w:vAlign w:val="center"/>
          </w:tcPr>
          <w:p w:rsidR="009A7929" w:rsidRPr="001A3C76" w:rsidRDefault="009A7929" w:rsidP="00E53E08">
            <w:pPr>
              <w:pStyle w:val="NoSpacing1"/>
              <w:jc w:val="right"/>
              <w:rPr>
                <w:sz w:val="20"/>
                <w:szCs w:val="20"/>
              </w:rPr>
            </w:pPr>
            <w:r w:rsidRPr="001A3C76">
              <w:rPr>
                <w:sz w:val="20"/>
                <w:szCs w:val="20"/>
              </w:rPr>
              <w:t>1,2</w:t>
            </w:r>
          </w:p>
        </w:tc>
      </w:tr>
      <w:tr w:rsidR="009A7929" w:rsidRPr="007D77CE" w:rsidTr="00BE6392">
        <w:trPr>
          <w:trHeight w:val="156"/>
        </w:trPr>
        <w:tc>
          <w:tcPr>
            <w:tcW w:w="1560" w:type="dxa"/>
          </w:tcPr>
          <w:p w:rsidR="009A7929" w:rsidRPr="001A3C76" w:rsidRDefault="009A7929" w:rsidP="001A3C76">
            <w:pPr>
              <w:pStyle w:val="NoSpacing1"/>
              <w:rPr>
                <w:sz w:val="20"/>
                <w:szCs w:val="20"/>
              </w:rPr>
            </w:pPr>
            <w:r w:rsidRPr="001A3C76">
              <w:rPr>
                <w:sz w:val="20"/>
                <w:szCs w:val="20"/>
              </w:rPr>
              <w:t>Medicinski fakultet, Split</w:t>
            </w:r>
          </w:p>
        </w:tc>
        <w:tc>
          <w:tcPr>
            <w:tcW w:w="994" w:type="dxa"/>
            <w:vAlign w:val="center"/>
          </w:tcPr>
          <w:p w:rsidR="009A7929" w:rsidRPr="001A3C76" w:rsidRDefault="009A7929" w:rsidP="00E53E08">
            <w:pPr>
              <w:pStyle w:val="NoSpacing1"/>
              <w:jc w:val="right"/>
              <w:rPr>
                <w:sz w:val="20"/>
                <w:szCs w:val="20"/>
              </w:rPr>
            </w:pPr>
            <w:r w:rsidRPr="001A3C76">
              <w:rPr>
                <w:sz w:val="20"/>
                <w:szCs w:val="20"/>
              </w:rPr>
              <w:t>1,0</w:t>
            </w:r>
          </w:p>
        </w:tc>
        <w:tc>
          <w:tcPr>
            <w:tcW w:w="1234" w:type="dxa"/>
            <w:vAlign w:val="center"/>
          </w:tcPr>
          <w:p w:rsidR="009A7929" w:rsidRPr="001A3C76" w:rsidRDefault="009A7929" w:rsidP="00E53E08">
            <w:pPr>
              <w:pStyle w:val="NoSpacing1"/>
              <w:jc w:val="right"/>
              <w:rPr>
                <w:sz w:val="20"/>
                <w:szCs w:val="20"/>
              </w:rPr>
            </w:pPr>
            <w:r w:rsidRPr="001A3C76">
              <w:rPr>
                <w:sz w:val="20"/>
                <w:szCs w:val="20"/>
              </w:rPr>
              <w:t>1,1</w:t>
            </w:r>
          </w:p>
        </w:tc>
        <w:tc>
          <w:tcPr>
            <w:tcW w:w="1234" w:type="dxa"/>
            <w:vAlign w:val="center"/>
          </w:tcPr>
          <w:p w:rsidR="009A7929" w:rsidRPr="001A3C76" w:rsidRDefault="009A7929" w:rsidP="00E53E08">
            <w:pPr>
              <w:pStyle w:val="NoSpacing1"/>
              <w:jc w:val="right"/>
              <w:rPr>
                <w:sz w:val="20"/>
                <w:szCs w:val="20"/>
              </w:rPr>
            </w:pPr>
            <w:r w:rsidRPr="001A3C76">
              <w:rPr>
                <w:sz w:val="20"/>
                <w:szCs w:val="20"/>
              </w:rPr>
              <w:t>1,1</w:t>
            </w:r>
          </w:p>
        </w:tc>
        <w:tc>
          <w:tcPr>
            <w:tcW w:w="1357" w:type="dxa"/>
            <w:vAlign w:val="center"/>
          </w:tcPr>
          <w:p w:rsidR="009A7929" w:rsidRPr="001A3C76" w:rsidRDefault="009A7929" w:rsidP="00E53E08">
            <w:pPr>
              <w:pStyle w:val="NoSpacing1"/>
              <w:jc w:val="right"/>
              <w:rPr>
                <w:sz w:val="20"/>
                <w:szCs w:val="20"/>
              </w:rPr>
            </w:pPr>
            <w:r w:rsidRPr="001A3C76">
              <w:rPr>
                <w:sz w:val="20"/>
                <w:szCs w:val="20"/>
              </w:rPr>
              <w:t>1,2</w:t>
            </w:r>
          </w:p>
        </w:tc>
        <w:tc>
          <w:tcPr>
            <w:tcW w:w="1134" w:type="dxa"/>
            <w:vAlign w:val="center"/>
          </w:tcPr>
          <w:p w:rsidR="009A7929" w:rsidRPr="001A3C76" w:rsidRDefault="009A7929" w:rsidP="00E53E08">
            <w:pPr>
              <w:pStyle w:val="NoSpacing1"/>
              <w:jc w:val="right"/>
              <w:rPr>
                <w:sz w:val="20"/>
                <w:szCs w:val="20"/>
              </w:rPr>
            </w:pPr>
            <w:r w:rsidRPr="001A3C76">
              <w:rPr>
                <w:sz w:val="20"/>
                <w:szCs w:val="20"/>
              </w:rPr>
              <w:t>0,3</w:t>
            </w:r>
          </w:p>
        </w:tc>
        <w:tc>
          <w:tcPr>
            <w:tcW w:w="1276" w:type="dxa"/>
            <w:noWrap/>
            <w:vAlign w:val="center"/>
          </w:tcPr>
          <w:p w:rsidR="009A7929" w:rsidRPr="001A3C76" w:rsidRDefault="009A7929" w:rsidP="00E53E08">
            <w:pPr>
              <w:pStyle w:val="NoSpacing1"/>
              <w:jc w:val="right"/>
              <w:rPr>
                <w:sz w:val="20"/>
                <w:szCs w:val="20"/>
              </w:rPr>
            </w:pPr>
            <w:r w:rsidRPr="001A3C76">
              <w:rPr>
                <w:sz w:val="20"/>
                <w:szCs w:val="20"/>
              </w:rPr>
              <w:t>1,5</w:t>
            </w:r>
          </w:p>
        </w:tc>
      </w:tr>
      <w:tr w:rsidR="009A7929" w:rsidRPr="007D77CE" w:rsidTr="00BE6392">
        <w:trPr>
          <w:trHeight w:val="156"/>
        </w:trPr>
        <w:tc>
          <w:tcPr>
            <w:tcW w:w="1560" w:type="dxa"/>
          </w:tcPr>
          <w:p w:rsidR="009A7929" w:rsidRPr="001A3C76" w:rsidRDefault="009A7929" w:rsidP="001A3C76">
            <w:pPr>
              <w:pStyle w:val="NoSpacing1"/>
              <w:rPr>
                <w:sz w:val="20"/>
                <w:szCs w:val="20"/>
              </w:rPr>
            </w:pPr>
            <w:r w:rsidRPr="001A3C76">
              <w:rPr>
                <w:sz w:val="20"/>
                <w:szCs w:val="20"/>
              </w:rPr>
              <w:t>Medicinski fakultet, Zagreb</w:t>
            </w:r>
          </w:p>
        </w:tc>
        <w:tc>
          <w:tcPr>
            <w:tcW w:w="994" w:type="dxa"/>
            <w:vAlign w:val="center"/>
          </w:tcPr>
          <w:p w:rsidR="009A7929" w:rsidRPr="001A3C76" w:rsidRDefault="009A7929" w:rsidP="00E53E08">
            <w:pPr>
              <w:pStyle w:val="NoSpacing1"/>
              <w:jc w:val="right"/>
              <w:rPr>
                <w:sz w:val="20"/>
                <w:szCs w:val="20"/>
              </w:rPr>
            </w:pPr>
            <w:r w:rsidRPr="001A3C76">
              <w:rPr>
                <w:sz w:val="20"/>
                <w:szCs w:val="20"/>
              </w:rPr>
              <w:t>4,3</w:t>
            </w:r>
          </w:p>
        </w:tc>
        <w:tc>
          <w:tcPr>
            <w:tcW w:w="1234" w:type="dxa"/>
            <w:vAlign w:val="center"/>
          </w:tcPr>
          <w:p w:rsidR="009A7929" w:rsidRPr="001A3C76" w:rsidRDefault="009A7929" w:rsidP="00E53E08">
            <w:pPr>
              <w:pStyle w:val="NoSpacing1"/>
              <w:jc w:val="right"/>
              <w:rPr>
                <w:sz w:val="20"/>
                <w:szCs w:val="20"/>
              </w:rPr>
            </w:pPr>
            <w:r w:rsidRPr="001A3C76">
              <w:rPr>
                <w:sz w:val="20"/>
                <w:szCs w:val="20"/>
              </w:rPr>
              <w:t>4,3</w:t>
            </w:r>
          </w:p>
        </w:tc>
        <w:tc>
          <w:tcPr>
            <w:tcW w:w="1234" w:type="dxa"/>
            <w:vAlign w:val="center"/>
          </w:tcPr>
          <w:p w:rsidR="009A7929" w:rsidRPr="001A3C76" w:rsidRDefault="009A7929" w:rsidP="00E53E08">
            <w:pPr>
              <w:pStyle w:val="NoSpacing1"/>
              <w:jc w:val="right"/>
              <w:rPr>
                <w:sz w:val="20"/>
                <w:szCs w:val="20"/>
              </w:rPr>
            </w:pPr>
            <w:r w:rsidRPr="001A3C76">
              <w:rPr>
                <w:sz w:val="20"/>
                <w:szCs w:val="20"/>
              </w:rPr>
              <w:t>5,1</w:t>
            </w:r>
          </w:p>
        </w:tc>
        <w:tc>
          <w:tcPr>
            <w:tcW w:w="1357" w:type="dxa"/>
            <w:vAlign w:val="center"/>
          </w:tcPr>
          <w:p w:rsidR="009A7929" w:rsidRPr="001A3C76" w:rsidRDefault="009A7929" w:rsidP="00E53E08">
            <w:pPr>
              <w:pStyle w:val="NoSpacing1"/>
              <w:jc w:val="right"/>
              <w:rPr>
                <w:sz w:val="20"/>
                <w:szCs w:val="20"/>
              </w:rPr>
            </w:pPr>
            <w:r w:rsidRPr="001A3C76">
              <w:rPr>
                <w:sz w:val="20"/>
                <w:szCs w:val="20"/>
              </w:rPr>
              <w:t>3,8</w:t>
            </w:r>
          </w:p>
        </w:tc>
        <w:tc>
          <w:tcPr>
            <w:tcW w:w="1134" w:type="dxa"/>
            <w:vAlign w:val="center"/>
          </w:tcPr>
          <w:p w:rsidR="009A7929" w:rsidRPr="001A3C76" w:rsidRDefault="009A7929" w:rsidP="00E53E08">
            <w:pPr>
              <w:pStyle w:val="NoSpacing1"/>
              <w:jc w:val="right"/>
              <w:rPr>
                <w:sz w:val="20"/>
                <w:szCs w:val="20"/>
              </w:rPr>
            </w:pPr>
            <w:r w:rsidRPr="001A3C76">
              <w:rPr>
                <w:sz w:val="20"/>
                <w:szCs w:val="20"/>
              </w:rPr>
              <w:t>0,4</w:t>
            </w:r>
          </w:p>
        </w:tc>
        <w:tc>
          <w:tcPr>
            <w:tcW w:w="1276" w:type="dxa"/>
            <w:noWrap/>
            <w:vAlign w:val="center"/>
          </w:tcPr>
          <w:p w:rsidR="009A7929" w:rsidRPr="001A3C76" w:rsidRDefault="009A7929" w:rsidP="00E53E08">
            <w:pPr>
              <w:pStyle w:val="NoSpacing1"/>
              <w:jc w:val="right"/>
              <w:rPr>
                <w:sz w:val="20"/>
                <w:szCs w:val="20"/>
              </w:rPr>
            </w:pPr>
            <w:r w:rsidRPr="001A3C76">
              <w:rPr>
                <w:sz w:val="20"/>
                <w:szCs w:val="20"/>
              </w:rPr>
              <w:t>2,8</w:t>
            </w:r>
          </w:p>
        </w:tc>
      </w:tr>
      <w:tr w:rsidR="009A7929" w:rsidRPr="007D77CE" w:rsidTr="00BE6392">
        <w:trPr>
          <w:trHeight w:val="156"/>
        </w:trPr>
        <w:tc>
          <w:tcPr>
            <w:tcW w:w="1560" w:type="dxa"/>
            <w:tcBorders>
              <w:bottom w:val="double" w:sz="4" w:space="0" w:color="auto"/>
            </w:tcBorders>
          </w:tcPr>
          <w:p w:rsidR="009A7929" w:rsidRPr="001A3C76" w:rsidRDefault="009A7929" w:rsidP="001A3C76">
            <w:pPr>
              <w:pStyle w:val="NoSpacing1"/>
              <w:rPr>
                <w:sz w:val="20"/>
                <w:szCs w:val="20"/>
              </w:rPr>
            </w:pPr>
            <w:r w:rsidRPr="001A3C76">
              <w:rPr>
                <w:sz w:val="20"/>
                <w:szCs w:val="20"/>
              </w:rPr>
              <w:t>Ukupno medicinski fakulteti</w:t>
            </w:r>
          </w:p>
        </w:tc>
        <w:tc>
          <w:tcPr>
            <w:tcW w:w="994" w:type="dxa"/>
            <w:tcBorders>
              <w:bottom w:val="double" w:sz="4" w:space="0" w:color="auto"/>
            </w:tcBorders>
            <w:vAlign w:val="center"/>
          </w:tcPr>
          <w:p w:rsidR="009A7929" w:rsidRPr="001A3C76" w:rsidRDefault="009A7929" w:rsidP="00E53E08">
            <w:pPr>
              <w:pStyle w:val="NoSpacing1"/>
              <w:jc w:val="right"/>
              <w:rPr>
                <w:sz w:val="20"/>
                <w:szCs w:val="20"/>
              </w:rPr>
            </w:pPr>
            <w:r w:rsidRPr="001A3C76">
              <w:rPr>
                <w:sz w:val="20"/>
                <w:szCs w:val="20"/>
              </w:rPr>
              <w:t>8,7</w:t>
            </w:r>
          </w:p>
        </w:tc>
        <w:tc>
          <w:tcPr>
            <w:tcW w:w="1234" w:type="dxa"/>
            <w:tcBorders>
              <w:bottom w:val="double" w:sz="4" w:space="0" w:color="auto"/>
            </w:tcBorders>
            <w:vAlign w:val="center"/>
          </w:tcPr>
          <w:p w:rsidR="009A7929" w:rsidRPr="001A3C76" w:rsidRDefault="009A7929" w:rsidP="00E53E08">
            <w:pPr>
              <w:pStyle w:val="NoSpacing1"/>
              <w:jc w:val="right"/>
              <w:rPr>
                <w:sz w:val="20"/>
                <w:szCs w:val="20"/>
              </w:rPr>
            </w:pPr>
            <w:r w:rsidRPr="001A3C76">
              <w:rPr>
                <w:sz w:val="20"/>
                <w:szCs w:val="20"/>
              </w:rPr>
              <w:t>8,8</w:t>
            </w:r>
          </w:p>
        </w:tc>
        <w:tc>
          <w:tcPr>
            <w:tcW w:w="1234" w:type="dxa"/>
            <w:tcBorders>
              <w:bottom w:val="double" w:sz="4" w:space="0" w:color="auto"/>
            </w:tcBorders>
            <w:vAlign w:val="center"/>
          </w:tcPr>
          <w:p w:rsidR="009A7929" w:rsidRPr="001A3C76" w:rsidRDefault="009A7929" w:rsidP="00E53E08">
            <w:pPr>
              <w:pStyle w:val="NoSpacing1"/>
              <w:jc w:val="right"/>
              <w:rPr>
                <w:sz w:val="20"/>
                <w:szCs w:val="20"/>
              </w:rPr>
            </w:pPr>
            <w:r w:rsidRPr="001A3C76">
              <w:rPr>
                <w:sz w:val="20"/>
                <w:szCs w:val="20"/>
              </w:rPr>
              <w:t>10,2</w:t>
            </w:r>
          </w:p>
        </w:tc>
        <w:tc>
          <w:tcPr>
            <w:tcW w:w="1357" w:type="dxa"/>
            <w:tcBorders>
              <w:bottom w:val="double" w:sz="4" w:space="0" w:color="auto"/>
            </w:tcBorders>
            <w:vAlign w:val="center"/>
          </w:tcPr>
          <w:p w:rsidR="009A7929" w:rsidRPr="001A3C76" w:rsidRDefault="009A7929" w:rsidP="00E53E08">
            <w:pPr>
              <w:pStyle w:val="NoSpacing1"/>
              <w:jc w:val="right"/>
              <w:rPr>
                <w:sz w:val="20"/>
                <w:szCs w:val="20"/>
              </w:rPr>
            </w:pPr>
            <w:r w:rsidRPr="001A3C76">
              <w:rPr>
                <w:sz w:val="20"/>
                <w:szCs w:val="20"/>
              </w:rPr>
              <w:t>8,2</w:t>
            </w:r>
          </w:p>
        </w:tc>
        <w:tc>
          <w:tcPr>
            <w:tcW w:w="1134" w:type="dxa"/>
            <w:tcBorders>
              <w:bottom w:val="double" w:sz="4" w:space="0" w:color="auto"/>
            </w:tcBorders>
            <w:vAlign w:val="center"/>
          </w:tcPr>
          <w:p w:rsidR="009A7929" w:rsidRPr="001A3C76" w:rsidRDefault="009A7929" w:rsidP="00E53E08">
            <w:pPr>
              <w:pStyle w:val="NoSpacing1"/>
              <w:jc w:val="right"/>
              <w:rPr>
                <w:sz w:val="20"/>
                <w:szCs w:val="20"/>
              </w:rPr>
            </w:pPr>
            <w:r w:rsidRPr="001A3C76">
              <w:rPr>
                <w:sz w:val="20"/>
                <w:szCs w:val="20"/>
              </w:rPr>
              <w:t>1,2</w:t>
            </w:r>
          </w:p>
        </w:tc>
        <w:tc>
          <w:tcPr>
            <w:tcW w:w="1276" w:type="dxa"/>
            <w:tcBorders>
              <w:bottom w:val="double" w:sz="4" w:space="0" w:color="auto"/>
            </w:tcBorders>
            <w:noWrap/>
            <w:vAlign w:val="center"/>
          </w:tcPr>
          <w:p w:rsidR="009A7929" w:rsidRPr="001A3C76" w:rsidRDefault="009A7929" w:rsidP="00E53E08">
            <w:pPr>
              <w:pStyle w:val="NoSpacing1"/>
              <w:jc w:val="right"/>
              <w:rPr>
                <w:sz w:val="20"/>
                <w:szCs w:val="20"/>
              </w:rPr>
            </w:pPr>
            <w:r w:rsidRPr="001A3C76">
              <w:rPr>
                <w:sz w:val="20"/>
                <w:szCs w:val="20"/>
              </w:rPr>
              <w:t>5,9</w:t>
            </w:r>
          </w:p>
        </w:tc>
      </w:tr>
    </w:tbl>
    <w:p w:rsidR="009A7929" w:rsidRPr="001A3C76" w:rsidRDefault="009A7929" w:rsidP="00BE6392">
      <w:pPr>
        <w:pStyle w:val="FootnoteText"/>
        <w:jc w:val="both"/>
        <w:rPr>
          <w:color w:val="000000"/>
          <w:sz w:val="18"/>
          <w:szCs w:val="18"/>
        </w:rPr>
      </w:pPr>
      <w:r w:rsidRPr="001A3C76">
        <w:rPr>
          <w:color w:val="000000"/>
          <w:sz w:val="18"/>
          <w:szCs w:val="18"/>
          <w:lang w:val="hr-HR"/>
        </w:rPr>
        <w:t>Izvor: Izradaautora prema podatcima iz Izvješća o obavljenoj financijskoj reviziji visokih učilišta za 2014. i pojedinačnih izvješća za svaki od fakulteta (</w:t>
      </w:r>
      <w:hyperlink r:id="rId17" w:history="1">
        <w:r w:rsidRPr="001A3C76">
          <w:rPr>
            <w:rStyle w:val="Hyperlink"/>
            <w:sz w:val="18"/>
            <w:szCs w:val="18"/>
            <w:lang w:val="hr-HR"/>
          </w:rPr>
          <w:t>http://www.revizija.hr/izvjesca/2016/rr-2016/revizija-visoka-ucilista-2016/visoka-ucilista-skupno/izvjesce-o-obavljenoj-financijskoj-reviziji-visokih-ucilista.pdf</w:t>
        </w:r>
      </w:hyperlink>
      <w:r w:rsidRPr="001A3C76">
        <w:rPr>
          <w:color w:val="000000"/>
          <w:sz w:val="18"/>
          <w:szCs w:val="18"/>
          <w:lang w:val="hr-HR"/>
        </w:rPr>
        <w:t>, dostupno 10. svibnja 2018.)</w:t>
      </w:r>
    </w:p>
    <w:p w:rsidR="009A7929" w:rsidRPr="00136C4F" w:rsidRDefault="009A7929" w:rsidP="00136C4F">
      <w:pPr>
        <w:pStyle w:val="NoSpacing1"/>
        <w:jc w:val="both"/>
        <w:rPr>
          <w:color w:val="000000"/>
          <w:szCs w:val="24"/>
        </w:rPr>
      </w:pPr>
    </w:p>
    <w:p w:rsidR="009A7929" w:rsidRPr="00136C4F" w:rsidRDefault="009A7929" w:rsidP="00B41217">
      <w:pPr>
        <w:pStyle w:val="NoSpacing1"/>
        <w:ind w:firstLine="720"/>
        <w:jc w:val="both"/>
        <w:rPr>
          <w:color w:val="000000"/>
          <w:szCs w:val="24"/>
        </w:rPr>
      </w:pPr>
      <w:r w:rsidRPr="00136C4F">
        <w:rPr>
          <w:color w:val="000000"/>
          <w:szCs w:val="24"/>
        </w:rPr>
        <w:t xml:space="preserve">U tablici 6. se daje prikaz sudjelovanja svakog od fakulteta i ukupno medicinskih fakulteta, u ukupnom ostvarenju svih visokih učilišta (68) obuhvaćenih revizijom, putem izračunanih udjela. Prikazuje se izračun udjela u prihodima, rashodima, rashodima za zaposlene, materijalnim rashodima, drugim rashodima i izdacima te rashodima za nabavu nefinancijske imovine. Najznačajniji udjel u ukupnim rashodima visokih učilišta ima Medicinski fakultet, Zagreb, a najmanji udjel ima Medicinski fakultet, Osijek, što je istovjetno udjelu rashoda. Od promatrana četiri fakulteta, najveći udjel rashoda za zaposlene u ukupnim rashodima za zaposlene svih visokih učilišta ima Medicinski fakultet, Zagreb, slijedi Medicinski fakultet, Rijeka, Medicinski fakultet, Split, dok je najmanji udjel kod Medicinskog fakulteta, Osijek. Isti redoslijed fakulteta je kod udjela materijalnih rashoda. Kod udjela drugih rashoda i izdataka, najznačajniji udjel ima Medicinski fakultet, Zagreb, slijede s jednakim udjelom Medicinski fakultet, Split i Medicinski fakultet, Osijek, dok je najmanji udjel kod Medicinskog fakulteta, Rijeka. Kod udjela </w:t>
      </w:r>
      <w:r w:rsidRPr="00136C4F">
        <w:rPr>
          <w:bCs/>
          <w:color w:val="000000"/>
          <w:szCs w:val="24"/>
        </w:rPr>
        <w:t>rashoda za nabavu nefinancijske imovine</w:t>
      </w:r>
      <w:r w:rsidRPr="00136C4F">
        <w:rPr>
          <w:color w:val="000000"/>
          <w:szCs w:val="24"/>
        </w:rPr>
        <w:t>, najznačajniji udjel ima Medicinski fakultet, Zagreb, slijedi Medicinski fakultet, Split, Medicinski fakultet, Rijeka, dok je najmanji udjel kod Medicinskog fakulteta, Osijek.</w:t>
      </w:r>
    </w:p>
    <w:p w:rsidR="009A7929" w:rsidRPr="00136C4F" w:rsidRDefault="009A7929" w:rsidP="00136C4F">
      <w:pPr>
        <w:pStyle w:val="NoSpacing1"/>
        <w:jc w:val="both"/>
        <w:rPr>
          <w:b/>
          <w:color w:val="000000"/>
          <w:szCs w:val="24"/>
        </w:rPr>
      </w:pPr>
    </w:p>
    <w:p w:rsidR="009A7929" w:rsidRPr="00136C4F" w:rsidRDefault="009A7929" w:rsidP="00136C4F">
      <w:pPr>
        <w:pStyle w:val="NoSpacing1"/>
        <w:jc w:val="both"/>
        <w:rPr>
          <w:b/>
          <w:color w:val="000000"/>
          <w:szCs w:val="24"/>
        </w:rPr>
      </w:pPr>
    </w:p>
    <w:p w:rsidR="009A7929" w:rsidRPr="00136C4F" w:rsidRDefault="009A7929" w:rsidP="00136C4F">
      <w:pPr>
        <w:pStyle w:val="NoSpacing1"/>
        <w:jc w:val="both"/>
        <w:rPr>
          <w:color w:val="000000"/>
          <w:szCs w:val="24"/>
        </w:rPr>
      </w:pPr>
      <w:r w:rsidRPr="00136C4F">
        <w:rPr>
          <w:b/>
          <w:color w:val="000000"/>
          <w:szCs w:val="24"/>
        </w:rPr>
        <w:t xml:space="preserve">ZAKLJUČAK </w:t>
      </w:r>
    </w:p>
    <w:p w:rsidR="009A7929" w:rsidRPr="00136C4F" w:rsidRDefault="009A7929" w:rsidP="008B47FB">
      <w:pPr>
        <w:ind w:firstLine="720"/>
        <w:rPr>
          <w:color w:val="000000"/>
          <w:lang w:val="hr-HR"/>
        </w:rPr>
      </w:pPr>
      <w:r w:rsidRPr="00136C4F">
        <w:rPr>
          <w:color w:val="000000"/>
          <w:lang w:val="hr-HR"/>
        </w:rPr>
        <w:t>U postupku financijske revizije potvrđuje se istinitost i točnost financijskih izvještaja. Osnovni cilj revizije je izraziti mišljenje o financijskim izvještajima i poslovanju. U radu je prikazana financijska revizija na poslovanju visokih učilišta, odnosno medicinskih fakulteta. Daje se pregled značajnijih nepravilnosti koje su utjecale na izražavanje mišljenja. Istražuje se i daje pregled poslovanja medicinskih fakulteta u odnosu na podatke dobivene revizijom visokih učilišta za 2014. Daje je pregled ostvarenja ukupnih prihoda i primitaka, sredstava iz proračuna, te imovine u odnosu na revizijom obuhvaćeno prethodno razdoblje. Uočavaju se razlike prema ostvarenju u apsolutnim veličinama, te u strukturi između promatranih fakulteta. Proračunska sredstva koja medicinski fakulteti ostvaruju su najvećim dijelom namijenjena za rashode za zaposlene, koji imaju tendenciju rasta kod sva četiri promatrana fakulteta. Imovina nije značajnije povećana kod većine medicinskih fakulteta. Medicinski fakulteti koji imaju veće prihode i primitke, te koji s većim udjelom sudjeluju u ostvarenim sredstvima iz proračuna, sudjeluju i s većim udjelom u rashodima svih visokih učilišta.</w:t>
      </w:r>
    </w:p>
    <w:p w:rsidR="009A7929" w:rsidRPr="00136C4F" w:rsidRDefault="009A7929" w:rsidP="00136C4F">
      <w:pPr>
        <w:rPr>
          <w:b/>
          <w:bCs/>
          <w:lang w:val="nb-NO"/>
        </w:rPr>
      </w:pPr>
    </w:p>
    <w:p w:rsidR="009A7929" w:rsidRPr="00136C4F" w:rsidRDefault="009A7929" w:rsidP="00136C4F">
      <w:pPr>
        <w:rPr>
          <w:b/>
          <w:lang w:val="hr-HR"/>
        </w:rPr>
      </w:pPr>
      <w:r w:rsidRPr="00136C4F">
        <w:rPr>
          <w:b/>
          <w:bCs/>
          <w:lang w:val="nb-NO"/>
        </w:rPr>
        <w:t xml:space="preserve">LITERATURA   </w:t>
      </w:r>
    </w:p>
    <w:p w:rsidR="009A7929" w:rsidRDefault="009A7929" w:rsidP="00136C4F">
      <w:pPr>
        <w:pStyle w:val="FootnoteText"/>
        <w:jc w:val="both"/>
        <w:rPr>
          <w:color w:val="000000"/>
          <w:sz w:val="24"/>
          <w:szCs w:val="24"/>
          <w:lang w:val="hr-HR"/>
        </w:rPr>
      </w:pPr>
    </w:p>
    <w:p w:rsidR="009A7929" w:rsidRPr="00136C4F" w:rsidRDefault="009A7929" w:rsidP="00136C4F">
      <w:pPr>
        <w:pStyle w:val="FootnoteText"/>
        <w:jc w:val="both"/>
        <w:rPr>
          <w:color w:val="000000"/>
          <w:sz w:val="24"/>
          <w:szCs w:val="24"/>
          <w:lang w:val="hr-HR"/>
        </w:rPr>
      </w:pPr>
      <w:r w:rsidRPr="00136C4F">
        <w:rPr>
          <w:color w:val="000000"/>
          <w:sz w:val="24"/>
          <w:szCs w:val="24"/>
          <w:lang w:val="hr-HR"/>
        </w:rPr>
        <w:t xml:space="preserve">Akrap, V. et al ., (2009), Državna revizija, Masmedia d.o.o., Zagreb  </w:t>
      </w:r>
    </w:p>
    <w:p w:rsidR="009A7929" w:rsidRPr="00136C4F" w:rsidRDefault="009A7929" w:rsidP="008B47FB">
      <w:pPr>
        <w:pStyle w:val="NoSpacing1"/>
        <w:jc w:val="both"/>
        <w:rPr>
          <w:color w:val="000000"/>
          <w:szCs w:val="24"/>
        </w:rPr>
      </w:pPr>
      <w:r w:rsidRPr="00136C4F">
        <w:rPr>
          <w:color w:val="000000"/>
          <w:szCs w:val="24"/>
        </w:rPr>
        <w:t xml:space="preserve">Mahaček, D., (2016), Revizija u zdravstvenome sustavu, Medicinski fakultet Osijek, Osijek, </w:t>
      </w:r>
      <w:r w:rsidRPr="00136C4F">
        <w:rPr>
          <w:szCs w:val="24"/>
          <w:lang w:eastAsia="en-US"/>
        </w:rPr>
        <w:t xml:space="preserve"> ISBN: 978-953-7736-28-6</w:t>
      </w:r>
      <w:r>
        <w:rPr>
          <w:szCs w:val="24"/>
          <w:lang w:eastAsia="en-US"/>
        </w:rPr>
        <w:tab/>
      </w:r>
      <w:r>
        <w:rPr>
          <w:szCs w:val="24"/>
          <w:lang w:eastAsia="en-US"/>
        </w:rPr>
        <w:tab/>
      </w:r>
      <w:r>
        <w:rPr>
          <w:szCs w:val="24"/>
          <w:lang w:eastAsia="en-US"/>
        </w:rPr>
        <w:tab/>
      </w:r>
      <w:r>
        <w:rPr>
          <w:szCs w:val="24"/>
          <w:lang w:eastAsia="en-US"/>
        </w:rPr>
        <w:tab/>
      </w:r>
      <w:r w:rsidRPr="00136C4F">
        <w:rPr>
          <w:color w:val="000000"/>
          <w:szCs w:val="24"/>
        </w:rPr>
        <w:t>Hrvatski sabor: Zakon o Državnom uredu za reviziju, Narodne novine 80/11</w:t>
      </w:r>
    </w:p>
    <w:p w:rsidR="009A7929" w:rsidRPr="00136C4F" w:rsidRDefault="009A7929" w:rsidP="00136C4F">
      <w:pPr>
        <w:pStyle w:val="FootnoteText"/>
        <w:jc w:val="both"/>
        <w:rPr>
          <w:color w:val="000000"/>
          <w:sz w:val="24"/>
          <w:szCs w:val="24"/>
          <w:lang w:val="hr-HR"/>
        </w:rPr>
      </w:pPr>
      <w:r w:rsidRPr="00136C4F">
        <w:rPr>
          <w:color w:val="000000"/>
          <w:sz w:val="24"/>
          <w:szCs w:val="24"/>
          <w:lang w:val="hr-HR"/>
        </w:rPr>
        <w:t>Hrvatski sabor: Zakon o izvršavanju Državnog proračuna Republike Hrvatske za 2014. godinu, Narodne novine 152/13</w:t>
      </w:r>
    </w:p>
    <w:p w:rsidR="009A7929" w:rsidRPr="00136C4F" w:rsidRDefault="009A7929" w:rsidP="00136C4F">
      <w:pPr>
        <w:pStyle w:val="FootnoteText"/>
        <w:jc w:val="both"/>
        <w:rPr>
          <w:color w:val="000000"/>
          <w:sz w:val="24"/>
          <w:szCs w:val="24"/>
          <w:lang w:val="hr-HR"/>
        </w:rPr>
      </w:pPr>
      <w:r w:rsidRPr="00136C4F">
        <w:rPr>
          <w:color w:val="000000"/>
          <w:sz w:val="24"/>
          <w:szCs w:val="24"/>
          <w:lang w:val="hr-HR"/>
        </w:rPr>
        <w:t>Hrvatski sabor: Zakon o izvršavanju Državnog proračuna Republike Hrvatske za 2018. Narodne novine 124/17</w:t>
      </w:r>
    </w:p>
    <w:p w:rsidR="009A7929" w:rsidRPr="00136C4F" w:rsidRDefault="009A7929" w:rsidP="00136C4F">
      <w:pPr>
        <w:pStyle w:val="FootnoteText"/>
        <w:jc w:val="both"/>
        <w:rPr>
          <w:color w:val="000000"/>
          <w:sz w:val="24"/>
          <w:szCs w:val="24"/>
          <w:lang w:val="hr-HR"/>
        </w:rPr>
      </w:pPr>
      <w:r w:rsidRPr="00136C4F">
        <w:rPr>
          <w:color w:val="000000"/>
          <w:sz w:val="24"/>
          <w:szCs w:val="24"/>
          <w:lang w:val="hr-HR"/>
        </w:rPr>
        <w:t>Hrvatski sabor: Zakon o proračunu, Narodne novine 87/08, 136/12 i 15/15</w:t>
      </w:r>
    </w:p>
    <w:p w:rsidR="009A7929" w:rsidRDefault="009A7929" w:rsidP="00BE6392">
      <w:pPr>
        <w:pStyle w:val="FootnoteText"/>
        <w:jc w:val="both"/>
        <w:rPr>
          <w:rStyle w:val="Strong"/>
          <w:b w:val="0"/>
          <w:bCs/>
          <w:color w:val="000000"/>
          <w:sz w:val="24"/>
          <w:szCs w:val="24"/>
          <w:lang w:val="hr-HR"/>
        </w:rPr>
      </w:pPr>
      <w:r w:rsidRPr="00136C4F">
        <w:rPr>
          <w:color w:val="000000"/>
          <w:sz w:val="24"/>
          <w:szCs w:val="24"/>
          <w:lang w:val="hr-HR"/>
        </w:rPr>
        <w:t xml:space="preserve">Hrvatski sabor: Zakon o znanstvenoj djelatnosti i visokom obrazovanju, Narodne novine 123/03, 198/03, 105/04, 174/04, 2/07 - </w:t>
      </w:r>
      <w:r w:rsidRPr="00390736">
        <w:rPr>
          <w:color w:val="000000"/>
          <w:sz w:val="24"/>
          <w:szCs w:val="24"/>
          <w:lang w:val="hr-HR"/>
        </w:rPr>
        <w:t>OUSRH</w:t>
      </w:r>
      <w:r w:rsidRPr="00136C4F">
        <w:rPr>
          <w:color w:val="000000"/>
          <w:sz w:val="24"/>
          <w:szCs w:val="24"/>
          <w:lang w:val="hr-HR"/>
        </w:rPr>
        <w:t>, 46/07, 45/09,</w:t>
      </w:r>
      <w:r w:rsidRPr="00390736">
        <w:rPr>
          <w:color w:val="000000"/>
          <w:sz w:val="24"/>
          <w:szCs w:val="24"/>
          <w:lang w:val="hr-HR"/>
        </w:rPr>
        <w:t> </w:t>
      </w:r>
      <w:r w:rsidRPr="00136C4F">
        <w:rPr>
          <w:color w:val="000000"/>
          <w:sz w:val="24"/>
          <w:szCs w:val="24"/>
          <w:lang w:val="hr-HR"/>
        </w:rPr>
        <w:t xml:space="preserve">63/11, </w:t>
      </w:r>
      <w:r w:rsidRPr="00136C4F">
        <w:rPr>
          <w:rStyle w:val="Strong"/>
          <w:b w:val="0"/>
          <w:bCs/>
          <w:color w:val="000000"/>
          <w:sz w:val="24"/>
          <w:szCs w:val="24"/>
          <w:lang w:val="hr-HR"/>
        </w:rPr>
        <w:t>94/13, 139/13, 101/14, 60/15 i 131/17</w:t>
      </w:r>
      <w:r>
        <w:rPr>
          <w:rStyle w:val="Strong"/>
          <w:b w:val="0"/>
          <w:bCs/>
          <w:color w:val="000000"/>
          <w:sz w:val="24"/>
          <w:szCs w:val="24"/>
          <w:lang w:val="hr-HR"/>
        </w:rPr>
        <w:t>.</w:t>
      </w:r>
    </w:p>
    <w:p w:rsidR="009A7929" w:rsidRPr="00136C4F" w:rsidRDefault="009A7929" w:rsidP="00BE6392">
      <w:pPr>
        <w:pStyle w:val="FootnoteText"/>
        <w:jc w:val="both"/>
        <w:rPr>
          <w:color w:val="000000"/>
          <w:sz w:val="24"/>
          <w:szCs w:val="24"/>
          <w:lang w:val="hr-HR"/>
        </w:rPr>
      </w:pPr>
      <w:r w:rsidRPr="00136C4F">
        <w:rPr>
          <w:color w:val="000000"/>
          <w:sz w:val="24"/>
          <w:szCs w:val="24"/>
          <w:lang w:val="hr-HR"/>
        </w:rPr>
        <w:t>Ministarstvo financija: Pravilnik o proračunskom računovodstvu i Računskom planu, Narodne novine 114/10 i 31/11</w:t>
      </w:r>
      <w:r>
        <w:rPr>
          <w:color w:val="000000"/>
          <w:sz w:val="24"/>
          <w:szCs w:val="24"/>
          <w:lang w:val="hr-HR"/>
        </w:rPr>
        <w:tab/>
      </w:r>
      <w:r>
        <w:rPr>
          <w:color w:val="000000"/>
          <w:sz w:val="24"/>
          <w:szCs w:val="24"/>
          <w:lang w:val="hr-HR"/>
        </w:rPr>
        <w:tab/>
      </w:r>
      <w:r>
        <w:rPr>
          <w:color w:val="000000"/>
          <w:sz w:val="24"/>
          <w:szCs w:val="24"/>
          <w:lang w:val="hr-HR"/>
        </w:rPr>
        <w:tab/>
      </w:r>
      <w:r w:rsidRPr="00136C4F">
        <w:rPr>
          <w:color w:val="000000"/>
          <w:sz w:val="24"/>
          <w:szCs w:val="24"/>
          <w:lang w:val="hr-HR"/>
        </w:rPr>
        <w:t xml:space="preserve">Ministarstvo financija: Pravilnik o proračunskom računovodstvu i Računskom planu, </w:t>
      </w:r>
      <w:r w:rsidRPr="00390736">
        <w:rPr>
          <w:color w:val="000000"/>
          <w:sz w:val="24"/>
          <w:szCs w:val="24"/>
          <w:lang w:val="hr-HR"/>
        </w:rPr>
        <w:t>Narodne novine 124/14, 115/15, 87/16 i 2/18</w:t>
      </w:r>
      <w:r>
        <w:rPr>
          <w:color w:val="000000"/>
          <w:lang w:val="hr-HR"/>
        </w:rPr>
        <w:t xml:space="preserve">.                         </w:t>
      </w:r>
      <w:r>
        <w:rPr>
          <w:color w:val="000000"/>
          <w:lang w:val="hr-HR"/>
        </w:rPr>
        <w:tab/>
      </w:r>
      <w:r>
        <w:rPr>
          <w:color w:val="000000"/>
          <w:lang w:val="hr-HR"/>
        </w:rPr>
        <w:tab/>
      </w:r>
      <w:r w:rsidRPr="00136C4F">
        <w:rPr>
          <w:color w:val="000000"/>
          <w:sz w:val="24"/>
          <w:szCs w:val="24"/>
          <w:lang w:val="hr-HR"/>
        </w:rPr>
        <w:t>Ministarstvo financija: Pravilnik o financijskom izvještavanju u proračunskom računovodstvu, Narodne novine 32/11</w:t>
      </w:r>
      <w:r>
        <w:rPr>
          <w:color w:val="000000"/>
          <w:lang w:val="hr-HR"/>
        </w:rPr>
        <w:t xml:space="preserve">.  </w:t>
      </w:r>
      <w:r>
        <w:rPr>
          <w:color w:val="000000"/>
          <w:lang w:val="hr-HR"/>
        </w:rPr>
        <w:tab/>
      </w:r>
      <w:r>
        <w:rPr>
          <w:color w:val="000000"/>
          <w:lang w:val="hr-HR"/>
        </w:rPr>
        <w:tab/>
      </w:r>
      <w:r>
        <w:rPr>
          <w:color w:val="000000"/>
          <w:lang w:val="hr-HR"/>
        </w:rPr>
        <w:tab/>
      </w:r>
      <w:r w:rsidRPr="00136C4F">
        <w:rPr>
          <w:color w:val="000000"/>
          <w:sz w:val="24"/>
          <w:szCs w:val="24"/>
          <w:lang w:val="hr-HR"/>
        </w:rPr>
        <w:t>Ministarstvo financija: Pravilnik o financijskom izvještavanju u proračunskom računovodstvu, Narodne novine 3/15</w:t>
      </w:r>
    </w:p>
    <w:p w:rsidR="009A7929" w:rsidRPr="008B47FB" w:rsidRDefault="009A7929" w:rsidP="008B47FB">
      <w:pPr>
        <w:pStyle w:val="FootnoteText"/>
        <w:jc w:val="both"/>
        <w:rPr>
          <w:color w:val="000000"/>
          <w:sz w:val="24"/>
          <w:szCs w:val="24"/>
          <w:lang w:val="hr-HR"/>
        </w:rPr>
      </w:pPr>
      <w:r w:rsidRPr="00136C4F">
        <w:rPr>
          <w:color w:val="000000"/>
          <w:sz w:val="24"/>
          <w:szCs w:val="24"/>
          <w:lang w:val="hr-HR"/>
        </w:rPr>
        <w:t xml:space="preserve">Tušek, B. i  Žager, L., (2006), Revizija, Hrvatska zajednica računovođa i </w:t>
      </w:r>
      <w:r>
        <w:rPr>
          <w:color w:val="000000"/>
          <w:sz w:val="24"/>
          <w:szCs w:val="24"/>
          <w:lang w:val="hr-HR"/>
        </w:rPr>
        <w:t>financijskih djelatnika, Zagreb.</w:t>
      </w:r>
      <w:r>
        <w:rPr>
          <w:color w:val="000000"/>
          <w:sz w:val="24"/>
          <w:szCs w:val="24"/>
          <w:lang w:val="hr-HR"/>
        </w:rPr>
        <w:tab/>
      </w:r>
      <w:r>
        <w:rPr>
          <w:color w:val="000000"/>
          <w:sz w:val="24"/>
          <w:szCs w:val="24"/>
          <w:lang w:val="hr-HR"/>
        </w:rPr>
        <w:tab/>
      </w:r>
      <w:r>
        <w:rPr>
          <w:color w:val="000000"/>
          <w:sz w:val="24"/>
          <w:szCs w:val="24"/>
          <w:lang w:val="hr-HR"/>
        </w:rPr>
        <w:tab/>
      </w:r>
      <w:r w:rsidRPr="00390736">
        <w:rPr>
          <w:color w:val="000000"/>
          <w:sz w:val="24"/>
          <w:szCs w:val="24"/>
          <w:lang w:val="hr-HR"/>
        </w:rPr>
        <w:t>Včev, A., Mahaček, D., (2014), Financijska revizija visokih učilišta uz osvrt na medicinske fakultete, Zbornik radova Ekonomskog fakulteta u Mostaru, god 2014. br. 20., ISSN 1840-3255, str. 195 - 217</w:t>
      </w:r>
    </w:p>
    <w:p w:rsidR="009A7929" w:rsidRDefault="009A7929" w:rsidP="00136C4F">
      <w:pPr>
        <w:pStyle w:val="FootnoteText"/>
        <w:jc w:val="both"/>
        <w:rPr>
          <w:color w:val="000000"/>
          <w:sz w:val="24"/>
          <w:szCs w:val="24"/>
          <w:lang w:val="hr-HR"/>
        </w:rPr>
      </w:pPr>
      <w:r w:rsidRPr="00136C4F">
        <w:rPr>
          <w:color w:val="000000"/>
          <w:sz w:val="24"/>
          <w:szCs w:val="24"/>
          <w:lang w:val="hr-HR"/>
        </w:rPr>
        <w:t>William F. Messier Jr., (1998), Revizija – Priručnik za revizore i studente</w:t>
      </w:r>
      <w:r>
        <w:rPr>
          <w:color w:val="000000"/>
          <w:sz w:val="24"/>
          <w:szCs w:val="24"/>
          <w:lang w:val="hr-HR"/>
        </w:rPr>
        <w:t>, Faber &amp; Zgombić Plus, Zagreb.</w:t>
      </w:r>
    </w:p>
    <w:p w:rsidR="009A7929" w:rsidRPr="00136C4F" w:rsidRDefault="009A7929" w:rsidP="00136C4F">
      <w:pPr>
        <w:pStyle w:val="FootnoteText"/>
        <w:jc w:val="both"/>
        <w:rPr>
          <w:color w:val="000000"/>
          <w:sz w:val="24"/>
          <w:szCs w:val="24"/>
          <w:lang w:val="hr-HR"/>
        </w:rPr>
      </w:pPr>
    </w:p>
    <w:p w:rsidR="009A7929" w:rsidRPr="00BE6392" w:rsidRDefault="009A7929" w:rsidP="00136C4F">
      <w:pPr>
        <w:pStyle w:val="FootnoteText"/>
        <w:jc w:val="both"/>
        <w:rPr>
          <w:b/>
          <w:color w:val="000000"/>
          <w:sz w:val="24"/>
          <w:szCs w:val="24"/>
          <w:lang w:val="hr-HR"/>
        </w:rPr>
      </w:pPr>
      <w:r w:rsidRPr="00BE6392">
        <w:rPr>
          <w:b/>
          <w:color w:val="000000"/>
          <w:sz w:val="24"/>
          <w:szCs w:val="24"/>
          <w:lang w:val="hr-HR"/>
        </w:rPr>
        <w:t>Internet izvori:</w:t>
      </w:r>
    </w:p>
    <w:p w:rsidR="009A7929" w:rsidRPr="006A7EDD" w:rsidRDefault="009A7929" w:rsidP="00136C4F">
      <w:pPr>
        <w:pStyle w:val="FootnoteText"/>
        <w:jc w:val="both"/>
        <w:rPr>
          <w:color w:val="000000"/>
          <w:lang w:val="hr-HR"/>
        </w:rPr>
      </w:pPr>
      <w:r w:rsidRPr="00136C4F">
        <w:rPr>
          <w:color w:val="000000"/>
          <w:sz w:val="24"/>
          <w:szCs w:val="24"/>
          <w:lang w:val="hr-HR"/>
        </w:rPr>
        <w:t>Državni ured za reviziju: Izvješće o obavljenoj financijskoj reviziji visokih učilišta za 2014.,</w:t>
      </w:r>
      <w:hyperlink r:id="rId18" w:history="1">
        <w:r w:rsidRPr="00136C4F">
          <w:rPr>
            <w:rStyle w:val="Hyperlink"/>
            <w:sz w:val="24"/>
            <w:szCs w:val="24"/>
            <w:lang w:val="hr-HR"/>
          </w:rPr>
          <w:t>http://www.revizija.hr/izvjesca/2016/rr-2016/revizija-visoka-ucilista-2016/visoka-ucilista-skupno/izvjesce-o-obavljenoj-financijskoj-reviziji-visokih-ucilista.pdf</w:t>
        </w:r>
      </w:hyperlink>
      <w:r w:rsidRPr="006A7EDD">
        <w:rPr>
          <w:color w:val="000000"/>
          <w:lang w:val="hr-HR"/>
        </w:rPr>
        <w:t>(2018-05-10)</w:t>
      </w:r>
    </w:p>
    <w:p w:rsidR="009A7929" w:rsidRPr="00136C4F" w:rsidRDefault="009A7929" w:rsidP="00136C4F">
      <w:pPr>
        <w:pStyle w:val="FootnoteText"/>
        <w:jc w:val="both"/>
        <w:rPr>
          <w:color w:val="000000"/>
          <w:sz w:val="24"/>
          <w:szCs w:val="24"/>
          <w:lang w:val="hr-HR"/>
        </w:rPr>
      </w:pPr>
      <w:r w:rsidRPr="00136C4F">
        <w:rPr>
          <w:color w:val="000000"/>
          <w:sz w:val="24"/>
          <w:szCs w:val="24"/>
          <w:lang w:val="hr-HR"/>
        </w:rPr>
        <w:t>Državni ured za reviziju: Izvješće o obavljenoj financijskoj reviziji visokih učilišta za 2009.,</w:t>
      </w:r>
      <w:hyperlink r:id="rId19" w:history="1">
        <w:r w:rsidRPr="00411552">
          <w:rPr>
            <w:rStyle w:val="Hyperlink"/>
            <w:sz w:val="24"/>
            <w:szCs w:val="24"/>
            <w:lang w:val="hr-HR"/>
          </w:rPr>
          <w:t>http://www.revizija.hr/izvjesca/2011-vu-za-2009/izvjesce_o_obavljenoj _financijskoj_reviziji_visokih_ucilista_za_2009.pdf</w:t>
        </w:r>
      </w:hyperlink>
      <w:r w:rsidRPr="00136C4F">
        <w:rPr>
          <w:color w:val="000000"/>
          <w:sz w:val="24"/>
          <w:szCs w:val="24"/>
          <w:lang w:val="hr-HR"/>
        </w:rPr>
        <w:t xml:space="preserve"> (2018-05-18)</w:t>
      </w:r>
      <w:r>
        <w:rPr>
          <w:color w:val="000000"/>
          <w:sz w:val="24"/>
          <w:szCs w:val="24"/>
          <w:lang w:val="hr-HR"/>
        </w:rPr>
        <w:t>.</w:t>
      </w:r>
    </w:p>
    <w:p w:rsidR="009A7929" w:rsidRPr="00136C4F"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Osijek, Sveučilište Josipa Jurja Strossmayera u Osijeku za 2009.,</w:t>
      </w:r>
      <w:hyperlink r:id="rId20" w:history="1">
        <w:r w:rsidRPr="00411552">
          <w:rPr>
            <w:rStyle w:val="Hyperlink"/>
            <w:sz w:val="24"/>
            <w:szCs w:val="24"/>
            <w:lang w:val="hr-HR"/>
          </w:rPr>
          <w:t>http://www.revizija.hr/izvjesca/2011-vu-za-2009/pojedinacna_izvjesca/02 _sveuciliste_u_osijeku/medicinski_fakultet_osijek.pdf</w:t>
        </w:r>
      </w:hyperlink>
      <w:r w:rsidRPr="00136C4F">
        <w:rPr>
          <w:color w:val="000000"/>
          <w:sz w:val="24"/>
          <w:szCs w:val="24"/>
          <w:lang w:val="hr-HR"/>
        </w:rPr>
        <w:t>(2018-05-18)</w:t>
      </w:r>
      <w:r>
        <w:rPr>
          <w:color w:val="000000"/>
          <w:sz w:val="24"/>
          <w:szCs w:val="24"/>
          <w:lang w:val="hr-HR"/>
        </w:rPr>
        <w:t>.</w:t>
      </w:r>
    </w:p>
    <w:p w:rsidR="009A7929" w:rsidRPr="00136C4F" w:rsidRDefault="009A7929" w:rsidP="00136C4F">
      <w:pPr>
        <w:pStyle w:val="FootnoteText"/>
        <w:jc w:val="both"/>
        <w:rPr>
          <w:sz w:val="24"/>
          <w:szCs w:val="24"/>
          <w:lang w:val="hr-HR"/>
        </w:rPr>
      </w:pPr>
      <w:r w:rsidRPr="00136C4F">
        <w:rPr>
          <w:sz w:val="24"/>
          <w:szCs w:val="24"/>
          <w:lang w:val="hr-HR"/>
        </w:rPr>
        <w:t xml:space="preserve">Državni ured za reviziju: Izvješće o obavljenoj reviziji Medicinskog fakulteta Osijek, Sveučilište Josipa Jurja Strossmayera u Osijeku za 2014., </w:t>
      </w:r>
    </w:p>
    <w:p w:rsidR="009A7929" w:rsidRPr="00136C4F" w:rsidRDefault="009A7929" w:rsidP="00136C4F">
      <w:pPr>
        <w:pStyle w:val="FootnoteText"/>
        <w:jc w:val="both"/>
        <w:rPr>
          <w:sz w:val="24"/>
          <w:szCs w:val="24"/>
          <w:lang w:val="hr-HR"/>
        </w:rPr>
      </w:pPr>
      <w:hyperlink r:id="rId21" w:history="1">
        <w:r w:rsidRPr="00136C4F">
          <w:rPr>
            <w:rStyle w:val="Hyperlink"/>
            <w:sz w:val="24"/>
            <w:szCs w:val="24"/>
            <w:lang w:val="hr-HR"/>
          </w:rPr>
          <w:t>http://www.revizija.hr/izvjesca/2016/rr-2016/revizija-visoka-ucilista-2016/fakulteti-i-akademije/medicinski-fakultet-osijek.pdf</w:t>
        </w:r>
      </w:hyperlink>
      <w:r w:rsidRPr="00136C4F">
        <w:rPr>
          <w:color w:val="000000"/>
          <w:sz w:val="24"/>
          <w:szCs w:val="24"/>
          <w:lang w:val="hr-HR"/>
        </w:rPr>
        <w:t>(2018-05-14)</w:t>
      </w:r>
    </w:p>
    <w:p w:rsidR="009A7929" w:rsidRPr="00136C4F" w:rsidRDefault="009A7929" w:rsidP="00136C4F">
      <w:pPr>
        <w:pStyle w:val="FootnoteText"/>
        <w:jc w:val="both"/>
        <w:rPr>
          <w:color w:val="000000"/>
          <w:sz w:val="24"/>
          <w:szCs w:val="24"/>
          <w:lang w:val="hr-HR"/>
        </w:rPr>
      </w:pPr>
      <w:r w:rsidRPr="00136C4F">
        <w:rPr>
          <w:sz w:val="24"/>
          <w:szCs w:val="24"/>
          <w:lang w:val="hr-HR"/>
        </w:rPr>
        <w:t xml:space="preserve">Državni ured za reviziju: Izvješće o obavljenoj reviziji Medicinskog fakulteta, Sveučilište u Rijeci za 2009., </w:t>
      </w:r>
      <w:hyperlink r:id="rId22" w:history="1">
        <w:r w:rsidRPr="00411552">
          <w:rPr>
            <w:rStyle w:val="Hyperlink"/>
            <w:sz w:val="24"/>
            <w:szCs w:val="24"/>
            <w:lang w:val="hr-HR"/>
          </w:rPr>
          <w:t>http://www.revizija.hr/izvjesca/2011-vu-za-2009/pojedinacna_ izvjesca/04_sveuciliste_u_rijeci/medicinski_fakultet_rijeka.pdf</w:t>
        </w:r>
      </w:hyperlink>
      <w:r w:rsidRPr="00136C4F">
        <w:rPr>
          <w:color w:val="000000"/>
          <w:sz w:val="24"/>
          <w:szCs w:val="24"/>
          <w:lang w:val="hr-HR"/>
        </w:rPr>
        <w:t>(2018-05-18)</w:t>
      </w:r>
      <w:r>
        <w:rPr>
          <w:color w:val="000000"/>
          <w:sz w:val="24"/>
          <w:szCs w:val="24"/>
          <w:lang w:val="hr-HR"/>
        </w:rPr>
        <w:t>.</w:t>
      </w:r>
    </w:p>
    <w:p w:rsidR="009A7929" w:rsidRPr="00136C4F"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Sveučilište u Rijeci za 2014.,</w:t>
      </w:r>
      <w:hyperlink r:id="rId23" w:history="1">
        <w:r w:rsidRPr="00136C4F">
          <w:rPr>
            <w:rStyle w:val="Hyperlink"/>
            <w:sz w:val="24"/>
            <w:szCs w:val="24"/>
            <w:lang w:val="hr-HR"/>
          </w:rPr>
          <w:t>http://www.revizija.hr/izvjesca/2016/rr-2016/revizija-visoka-ucilista-2016/fakulteti-i-akademije/medicinski-fakultet-rijeka.pdf</w:t>
        </w:r>
      </w:hyperlink>
      <w:r w:rsidRPr="00136C4F">
        <w:rPr>
          <w:sz w:val="24"/>
          <w:szCs w:val="24"/>
          <w:lang w:val="hr-HR"/>
        </w:rPr>
        <w:t xml:space="preserve">, </w:t>
      </w:r>
      <w:r w:rsidRPr="00136C4F">
        <w:rPr>
          <w:color w:val="000000"/>
          <w:sz w:val="24"/>
          <w:szCs w:val="24"/>
          <w:lang w:val="hr-HR"/>
        </w:rPr>
        <w:t>(2018-05-14)</w:t>
      </w:r>
    </w:p>
    <w:p w:rsidR="009A7929"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Sveučilište u Splitu za 2009.,</w:t>
      </w:r>
      <w:hyperlink r:id="rId24" w:history="1">
        <w:r w:rsidRPr="00411552">
          <w:rPr>
            <w:rStyle w:val="Hyperlink"/>
            <w:sz w:val="24"/>
            <w:szCs w:val="24"/>
            <w:lang w:val="hr-HR"/>
          </w:rPr>
          <w:t>http://www.revizija.hr/izvjesca/2011-vu-za-2009/pojedinacna_izvjesca /05_sveuciliste_u_splitu/medicinski_fakultet_split.pdf</w:t>
        </w:r>
      </w:hyperlink>
      <w:r w:rsidRPr="00136C4F">
        <w:rPr>
          <w:color w:val="000000"/>
          <w:sz w:val="24"/>
          <w:szCs w:val="24"/>
          <w:lang w:val="hr-HR"/>
        </w:rPr>
        <w:t>(2018-05-18)</w:t>
      </w:r>
      <w:r>
        <w:rPr>
          <w:color w:val="000000"/>
          <w:sz w:val="24"/>
          <w:szCs w:val="24"/>
          <w:lang w:val="hr-HR"/>
        </w:rPr>
        <w:t>.</w:t>
      </w:r>
    </w:p>
    <w:p w:rsidR="009A7929" w:rsidRPr="00136C4F"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Sveučilište u Splitu za 2014.,</w:t>
      </w:r>
      <w:hyperlink r:id="rId25" w:history="1">
        <w:r w:rsidRPr="00136C4F">
          <w:rPr>
            <w:rStyle w:val="Hyperlink"/>
            <w:sz w:val="24"/>
            <w:szCs w:val="24"/>
            <w:lang w:val="hr-HR"/>
          </w:rPr>
          <w:t>http://www.revizija.hr/izvjesca/2016/rr-2016/revizija-visoka-ucilista-2016/fakulteti-i-akademije/medicinski-fakultet-split.pdf</w:t>
        </w:r>
      </w:hyperlink>
      <w:r w:rsidRPr="00136C4F">
        <w:rPr>
          <w:sz w:val="24"/>
          <w:szCs w:val="24"/>
          <w:lang w:val="hr-HR"/>
        </w:rPr>
        <w:t>,</w:t>
      </w:r>
      <w:r w:rsidRPr="00136C4F">
        <w:rPr>
          <w:color w:val="000000"/>
          <w:sz w:val="24"/>
          <w:szCs w:val="24"/>
          <w:lang w:val="hr-HR"/>
        </w:rPr>
        <w:t xml:space="preserve"> (2018-05-14)</w:t>
      </w:r>
    </w:p>
    <w:p w:rsidR="009A7929" w:rsidRPr="00136C4F"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Sveučilište u Zagrebu za 2009.,</w:t>
      </w:r>
      <w:hyperlink r:id="rId26" w:history="1">
        <w:r w:rsidRPr="00411552">
          <w:rPr>
            <w:rStyle w:val="Hyperlink"/>
            <w:sz w:val="24"/>
            <w:szCs w:val="24"/>
            <w:lang w:val="hr-HR"/>
          </w:rPr>
          <w:t>http://www.revizija.hr/izvjesca/2011-vu-za-2009/pojedinacna_ izvjesca/07_sveuciliste_u_zagrebu/medicinski_fakultet_zagreb.pdf</w:t>
        </w:r>
      </w:hyperlink>
      <w:r w:rsidRPr="00136C4F">
        <w:rPr>
          <w:sz w:val="24"/>
          <w:szCs w:val="24"/>
          <w:lang w:val="hr-HR"/>
        </w:rPr>
        <w:t xml:space="preserve">, </w:t>
      </w:r>
      <w:r w:rsidRPr="00136C4F">
        <w:rPr>
          <w:color w:val="000000"/>
          <w:sz w:val="24"/>
          <w:szCs w:val="24"/>
          <w:lang w:val="hr-HR"/>
        </w:rPr>
        <w:t>(2018-05-18)</w:t>
      </w:r>
    </w:p>
    <w:p w:rsidR="009A7929" w:rsidRPr="00136C4F" w:rsidRDefault="009A7929" w:rsidP="00136C4F">
      <w:pPr>
        <w:pStyle w:val="FootnoteText"/>
        <w:jc w:val="both"/>
        <w:rPr>
          <w:color w:val="000000"/>
          <w:sz w:val="24"/>
          <w:szCs w:val="24"/>
          <w:lang w:val="hr-HR"/>
        </w:rPr>
      </w:pPr>
      <w:r w:rsidRPr="00136C4F">
        <w:rPr>
          <w:sz w:val="24"/>
          <w:szCs w:val="24"/>
          <w:lang w:val="hr-HR"/>
        </w:rPr>
        <w:t>Državni ured za reviziju: Izvješće o obavljenoj reviziji Medicinskog fakulteta, Sveučilište u Zagrebu za 2014.,</w:t>
      </w:r>
      <w:hyperlink r:id="rId27" w:history="1">
        <w:r w:rsidRPr="00136C4F">
          <w:rPr>
            <w:rStyle w:val="Hyperlink"/>
            <w:sz w:val="24"/>
            <w:szCs w:val="24"/>
            <w:lang w:val="hr-HR"/>
          </w:rPr>
          <w:t>http://www.revizija.hr/izvjesca/2016/rr-2016/revizija-visoka-ucilista-2016/fakulteti-i-akademije/medicinski-fakultet-zagreb.pdf</w:t>
        </w:r>
      </w:hyperlink>
      <w:r w:rsidRPr="00136C4F">
        <w:rPr>
          <w:sz w:val="24"/>
          <w:szCs w:val="24"/>
          <w:lang w:val="hr-HR"/>
        </w:rPr>
        <w:t xml:space="preserve">, </w:t>
      </w:r>
      <w:r w:rsidRPr="00136C4F">
        <w:rPr>
          <w:color w:val="000000"/>
          <w:sz w:val="24"/>
          <w:szCs w:val="24"/>
          <w:lang w:val="hr-HR"/>
        </w:rPr>
        <w:t>(2018-05-14)</w:t>
      </w:r>
    </w:p>
    <w:p w:rsidR="009A7929" w:rsidRPr="00136C4F" w:rsidRDefault="009A7929" w:rsidP="00136C4F">
      <w:pPr>
        <w:pStyle w:val="FootnoteText"/>
        <w:jc w:val="both"/>
        <w:rPr>
          <w:color w:val="00B050"/>
          <w:sz w:val="24"/>
          <w:szCs w:val="24"/>
          <w:lang w:val="hr-HR"/>
        </w:rPr>
      </w:pPr>
      <w:r w:rsidRPr="00136C4F">
        <w:rPr>
          <w:color w:val="000000"/>
          <w:sz w:val="24"/>
          <w:szCs w:val="24"/>
          <w:lang w:val="hr-HR"/>
        </w:rPr>
        <w:t xml:space="preserve">Revizijski standardi INTOSAI, prosinac 2011., </w:t>
      </w:r>
      <w:hyperlink r:id="rId28" w:history="1">
        <w:r w:rsidRPr="00411552">
          <w:rPr>
            <w:rStyle w:val="Hyperlink"/>
            <w:sz w:val="24"/>
            <w:szCs w:val="24"/>
            <w:lang w:val="hr-HR"/>
          </w:rPr>
          <w:t>http://www.revizija.hr/ UserFiles/File/zakoni-akti/revizijski-standardi-intosai.pdf</w:t>
        </w:r>
      </w:hyperlink>
      <w:r w:rsidRPr="00136C4F">
        <w:rPr>
          <w:color w:val="000000"/>
          <w:sz w:val="24"/>
          <w:szCs w:val="24"/>
          <w:lang w:val="hr-HR"/>
        </w:rPr>
        <w:t>, (2018-05-18)</w:t>
      </w:r>
    </w:p>
    <w:p w:rsidR="009A7929" w:rsidRPr="00136C4F" w:rsidRDefault="009A7929" w:rsidP="00136C4F">
      <w:pPr>
        <w:pStyle w:val="FootnoteText"/>
        <w:jc w:val="both"/>
        <w:rPr>
          <w:color w:val="000000"/>
          <w:sz w:val="24"/>
          <w:szCs w:val="24"/>
        </w:rPr>
      </w:pPr>
      <w:r w:rsidRPr="00136C4F">
        <w:rPr>
          <w:color w:val="000000"/>
          <w:sz w:val="24"/>
          <w:szCs w:val="24"/>
          <w:lang w:val="hr-HR"/>
        </w:rPr>
        <w:t xml:space="preserve">INTOSAI, </w:t>
      </w:r>
      <w:r w:rsidRPr="00136C4F">
        <w:rPr>
          <w:color w:val="000000"/>
          <w:sz w:val="24"/>
          <w:szCs w:val="24"/>
        </w:rPr>
        <w:t xml:space="preserve">ISSAI 200, </w:t>
      </w:r>
      <w:r w:rsidRPr="00136C4F">
        <w:rPr>
          <w:color w:val="000000"/>
          <w:sz w:val="24"/>
          <w:szCs w:val="24"/>
          <w:lang w:val="hr-HR"/>
        </w:rPr>
        <w:t>Temeljna načela financijske revizije</w:t>
      </w:r>
      <w:r w:rsidRPr="00136C4F">
        <w:rPr>
          <w:color w:val="000000"/>
          <w:sz w:val="24"/>
          <w:szCs w:val="24"/>
        </w:rPr>
        <w:t xml:space="preserve">, </w:t>
      </w:r>
    </w:p>
    <w:p w:rsidR="009A7929" w:rsidRDefault="009A7929" w:rsidP="006A7EDD">
      <w:pPr>
        <w:pStyle w:val="FootnoteText"/>
        <w:jc w:val="both"/>
      </w:pPr>
      <w:hyperlink r:id="rId29" w:history="1">
        <w:r w:rsidRPr="00136C4F">
          <w:rPr>
            <w:rStyle w:val="Hyperlink"/>
            <w:sz w:val="24"/>
            <w:szCs w:val="24"/>
            <w:lang w:val="hr-HR"/>
          </w:rPr>
          <w:t>http://www.revizija.hr/datastore/filestore/52/ISSAI_200.pdf</w:t>
        </w:r>
      </w:hyperlink>
      <w:r w:rsidRPr="00136C4F">
        <w:rPr>
          <w:sz w:val="24"/>
          <w:szCs w:val="24"/>
          <w:lang w:val="hr-HR"/>
        </w:rPr>
        <w:t xml:space="preserve">, </w:t>
      </w:r>
      <w:r w:rsidRPr="00136C4F">
        <w:rPr>
          <w:color w:val="000000"/>
          <w:sz w:val="24"/>
          <w:szCs w:val="24"/>
          <w:lang w:val="hr-HR"/>
        </w:rPr>
        <w:t>(2018-05-10)</w:t>
      </w:r>
      <w:bookmarkEnd w:id="1"/>
    </w:p>
    <w:sectPr w:rsidR="009A7929" w:rsidSect="008B2625">
      <w:headerReference w:type="even" r:id="rId30"/>
      <w:headerReference w:type="default" r:id="rId3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929" w:rsidRDefault="009A7929" w:rsidP="00D3231E">
      <w:pPr>
        <w:spacing w:before="0"/>
      </w:pPr>
      <w:r>
        <w:separator/>
      </w:r>
    </w:p>
  </w:endnote>
  <w:endnote w:type="continuationSeparator" w:id="1">
    <w:p w:rsidR="009A7929" w:rsidRDefault="009A7929"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929" w:rsidRDefault="009A7929" w:rsidP="00D3231E">
      <w:pPr>
        <w:spacing w:before="0"/>
      </w:pPr>
      <w:r>
        <w:separator/>
      </w:r>
    </w:p>
  </w:footnote>
  <w:footnote w:type="continuationSeparator" w:id="1">
    <w:p w:rsidR="009A7929" w:rsidRDefault="009A7929" w:rsidP="00D3231E">
      <w:pPr>
        <w:spacing w:before="0"/>
      </w:pPr>
      <w:r>
        <w:continuationSeparator/>
      </w:r>
    </w:p>
  </w:footnote>
  <w:footnote w:id="2">
    <w:p w:rsidR="009A7929" w:rsidRDefault="009A7929" w:rsidP="00EE3017">
      <w:pPr>
        <w:jc w:val="left"/>
        <w:rPr>
          <w:i/>
          <w:sz w:val="22"/>
          <w:szCs w:val="22"/>
        </w:rPr>
      </w:pPr>
      <w:r w:rsidRPr="003D0620">
        <w:rPr>
          <w:i/>
          <w:sz w:val="22"/>
          <w:szCs w:val="22"/>
        </w:rPr>
        <w:t>Primljeno: 2</w:t>
      </w:r>
      <w:r>
        <w:rPr>
          <w:i/>
          <w:sz w:val="22"/>
          <w:szCs w:val="22"/>
        </w:rPr>
        <w:t>9</w:t>
      </w:r>
      <w:r w:rsidRPr="003D0620">
        <w:rPr>
          <w:i/>
          <w:sz w:val="22"/>
          <w:szCs w:val="22"/>
        </w:rPr>
        <w:t>.</w:t>
      </w:r>
      <w:r>
        <w:rPr>
          <w:i/>
          <w:sz w:val="22"/>
          <w:szCs w:val="22"/>
        </w:rPr>
        <w:t>06.2018; Prihvaćeno:16.10</w:t>
      </w:r>
      <w:r w:rsidRPr="003D0620">
        <w:rPr>
          <w:i/>
          <w:sz w:val="22"/>
          <w:szCs w:val="22"/>
        </w:rPr>
        <w:t>.201</w:t>
      </w:r>
      <w:r>
        <w:rPr>
          <w:i/>
          <w:sz w:val="22"/>
          <w:szCs w:val="22"/>
        </w:rPr>
        <w:t>8Submitted</w:t>
      </w:r>
      <w:r w:rsidRPr="003D0620">
        <w:rPr>
          <w:i/>
          <w:sz w:val="22"/>
          <w:szCs w:val="22"/>
        </w:rPr>
        <w:t>: 2</w:t>
      </w:r>
      <w:r>
        <w:rPr>
          <w:i/>
          <w:sz w:val="22"/>
          <w:szCs w:val="22"/>
        </w:rPr>
        <w:t>9</w:t>
      </w:r>
      <w:r w:rsidRPr="003D0620">
        <w:rPr>
          <w:i/>
          <w:sz w:val="22"/>
          <w:szCs w:val="22"/>
        </w:rPr>
        <w:t>-</w:t>
      </w:r>
      <w:r>
        <w:rPr>
          <w:i/>
          <w:sz w:val="22"/>
          <w:szCs w:val="22"/>
        </w:rPr>
        <w:t>06-2018; Accepted: 16-10</w:t>
      </w:r>
      <w:r w:rsidRPr="003D0620">
        <w:rPr>
          <w:i/>
          <w:sz w:val="22"/>
          <w:szCs w:val="22"/>
        </w:rPr>
        <w:t>-201</w:t>
      </w:r>
      <w:r>
        <w:rPr>
          <w:i/>
          <w:sz w:val="22"/>
          <w:szCs w:val="22"/>
        </w:rPr>
        <w:t>8</w:t>
      </w:r>
    </w:p>
    <w:p w:rsidR="009A7929" w:rsidRPr="001B63E7" w:rsidRDefault="009A7929" w:rsidP="001B63E7">
      <w:pPr>
        <w:rPr>
          <w:sz w:val="20"/>
          <w:szCs w:val="20"/>
          <w:lang w:val="hr-HR"/>
        </w:rPr>
      </w:pPr>
      <w:bookmarkStart w:id="0" w:name="_GoBack"/>
      <w:bookmarkEnd w:id="0"/>
      <w:r w:rsidRPr="001B63E7">
        <w:rPr>
          <w:rStyle w:val="FootnoteReference"/>
          <w:b/>
          <w:sz w:val="20"/>
          <w:szCs w:val="20"/>
        </w:rPr>
        <w:t>*</w:t>
      </w:r>
      <w:r w:rsidRPr="001B63E7">
        <w:rPr>
          <w:b/>
          <w:sz w:val="20"/>
          <w:szCs w:val="20"/>
        </w:rPr>
        <w:t>Dr.</w:t>
      </w:r>
      <w:r w:rsidRPr="001B63E7">
        <w:rPr>
          <w:b/>
          <w:bCs/>
          <w:iCs/>
          <w:sz w:val="20"/>
          <w:szCs w:val="20"/>
        </w:rPr>
        <w:t xml:space="preserve">Dubravka Mahaček, </w:t>
      </w:r>
      <w:r w:rsidRPr="00A16C99">
        <w:rPr>
          <w:sz w:val="20"/>
          <w:szCs w:val="20"/>
          <w:lang w:val="hr-HR"/>
        </w:rPr>
        <w:t>izv</w:t>
      </w:r>
      <w:r w:rsidRPr="001B63E7">
        <w:rPr>
          <w:sz w:val="20"/>
          <w:szCs w:val="20"/>
          <w:lang w:val="hr-HR"/>
        </w:rPr>
        <w:t xml:space="preserve">. </w:t>
      </w:r>
      <w:r>
        <w:rPr>
          <w:sz w:val="20"/>
          <w:szCs w:val="20"/>
          <w:lang w:val="hr-HR"/>
        </w:rPr>
        <w:t>p</w:t>
      </w:r>
      <w:r w:rsidRPr="001B63E7">
        <w:rPr>
          <w:sz w:val="20"/>
          <w:szCs w:val="20"/>
          <w:lang w:val="hr-HR"/>
        </w:rPr>
        <w:t xml:space="preserve">rofesor, Sveučilište Josipa Jurja Strossmayera u Osijeku, Medicinski Fakultet Osijek; Državni ured za reviziju, </w:t>
      </w:r>
      <w:r>
        <w:rPr>
          <w:sz w:val="20"/>
          <w:szCs w:val="20"/>
          <w:lang w:val="hr-HR"/>
        </w:rPr>
        <w:t>Kamenita vrata 8, 34</w:t>
      </w:r>
      <w:r w:rsidRPr="001B63E7">
        <w:rPr>
          <w:sz w:val="20"/>
          <w:szCs w:val="20"/>
          <w:lang w:val="hr-HR"/>
        </w:rPr>
        <w:t xml:space="preserve">000 Požega, Hrvatska, </w:t>
      </w:r>
      <w:r w:rsidRPr="001B63E7">
        <w:rPr>
          <w:sz w:val="20"/>
          <w:szCs w:val="20"/>
        </w:rPr>
        <w:t xml:space="preserve">E-mail: </w:t>
      </w:r>
      <w:hyperlink r:id="rId1" w:history="1">
        <w:r w:rsidRPr="001B63E7">
          <w:rPr>
            <w:rStyle w:val="Hyperlink"/>
            <w:sz w:val="20"/>
            <w:szCs w:val="20"/>
          </w:rPr>
          <w:t>dmahacek@vup.hr</w:t>
        </w:r>
      </w:hyperlink>
    </w:p>
    <w:p w:rsidR="009A7929" w:rsidRDefault="009A7929" w:rsidP="001B63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29" w:rsidRDefault="009A792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7929" w:rsidRDefault="009A7929" w:rsidP="007D77CE">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9A7929" w:rsidRDefault="009A79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29" w:rsidRDefault="009A792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A7929" w:rsidRPr="00736D64" w:rsidRDefault="009A7929" w:rsidP="00CC0B6B">
    <w:pPr>
      <w:pStyle w:val="Header"/>
      <w:ind w:right="360"/>
      <w:rPr>
        <w:sz w:val="18"/>
        <w:szCs w:val="18"/>
        <w:lang w:val="hr-HR"/>
      </w:rPr>
    </w:pPr>
    <w:r>
      <w:rPr>
        <w:sz w:val="18"/>
        <w:szCs w:val="18"/>
        <w:lang w:val="hr-HR"/>
      </w:rPr>
      <w:t>Dubravka Mahaček</w:t>
    </w:r>
    <w:r w:rsidRPr="00736D64">
      <w:rPr>
        <w:sz w:val="18"/>
        <w:szCs w:val="18"/>
        <w:lang w:val="hr-HR"/>
      </w:rPr>
      <w:t xml:space="preserve">: </w:t>
    </w:r>
    <w:r>
      <w:rPr>
        <w:sz w:val="18"/>
        <w:szCs w:val="18"/>
        <w:lang w:val="hr-HR"/>
      </w:rPr>
      <w:t xml:space="preserve">FINANCIJSKA REVIZIJA VISOKIH UČILIŠTA I POSLOVANJE MEDICINSKIH FAKULTETA,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42</w:t>
    </w:r>
  </w:p>
  <w:p w:rsidR="009A7929" w:rsidRDefault="009A7929"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30E"/>
    <w:multiLevelType w:val="hybridMultilevel"/>
    <w:tmpl w:val="6006558A"/>
    <w:lvl w:ilvl="0" w:tplc="F18C289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2">
    <w:nsid w:val="0132176E"/>
    <w:multiLevelType w:val="hybridMultilevel"/>
    <w:tmpl w:val="1C1814C6"/>
    <w:lvl w:ilvl="0" w:tplc="818A0720">
      <w:start w:val="1"/>
      <w:numFmt w:val="bullet"/>
      <w:lvlText w:val=""/>
      <w:lvlJc w:val="left"/>
      <w:pPr>
        <w:tabs>
          <w:tab w:val="num" w:pos="2160"/>
        </w:tabs>
        <w:ind w:left="2160" w:hanging="1026"/>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1C468F0"/>
    <w:multiLevelType w:val="hybridMultilevel"/>
    <w:tmpl w:val="A6A46A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06B864B4"/>
    <w:multiLevelType w:val="hybridMultilevel"/>
    <w:tmpl w:val="17D214B8"/>
    <w:lvl w:ilvl="0" w:tplc="0FBAB390">
      <w:start w:val="1"/>
      <w:numFmt w:val="bullet"/>
      <w:lvlText w:val=""/>
      <w:lvlJc w:val="left"/>
      <w:pPr>
        <w:tabs>
          <w:tab w:val="num" w:pos="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09C6CA6"/>
    <w:multiLevelType w:val="hybridMultilevel"/>
    <w:tmpl w:val="E9FAA280"/>
    <w:lvl w:ilvl="0" w:tplc="67967728">
      <w:start w:val="1"/>
      <w:numFmt w:val="bullet"/>
      <w:lvlText w:val=""/>
      <w:lvlJc w:val="left"/>
      <w:pPr>
        <w:tabs>
          <w:tab w:val="num" w:pos="864"/>
        </w:tabs>
        <w:ind w:left="864" w:hanging="252"/>
      </w:pPr>
      <w:rPr>
        <w:rFonts w:ascii="Symbol" w:hAnsi="Symbol" w:hint="default"/>
        <w:sz w:val="12"/>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0">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177289"/>
    <w:multiLevelType w:val="hybridMultilevel"/>
    <w:tmpl w:val="824891C2"/>
    <w:lvl w:ilvl="0" w:tplc="67967728">
      <w:start w:val="1"/>
      <w:numFmt w:val="bullet"/>
      <w:lvlText w:val=""/>
      <w:lvlJc w:val="left"/>
      <w:pPr>
        <w:tabs>
          <w:tab w:val="num" w:pos="674"/>
        </w:tabs>
        <w:ind w:left="674" w:hanging="252"/>
      </w:pPr>
      <w:rPr>
        <w:rFonts w:ascii="Symbol" w:hAnsi="Symbol" w:hint="default"/>
        <w:sz w:val="12"/>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nsid w:val="28F75079"/>
    <w:multiLevelType w:val="hybridMultilevel"/>
    <w:tmpl w:val="BE60083C"/>
    <w:lvl w:ilvl="0" w:tplc="7B529342">
      <w:start w:val="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C4807B8"/>
    <w:multiLevelType w:val="multilevel"/>
    <w:tmpl w:val="CBD670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01B291C"/>
    <w:multiLevelType w:val="hybridMultilevel"/>
    <w:tmpl w:val="624EC9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21A5B31"/>
    <w:multiLevelType w:val="hybridMultilevel"/>
    <w:tmpl w:val="798EB43E"/>
    <w:lvl w:ilvl="0" w:tplc="BC22EAF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nsid w:val="32AD5243"/>
    <w:multiLevelType w:val="hybridMultilevel"/>
    <w:tmpl w:val="60C4BE72"/>
    <w:lvl w:ilvl="0" w:tplc="CE201FF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DA804BC"/>
    <w:multiLevelType w:val="hybridMultilevel"/>
    <w:tmpl w:val="D9B0F368"/>
    <w:lvl w:ilvl="0" w:tplc="B60C7C6A">
      <w:start w:val="1"/>
      <w:numFmt w:val="decimal"/>
      <w:pStyle w:val="References"/>
      <w:lvlText w:val="%1."/>
      <w:lvlJc w:val="left"/>
      <w:pPr>
        <w:tabs>
          <w:tab w:val="num" w:pos="851"/>
        </w:tabs>
        <w:ind w:left="851"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F542DFB"/>
    <w:multiLevelType w:val="hybridMultilevel"/>
    <w:tmpl w:val="18E45424"/>
    <w:lvl w:ilvl="0" w:tplc="B24A46BC">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747874"/>
    <w:multiLevelType w:val="hybridMultilevel"/>
    <w:tmpl w:val="CF84B71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3">
    <w:nsid w:val="4EAB4096"/>
    <w:multiLevelType w:val="hybridMultilevel"/>
    <w:tmpl w:val="D6DEA120"/>
    <w:lvl w:ilvl="0" w:tplc="806E8EB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FDE313B"/>
    <w:multiLevelType w:val="hybridMultilevel"/>
    <w:tmpl w:val="CBD670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6">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nsid w:val="70E67103"/>
    <w:multiLevelType w:val="hybridMultilevel"/>
    <w:tmpl w:val="990279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18254D4"/>
    <w:multiLevelType w:val="multilevel"/>
    <w:tmpl w:val="17D214B8"/>
    <w:lvl w:ilvl="0">
      <w:start w:val="1"/>
      <w:numFmt w:val="bullet"/>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2">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1"/>
  </w:num>
  <w:num w:numId="2">
    <w:abstractNumId w:val="25"/>
  </w:num>
  <w:num w:numId="3">
    <w:abstractNumId w:val="25"/>
  </w:num>
  <w:num w:numId="4">
    <w:abstractNumId w:val="6"/>
  </w:num>
  <w:num w:numId="5">
    <w:abstractNumId w:val="33"/>
  </w:num>
  <w:num w:numId="6">
    <w:abstractNumId w:val="8"/>
  </w:num>
  <w:num w:numId="7">
    <w:abstractNumId w:val="9"/>
  </w:num>
  <w:num w:numId="8">
    <w:abstractNumId w:val="11"/>
  </w:num>
  <w:num w:numId="9">
    <w:abstractNumId w:val="26"/>
  </w:num>
  <w:num w:numId="10">
    <w:abstractNumId w:val="4"/>
  </w:num>
  <w:num w:numId="11">
    <w:abstractNumId w:val="16"/>
  </w:num>
  <w:num w:numId="1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0"/>
  </w:num>
  <w:num w:numId="15">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lvlOverride w:ilvl="0">
      <w:startOverride w:val="1"/>
    </w:lvlOverride>
  </w:num>
  <w:num w:numId="19">
    <w:abstractNumId w:val="22"/>
  </w:num>
  <w:num w:numId="20">
    <w:abstractNumId w:val="3"/>
  </w:num>
  <w:num w:numId="21">
    <w:abstractNumId w:val="15"/>
  </w:num>
  <w:num w:numId="22">
    <w:abstractNumId w:val="24"/>
  </w:num>
  <w:num w:numId="23">
    <w:abstractNumId w:val="29"/>
  </w:num>
  <w:num w:numId="24">
    <w:abstractNumId w:val="14"/>
  </w:num>
  <w:num w:numId="25">
    <w:abstractNumId w:val="5"/>
  </w:num>
  <w:num w:numId="26">
    <w:abstractNumId w:val="30"/>
  </w:num>
  <w:num w:numId="27">
    <w:abstractNumId w:val="7"/>
  </w:num>
  <w:num w:numId="28">
    <w:abstractNumId w:val="12"/>
  </w:num>
  <w:num w:numId="29">
    <w:abstractNumId w:val="2"/>
  </w:num>
  <w:num w:numId="30">
    <w:abstractNumId w:val="13"/>
  </w:num>
  <w:num w:numId="31">
    <w:abstractNumId w:val="17"/>
  </w:num>
  <w:num w:numId="32">
    <w:abstractNumId w:val="0"/>
  </w:num>
  <w:num w:numId="33">
    <w:abstractNumId w:val="19"/>
  </w:num>
  <w:num w:numId="34">
    <w:abstractNumId w:val="21"/>
  </w:num>
  <w:num w:numId="35">
    <w:abstractNumId w:val="23"/>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2480"/>
    <w:rsid w:val="00087AAF"/>
    <w:rsid w:val="0009154C"/>
    <w:rsid w:val="00095750"/>
    <w:rsid w:val="000A722A"/>
    <w:rsid w:val="000D5D7C"/>
    <w:rsid w:val="000E0D53"/>
    <w:rsid w:val="000F0A75"/>
    <w:rsid w:val="000F28FD"/>
    <w:rsid w:val="000F7BB1"/>
    <w:rsid w:val="00101117"/>
    <w:rsid w:val="00102BC8"/>
    <w:rsid w:val="00106CC7"/>
    <w:rsid w:val="001154EE"/>
    <w:rsid w:val="001158A4"/>
    <w:rsid w:val="00122C71"/>
    <w:rsid w:val="00135F40"/>
    <w:rsid w:val="00136C4F"/>
    <w:rsid w:val="00143E4D"/>
    <w:rsid w:val="00152A0A"/>
    <w:rsid w:val="00155E30"/>
    <w:rsid w:val="00163B34"/>
    <w:rsid w:val="001653EA"/>
    <w:rsid w:val="0016647B"/>
    <w:rsid w:val="001703AC"/>
    <w:rsid w:val="00170A47"/>
    <w:rsid w:val="00172985"/>
    <w:rsid w:val="001737A6"/>
    <w:rsid w:val="0019677B"/>
    <w:rsid w:val="001A04D5"/>
    <w:rsid w:val="001A2966"/>
    <w:rsid w:val="001A3C76"/>
    <w:rsid w:val="001B1E3D"/>
    <w:rsid w:val="001B383D"/>
    <w:rsid w:val="001B63E7"/>
    <w:rsid w:val="001C562A"/>
    <w:rsid w:val="001E00CF"/>
    <w:rsid w:val="001E32DC"/>
    <w:rsid w:val="00215D37"/>
    <w:rsid w:val="002223FF"/>
    <w:rsid w:val="00224F4B"/>
    <w:rsid w:val="0023309B"/>
    <w:rsid w:val="00235A61"/>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5E01"/>
    <w:rsid w:val="00301183"/>
    <w:rsid w:val="00301969"/>
    <w:rsid w:val="00313AA9"/>
    <w:rsid w:val="00314BEF"/>
    <w:rsid w:val="00320BCB"/>
    <w:rsid w:val="00321752"/>
    <w:rsid w:val="00322ED3"/>
    <w:rsid w:val="00326CFA"/>
    <w:rsid w:val="0034089C"/>
    <w:rsid w:val="003459BC"/>
    <w:rsid w:val="00350D5A"/>
    <w:rsid w:val="00360DFF"/>
    <w:rsid w:val="00363F48"/>
    <w:rsid w:val="00370FE1"/>
    <w:rsid w:val="00371515"/>
    <w:rsid w:val="00381B59"/>
    <w:rsid w:val="00390736"/>
    <w:rsid w:val="003A3685"/>
    <w:rsid w:val="003B6218"/>
    <w:rsid w:val="003D0620"/>
    <w:rsid w:val="003D2629"/>
    <w:rsid w:val="003E0BC9"/>
    <w:rsid w:val="003E1192"/>
    <w:rsid w:val="003E3B8A"/>
    <w:rsid w:val="00400F6A"/>
    <w:rsid w:val="00403494"/>
    <w:rsid w:val="00411552"/>
    <w:rsid w:val="00427C29"/>
    <w:rsid w:val="00430955"/>
    <w:rsid w:val="00451C87"/>
    <w:rsid w:val="004553C1"/>
    <w:rsid w:val="004560BB"/>
    <w:rsid w:val="0045798B"/>
    <w:rsid w:val="004744FD"/>
    <w:rsid w:val="004746BF"/>
    <w:rsid w:val="00475139"/>
    <w:rsid w:val="0048382D"/>
    <w:rsid w:val="004956C5"/>
    <w:rsid w:val="004A6511"/>
    <w:rsid w:val="004A6B6A"/>
    <w:rsid w:val="004D1E5D"/>
    <w:rsid w:val="004D334D"/>
    <w:rsid w:val="004D5178"/>
    <w:rsid w:val="004D707D"/>
    <w:rsid w:val="004F6DBB"/>
    <w:rsid w:val="00505513"/>
    <w:rsid w:val="00510FF3"/>
    <w:rsid w:val="00520B39"/>
    <w:rsid w:val="00532893"/>
    <w:rsid w:val="00537797"/>
    <w:rsid w:val="005441C4"/>
    <w:rsid w:val="00547EF1"/>
    <w:rsid w:val="0055799A"/>
    <w:rsid w:val="005739E2"/>
    <w:rsid w:val="005836E1"/>
    <w:rsid w:val="005A1685"/>
    <w:rsid w:val="005A3295"/>
    <w:rsid w:val="005A66D5"/>
    <w:rsid w:val="005A7E10"/>
    <w:rsid w:val="005C0A8A"/>
    <w:rsid w:val="005D01DA"/>
    <w:rsid w:val="005D236A"/>
    <w:rsid w:val="005D329E"/>
    <w:rsid w:val="005E35C0"/>
    <w:rsid w:val="005E5402"/>
    <w:rsid w:val="006139FB"/>
    <w:rsid w:val="00625640"/>
    <w:rsid w:val="0063040A"/>
    <w:rsid w:val="006369D2"/>
    <w:rsid w:val="00644BA4"/>
    <w:rsid w:val="00647B13"/>
    <w:rsid w:val="00655178"/>
    <w:rsid w:val="00665A3D"/>
    <w:rsid w:val="0067290A"/>
    <w:rsid w:val="006735AC"/>
    <w:rsid w:val="006809C1"/>
    <w:rsid w:val="00687D90"/>
    <w:rsid w:val="006A0F21"/>
    <w:rsid w:val="006A689F"/>
    <w:rsid w:val="006A7EDD"/>
    <w:rsid w:val="006B3E95"/>
    <w:rsid w:val="006D797B"/>
    <w:rsid w:val="006E7C83"/>
    <w:rsid w:val="00703769"/>
    <w:rsid w:val="00705F2F"/>
    <w:rsid w:val="00713AF4"/>
    <w:rsid w:val="00731A3E"/>
    <w:rsid w:val="00736D64"/>
    <w:rsid w:val="0074164D"/>
    <w:rsid w:val="007509C7"/>
    <w:rsid w:val="00754C14"/>
    <w:rsid w:val="00774D88"/>
    <w:rsid w:val="00775A75"/>
    <w:rsid w:val="00787665"/>
    <w:rsid w:val="0079481A"/>
    <w:rsid w:val="00796CEF"/>
    <w:rsid w:val="007A04DD"/>
    <w:rsid w:val="007A3EFC"/>
    <w:rsid w:val="007A7198"/>
    <w:rsid w:val="007A79A5"/>
    <w:rsid w:val="007B2577"/>
    <w:rsid w:val="007D77CE"/>
    <w:rsid w:val="007D7C29"/>
    <w:rsid w:val="007E0024"/>
    <w:rsid w:val="007E6C67"/>
    <w:rsid w:val="007F4074"/>
    <w:rsid w:val="007F449C"/>
    <w:rsid w:val="008013F5"/>
    <w:rsid w:val="00803059"/>
    <w:rsid w:val="00804BA9"/>
    <w:rsid w:val="00833BBF"/>
    <w:rsid w:val="00835637"/>
    <w:rsid w:val="0083709C"/>
    <w:rsid w:val="0084264E"/>
    <w:rsid w:val="00843D1E"/>
    <w:rsid w:val="008734B5"/>
    <w:rsid w:val="0088076D"/>
    <w:rsid w:val="00886FDA"/>
    <w:rsid w:val="008A3B9A"/>
    <w:rsid w:val="008A518F"/>
    <w:rsid w:val="008B2625"/>
    <w:rsid w:val="008B3196"/>
    <w:rsid w:val="008B47FB"/>
    <w:rsid w:val="008B4EC6"/>
    <w:rsid w:val="008B7B75"/>
    <w:rsid w:val="008C7EF3"/>
    <w:rsid w:val="008E5F6A"/>
    <w:rsid w:val="008E678F"/>
    <w:rsid w:val="008F126B"/>
    <w:rsid w:val="00905873"/>
    <w:rsid w:val="009160E6"/>
    <w:rsid w:val="00923202"/>
    <w:rsid w:val="0092447D"/>
    <w:rsid w:val="00942409"/>
    <w:rsid w:val="00943E7A"/>
    <w:rsid w:val="0094511E"/>
    <w:rsid w:val="00963A44"/>
    <w:rsid w:val="0096748B"/>
    <w:rsid w:val="0097015E"/>
    <w:rsid w:val="0098672C"/>
    <w:rsid w:val="00996813"/>
    <w:rsid w:val="009A14AE"/>
    <w:rsid w:val="009A7929"/>
    <w:rsid w:val="009B18A4"/>
    <w:rsid w:val="009B443B"/>
    <w:rsid w:val="009C0ED5"/>
    <w:rsid w:val="009D0CD5"/>
    <w:rsid w:val="009E7DD5"/>
    <w:rsid w:val="00A16C99"/>
    <w:rsid w:val="00A346C6"/>
    <w:rsid w:val="00A47DB2"/>
    <w:rsid w:val="00A5168D"/>
    <w:rsid w:val="00A5560D"/>
    <w:rsid w:val="00A55DED"/>
    <w:rsid w:val="00A60DAC"/>
    <w:rsid w:val="00A71D82"/>
    <w:rsid w:val="00A732CB"/>
    <w:rsid w:val="00A90B59"/>
    <w:rsid w:val="00A91470"/>
    <w:rsid w:val="00AA322D"/>
    <w:rsid w:val="00AB3C48"/>
    <w:rsid w:val="00AB6B4A"/>
    <w:rsid w:val="00AC1A57"/>
    <w:rsid w:val="00AC2355"/>
    <w:rsid w:val="00AC323C"/>
    <w:rsid w:val="00AC4683"/>
    <w:rsid w:val="00AC4C47"/>
    <w:rsid w:val="00AD1B65"/>
    <w:rsid w:val="00AE0170"/>
    <w:rsid w:val="00AE7EE3"/>
    <w:rsid w:val="00AF14AD"/>
    <w:rsid w:val="00AF50F6"/>
    <w:rsid w:val="00B2529C"/>
    <w:rsid w:val="00B31EE0"/>
    <w:rsid w:val="00B32AB3"/>
    <w:rsid w:val="00B41217"/>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31D9"/>
    <w:rsid w:val="00BC4477"/>
    <w:rsid w:val="00BE06BF"/>
    <w:rsid w:val="00BE3E3D"/>
    <w:rsid w:val="00BE6392"/>
    <w:rsid w:val="00BE6EF9"/>
    <w:rsid w:val="00BE7E04"/>
    <w:rsid w:val="00C049CC"/>
    <w:rsid w:val="00C078DE"/>
    <w:rsid w:val="00C21AF9"/>
    <w:rsid w:val="00C31015"/>
    <w:rsid w:val="00C316FD"/>
    <w:rsid w:val="00C3763D"/>
    <w:rsid w:val="00C53457"/>
    <w:rsid w:val="00C6633F"/>
    <w:rsid w:val="00C90135"/>
    <w:rsid w:val="00C93474"/>
    <w:rsid w:val="00CA3849"/>
    <w:rsid w:val="00CB0F32"/>
    <w:rsid w:val="00CB7248"/>
    <w:rsid w:val="00CC0169"/>
    <w:rsid w:val="00CC0313"/>
    <w:rsid w:val="00CC0B6B"/>
    <w:rsid w:val="00CC2EBC"/>
    <w:rsid w:val="00CD57C2"/>
    <w:rsid w:val="00CD5909"/>
    <w:rsid w:val="00CD5DCB"/>
    <w:rsid w:val="00CD6F9C"/>
    <w:rsid w:val="00CE4788"/>
    <w:rsid w:val="00D03A44"/>
    <w:rsid w:val="00D20715"/>
    <w:rsid w:val="00D3231E"/>
    <w:rsid w:val="00D36B2E"/>
    <w:rsid w:val="00D5245D"/>
    <w:rsid w:val="00D5778A"/>
    <w:rsid w:val="00D778A3"/>
    <w:rsid w:val="00D85BE4"/>
    <w:rsid w:val="00D86988"/>
    <w:rsid w:val="00D91956"/>
    <w:rsid w:val="00D93F82"/>
    <w:rsid w:val="00DA0E8D"/>
    <w:rsid w:val="00DA101E"/>
    <w:rsid w:val="00DA5B93"/>
    <w:rsid w:val="00DA635F"/>
    <w:rsid w:val="00DB5700"/>
    <w:rsid w:val="00DC0189"/>
    <w:rsid w:val="00DC51DD"/>
    <w:rsid w:val="00DD47B0"/>
    <w:rsid w:val="00DD6216"/>
    <w:rsid w:val="00DF27D4"/>
    <w:rsid w:val="00DF7700"/>
    <w:rsid w:val="00E05ED5"/>
    <w:rsid w:val="00E2479B"/>
    <w:rsid w:val="00E248F4"/>
    <w:rsid w:val="00E41C65"/>
    <w:rsid w:val="00E43CC3"/>
    <w:rsid w:val="00E445C2"/>
    <w:rsid w:val="00E53E08"/>
    <w:rsid w:val="00E625A8"/>
    <w:rsid w:val="00E64819"/>
    <w:rsid w:val="00E704A1"/>
    <w:rsid w:val="00E709EC"/>
    <w:rsid w:val="00E866CA"/>
    <w:rsid w:val="00E90F14"/>
    <w:rsid w:val="00E9465B"/>
    <w:rsid w:val="00E95146"/>
    <w:rsid w:val="00E952C2"/>
    <w:rsid w:val="00EA0D39"/>
    <w:rsid w:val="00EB2F09"/>
    <w:rsid w:val="00EC05B0"/>
    <w:rsid w:val="00EC0F7B"/>
    <w:rsid w:val="00EC1921"/>
    <w:rsid w:val="00EC3DD1"/>
    <w:rsid w:val="00EC5E2F"/>
    <w:rsid w:val="00EE3017"/>
    <w:rsid w:val="00EE5F56"/>
    <w:rsid w:val="00EF4F79"/>
    <w:rsid w:val="00EF71D7"/>
    <w:rsid w:val="00F14EF2"/>
    <w:rsid w:val="00F164AE"/>
    <w:rsid w:val="00F16B26"/>
    <w:rsid w:val="00F176C2"/>
    <w:rsid w:val="00F428FB"/>
    <w:rsid w:val="00F439F9"/>
    <w:rsid w:val="00F5082C"/>
    <w:rsid w:val="00F52C05"/>
    <w:rsid w:val="00F60C59"/>
    <w:rsid w:val="00F62BEE"/>
    <w:rsid w:val="00F71316"/>
    <w:rsid w:val="00F75B01"/>
    <w:rsid w:val="00F84344"/>
    <w:rsid w:val="00F94F67"/>
    <w:rsid w:val="00F9552F"/>
    <w:rsid w:val="00FA4CB2"/>
    <w:rsid w:val="00FB427A"/>
    <w:rsid w:val="00FB451C"/>
    <w:rsid w:val="00FC2D5C"/>
    <w:rsid w:val="00FD24B8"/>
    <w:rsid w:val="00FF78A4"/>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Footnote Text Char,Char Char Char Char,Char Char Char1,Char Char,ARM footnote Text Char Char Char,ARM footnote Text Char Char1,Char Char1"/>
    <w:basedOn w:val="Normal"/>
    <w:link w:val="FootnoteTextChar1"/>
    <w:uiPriority w:val="99"/>
    <w:semiHidden/>
    <w:rsid w:val="00AF50F6"/>
    <w:pPr>
      <w:spacing w:before="0"/>
      <w:jc w:val="left"/>
    </w:pPr>
    <w:rPr>
      <w:sz w:val="20"/>
      <w:szCs w:val="20"/>
      <w:lang w:val="en-US"/>
    </w:rPr>
  </w:style>
  <w:style w:type="character" w:customStyle="1" w:styleId="FootnoteTextChar1">
    <w:name w:val="Footnote Text Char1"/>
    <w:aliases w:val="Footnote Text Char Char,Char Char Char Char Char,Char Char Char1 Char,Char Char Char,ARM footnote Text Char Char Char Char,ARM footnote Text Char Char1 Char,Char Char1 Char"/>
    <w:basedOn w:val="DefaultParagraphFont"/>
    <w:link w:val="FootnoteText"/>
    <w:uiPriority w:val="99"/>
    <w:semiHidden/>
    <w:rsid w:val="00AF6E82"/>
    <w:rPr>
      <w:rFonts w:ascii="Times New Roman" w:hAnsi="Times New Roman"/>
      <w:sz w:val="20"/>
      <w:szCs w:val="20"/>
      <w:lang w:val="en-GB" w:eastAsia="en-US"/>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AF6E82"/>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AF6E82"/>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AF6E82"/>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paragraph" w:customStyle="1" w:styleId="PaperTitleWCCM">
    <w:name w:val="Paper Title WCCM"/>
    <w:basedOn w:val="Normal"/>
    <w:uiPriority w:val="99"/>
    <w:rsid w:val="00136C4F"/>
    <w:pPr>
      <w:widowControl w:val="0"/>
      <w:autoSpaceDE w:val="0"/>
      <w:autoSpaceDN w:val="0"/>
      <w:spacing w:before="0" w:after="240"/>
    </w:pPr>
    <w:rPr>
      <w:b/>
      <w:bCs/>
      <w:caps/>
      <w:sz w:val="28"/>
      <w:szCs w:val="28"/>
      <w:lang w:val="en-US" w:eastAsia="es-ES"/>
    </w:rPr>
  </w:style>
  <w:style w:type="character" w:customStyle="1" w:styleId="a">
    <w:name w:val="a"/>
    <w:basedOn w:val="DefaultParagraphFont"/>
    <w:uiPriority w:val="99"/>
    <w:rsid w:val="00136C4F"/>
    <w:rPr>
      <w:rFonts w:cs="Times New Roman"/>
    </w:rPr>
  </w:style>
  <w:style w:type="character" w:styleId="Strong">
    <w:name w:val="Strong"/>
    <w:basedOn w:val="DefaultParagraphFont"/>
    <w:uiPriority w:val="99"/>
    <w:qFormat/>
    <w:rsid w:val="00136C4F"/>
    <w:rPr>
      <w:rFonts w:cs="Times New Roman"/>
      <w:b/>
    </w:rPr>
  </w:style>
  <w:style w:type="paragraph" w:customStyle="1" w:styleId="NoSpacing1">
    <w:name w:val="No Spacing1"/>
    <w:uiPriority w:val="99"/>
    <w:rsid w:val="00136C4F"/>
    <w:rPr>
      <w:rFonts w:ascii="Times New Roman" w:hAnsi="Times New Roman"/>
      <w:sz w:val="24"/>
      <w:lang w:val="hr-HR" w:eastAsia="hr-HR"/>
    </w:rPr>
  </w:style>
  <w:style w:type="character" w:styleId="FollowedHyperlink">
    <w:name w:val="FollowedHyperlink"/>
    <w:basedOn w:val="DefaultParagraphFont"/>
    <w:uiPriority w:val="99"/>
    <w:rsid w:val="00136C4F"/>
    <w:rPr>
      <w:rFonts w:cs="Times New Roman"/>
      <w:color w:val="800080"/>
      <w:u w:val="single"/>
    </w:rPr>
  </w:style>
  <w:style w:type="paragraph" w:customStyle="1" w:styleId="References">
    <w:name w:val="References"/>
    <w:basedOn w:val="Normal"/>
    <w:uiPriority w:val="99"/>
    <w:rsid w:val="00136C4F"/>
    <w:pPr>
      <w:numPr>
        <w:numId w:val="36"/>
      </w:numPr>
      <w:spacing w:before="0"/>
      <w:jc w:val="left"/>
    </w:pPr>
    <w:rPr>
      <w:lang w:val="en-US" w:eastAsia="cs-CZ"/>
    </w:rPr>
  </w:style>
</w:styles>
</file>

<file path=word/webSettings.xml><?xml version="1.0" encoding="utf-8"?>
<w:webSettings xmlns:r="http://schemas.openxmlformats.org/officeDocument/2006/relationships" xmlns:w="http://schemas.openxmlformats.org/wordprocessingml/2006/main">
  <w:divs>
    <w:div w:id="763649309">
      <w:marLeft w:val="0"/>
      <w:marRight w:val="0"/>
      <w:marTop w:val="0"/>
      <w:marBottom w:val="0"/>
      <w:divBdr>
        <w:top w:val="none" w:sz="0" w:space="0" w:color="auto"/>
        <w:left w:val="none" w:sz="0" w:space="0" w:color="auto"/>
        <w:bottom w:val="none" w:sz="0" w:space="0" w:color="auto"/>
        <w:right w:val="none" w:sz="0" w:space="0" w:color="auto"/>
      </w:divBdr>
    </w:div>
    <w:div w:id="763649310">
      <w:marLeft w:val="0"/>
      <w:marRight w:val="0"/>
      <w:marTop w:val="0"/>
      <w:marBottom w:val="0"/>
      <w:divBdr>
        <w:top w:val="none" w:sz="0" w:space="0" w:color="auto"/>
        <w:left w:val="none" w:sz="0" w:space="0" w:color="auto"/>
        <w:bottom w:val="none" w:sz="0" w:space="0" w:color="auto"/>
        <w:right w:val="none" w:sz="0" w:space="0" w:color="auto"/>
      </w:divBdr>
    </w:div>
    <w:div w:id="763649315">
      <w:marLeft w:val="0"/>
      <w:marRight w:val="0"/>
      <w:marTop w:val="0"/>
      <w:marBottom w:val="0"/>
      <w:divBdr>
        <w:top w:val="none" w:sz="0" w:space="0" w:color="auto"/>
        <w:left w:val="none" w:sz="0" w:space="0" w:color="auto"/>
        <w:bottom w:val="none" w:sz="0" w:space="0" w:color="auto"/>
        <w:right w:val="none" w:sz="0" w:space="0" w:color="auto"/>
      </w:divBdr>
    </w:div>
    <w:div w:id="763649316">
      <w:marLeft w:val="0"/>
      <w:marRight w:val="0"/>
      <w:marTop w:val="0"/>
      <w:marBottom w:val="0"/>
      <w:divBdr>
        <w:top w:val="none" w:sz="0" w:space="0" w:color="auto"/>
        <w:left w:val="none" w:sz="0" w:space="0" w:color="auto"/>
        <w:bottom w:val="none" w:sz="0" w:space="0" w:color="auto"/>
        <w:right w:val="none" w:sz="0" w:space="0" w:color="auto"/>
      </w:divBdr>
      <w:divsChild>
        <w:div w:id="763649320">
          <w:marLeft w:val="0"/>
          <w:marRight w:val="0"/>
          <w:marTop w:val="0"/>
          <w:marBottom w:val="0"/>
          <w:divBdr>
            <w:top w:val="none" w:sz="0" w:space="0" w:color="auto"/>
            <w:left w:val="none" w:sz="0" w:space="0" w:color="auto"/>
            <w:bottom w:val="none" w:sz="0" w:space="0" w:color="auto"/>
            <w:right w:val="none" w:sz="0" w:space="0" w:color="auto"/>
          </w:divBdr>
          <w:divsChild>
            <w:div w:id="763649312">
              <w:marLeft w:val="0"/>
              <w:marRight w:val="0"/>
              <w:marTop w:val="0"/>
              <w:marBottom w:val="0"/>
              <w:divBdr>
                <w:top w:val="none" w:sz="0" w:space="0" w:color="auto"/>
                <w:left w:val="none" w:sz="0" w:space="0" w:color="auto"/>
                <w:bottom w:val="none" w:sz="0" w:space="0" w:color="auto"/>
                <w:right w:val="none" w:sz="0" w:space="0" w:color="auto"/>
              </w:divBdr>
              <w:divsChild>
                <w:div w:id="7636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9317">
      <w:marLeft w:val="0"/>
      <w:marRight w:val="0"/>
      <w:marTop w:val="0"/>
      <w:marBottom w:val="0"/>
      <w:divBdr>
        <w:top w:val="none" w:sz="0" w:space="0" w:color="auto"/>
        <w:left w:val="none" w:sz="0" w:space="0" w:color="auto"/>
        <w:bottom w:val="none" w:sz="0" w:space="0" w:color="auto"/>
        <w:right w:val="none" w:sz="0" w:space="0" w:color="auto"/>
      </w:divBdr>
    </w:div>
    <w:div w:id="763649318">
      <w:marLeft w:val="0"/>
      <w:marRight w:val="0"/>
      <w:marTop w:val="0"/>
      <w:marBottom w:val="0"/>
      <w:divBdr>
        <w:top w:val="none" w:sz="0" w:space="0" w:color="auto"/>
        <w:left w:val="none" w:sz="0" w:space="0" w:color="auto"/>
        <w:bottom w:val="none" w:sz="0" w:space="0" w:color="auto"/>
        <w:right w:val="none" w:sz="0" w:space="0" w:color="auto"/>
      </w:divBdr>
      <w:divsChild>
        <w:div w:id="763649311">
          <w:marLeft w:val="0"/>
          <w:marRight w:val="0"/>
          <w:marTop w:val="0"/>
          <w:marBottom w:val="0"/>
          <w:divBdr>
            <w:top w:val="none" w:sz="0" w:space="0" w:color="auto"/>
            <w:left w:val="none" w:sz="0" w:space="0" w:color="auto"/>
            <w:bottom w:val="none" w:sz="0" w:space="0" w:color="auto"/>
            <w:right w:val="none" w:sz="0" w:space="0" w:color="auto"/>
          </w:divBdr>
          <w:divsChild>
            <w:div w:id="763649314">
              <w:marLeft w:val="0"/>
              <w:marRight w:val="0"/>
              <w:marTop w:val="0"/>
              <w:marBottom w:val="0"/>
              <w:divBdr>
                <w:top w:val="none" w:sz="0" w:space="0" w:color="auto"/>
                <w:left w:val="none" w:sz="0" w:space="0" w:color="auto"/>
                <w:bottom w:val="none" w:sz="0" w:space="0" w:color="auto"/>
                <w:right w:val="none" w:sz="0" w:space="0" w:color="auto"/>
              </w:divBdr>
              <w:divsChild>
                <w:div w:id="7636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9319">
      <w:marLeft w:val="0"/>
      <w:marRight w:val="0"/>
      <w:marTop w:val="0"/>
      <w:marBottom w:val="0"/>
      <w:divBdr>
        <w:top w:val="none" w:sz="0" w:space="0" w:color="auto"/>
        <w:left w:val="none" w:sz="0" w:space="0" w:color="auto"/>
        <w:bottom w:val="none" w:sz="0" w:space="0" w:color="auto"/>
        <w:right w:val="none" w:sz="0" w:space="0" w:color="auto"/>
      </w:divBdr>
    </w:div>
    <w:div w:id="763649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zija.hr/datastore%20/filestore/52/ISSAI_200.pdf" TargetMode="External"/><Relationship Id="rId13" Type="http://schemas.openxmlformats.org/officeDocument/2006/relationships/hyperlink" Target="http://www.revizija.hr/izvjesca/2011-vu-za-2009/izvjesce_o_obavljenoj_financijskoj_reviziji_visokih_ucilista_za_2009.pdf" TargetMode="External"/><Relationship Id="rId18" Type="http://schemas.openxmlformats.org/officeDocument/2006/relationships/hyperlink" Target="http://www.revizija.hr/izvjesca/2016/rr-2016/revizija-visoka-ucilista-2016/visoka-ucilista-skupno/izvjesce-o-obavljenoj-financijskoj-reviziji-visokih-ucilista.pdf" TargetMode="External"/><Relationship Id="rId26" Type="http://schemas.openxmlformats.org/officeDocument/2006/relationships/hyperlink" Target="http://www.revizija.hr/izvjesca/2011-vu-za-2009/pojedinacna_%20izvjesca/07_sveuciliste_u_zagrebu/medicinski_fakultet_zagreb.pdf" TargetMode="External"/><Relationship Id="rId3" Type="http://schemas.openxmlformats.org/officeDocument/2006/relationships/settings" Target="settings.xml"/><Relationship Id="rId21" Type="http://schemas.openxmlformats.org/officeDocument/2006/relationships/hyperlink" Target="http://www.revizija.hr/izvjesca/2016/rr-2016/revizija-visoka-ucilista-2016/fakulteti-i-akademije/medicinski-fakultet-osijek.pdf" TargetMode="External"/><Relationship Id="rId7" Type="http://schemas.openxmlformats.org/officeDocument/2006/relationships/hyperlink" Target="http://www.revizija.hr/datastore/filestore/52/ISSAI_200.pdf" TargetMode="External"/><Relationship Id="rId12" Type="http://schemas.openxmlformats.org/officeDocument/2006/relationships/hyperlink" Target="http://www.revizija.hr/izvjesca/2016/rr-2016/revizija-%20visoka-ucilista-2016/visoka-ucilista-skupno/izvjesce-o-obavljenoj-financijskoj-reviziji-visokih-ucilista.pdf" TargetMode="External"/><Relationship Id="rId17" Type="http://schemas.openxmlformats.org/officeDocument/2006/relationships/hyperlink" Target="http://www.revizija.hr/izvjesca/2016/rr-2016/revizija-visoka-ucilista-2016/visoka-ucilista-skupno/izvjesce-o-obavljenoj-financijskoj-reviziji-visokih-ucilista.pdf" TargetMode="External"/><Relationship Id="rId25" Type="http://schemas.openxmlformats.org/officeDocument/2006/relationships/hyperlink" Target="http://www.revizija.hr/izvjesca/2016/rr-2016/revizija-visoka-ucilista-2016/fakulteti-i-akademije/medicinski-fakultet-split.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izija.hr/izvjesca/2016/rr-2016/revizija-visoka-ucilista-2016/visoka-ucilista-skupno/izvjesce-o-obavljenoj-financijskoj-reviziji-visokih-ucilista.pdf" TargetMode="External"/><Relationship Id="rId20" Type="http://schemas.openxmlformats.org/officeDocument/2006/relationships/hyperlink" Target="http://www.revizija.hr/izvjesca/2011-vu-za-2009/pojedinacna_izvjesca/02%20_sveuciliste_u_osijeku/medicinski_fakultet_osijek.pdf" TargetMode="External"/><Relationship Id="rId29" Type="http://schemas.openxmlformats.org/officeDocument/2006/relationships/hyperlink" Target="http://www.revizija.hr/datastore/filestore/52/ISSAI_20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zija.hr/datastore/filestore%20/52/ISSAI_200.pdf" TargetMode="External"/><Relationship Id="rId24" Type="http://schemas.openxmlformats.org/officeDocument/2006/relationships/hyperlink" Target="http://www.revizija.hr/izvjesca/2011-vu-za-2009/pojedinacna_izvjesca%20/05_sveuciliste_u_splitu/medicinski_fakultet_split.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vizija.hr/izvjesca/2016/rr-2016/revizija-visoka-ucilista-2016/visoka-ucilista-skupno/izvjesce-o-obavljenoj-financijskoj-reviziji-visokih-ucilista.pdf" TargetMode="External"/><Relationship Id="rId23" Type="http://schemas.openxmlformats.org/officeDocument/2006/relationships/hyperlink" Target="http://www.revizija.hr/izvjesca/2016/rr-2016/revizija-visoka-ucilista-2016/fakulteti-i-akademije/medicinski-fakultet-rijeka.pdf" TargetMode="External"/><Relationship Id="rId28" Type="http://schemas.openxmlformats.org/officeDocument/2006/relationships/hyperlink" Target="http://www.revizija.hr/%20UserFiles/File/zakoni-akti/revizijski-standardi-intosai.pdf" TargetMode="External"/><Relationship Id="rId10" Type="http://schemas.openxmlformats.org/officeDocument/2006/relationships/hyperlink" Target="http://www.revizija.hr/UserFiles/%20File/zakoni-akti/revizijski-standardi-intosai.pdf" TargetMode="External"/><Relationship Id="rId19" Type="http://schemas.openxmlformats.org/officeDocument/2006/relationships/hyperlink" Target="http://www.revizija.hr/izvjesca/2011-vu-za-2009/izvjesce_o_obavljenoj%20_financijskoj_reviziji_visokih_ucilista_za_2009.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evizija.hr/izvjesca/2016/rr-2016/revizija-visoka-ucilista-2016%20/visoka-ucilista-skupno/izvjesce-o-obavljenoj-financijskoj-reviziji-visokih-ucilista.pdf" TargetMode="External"/><Relationship Id="rId14" Type="http://schemas.openxmlformats.org/officeDocument/2006/relationships/hyperlink" Target="http://www.revizija.hr/izvjesca/2016/rr-2016/revizija-visoka-ucilista-2016/visoka-ucilista-skupno/izvjesce-o-obavljenoj-financijskoj-reviziji-visokih-ucilista.pdf" TargetMode="External"/><Relationship Id="rId22" Type="http://schemas.openxmlformats.org/officeDocument/2006/relationships/hyperlink" Target="http://www.revizija.hr/izvjesca/2011-vu-za-2009/pojedinacna_%20izvjesca/04_sveuciliste_u_rijeci/medicinski_fakultet_rijeka.pdf" TargetMode="External"/><Relationship Id="rId27" Type="http://schemas.openxmlformats.org/officeDocument/2006/relationships/hyperlink" Target="http://www.revizija.hr/izvjesca/2016/rr-2016/revizija-visoka-ucilista-2016/fakulteti-i-akademije/medicinski-fakultet-zagreb.pdf"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mahacek@vu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7485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2019-06-25T11:05:00Z</dcterms:created>
  <dcterms:modified xsi:type="dcterms:W3CDTF">2019-06-25T11:05:00Z</dcterms:modified>
</cp:coreProperties>
</file>