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218" w:rsidRDefault="00493218"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42</w:t>
      </w:r>
    </w:p>
    <w:p w:rsidR="00493218" w:rsidRDefault="00493218" w:rsidP="000F4448">
      <w:pPr>
        <w:pStyle w:val="Heading1"/>
        <w:shd w:val="clear" w:color="auto" w:fill="FFFFFF"/>
        <w:spacing w:after="84"/>
        <w:ind w:left="6480"/>
        <w:jc w:val="right"/>
        <w:textAlignment w:val="baseline"/>
        <w:rPr>
          <w:i/>
        </w:rPr>
      </w:pPr>
      <w:r w:rsidRPr="000F4448">
        <w:rPr>
          <w:rFonts w:ascii="Times New Roman" w:hAnsi="Times New Roman"/>
          <w:b w:val="0"/>
          <w:bCs w:val="0"/>
          <w:i/>
          <w:lang w:val="hr-HR"/>
        </w:rPr>
        <w:t>Pregledni rad</w:t>
      </w:r>
      <w:r w:rsidRPr="000F4448">
        <w:rPr>
          <w:rFonts w:ascii="Times New Roman" w:hAnsi="Times New Roman"/>
          <w:b w:val="0"/>
          <w:i/>
        </w:rPr>
        <w:tab/>
        <w:t xml:space="preserve">                                                                                                       Review paper</w:t>
      </w:r>
    </w:p>
    <w:p w:rsidR="00493218" w:rsidRPr="00CD57C2" w:rsidRDefault="00493218" w:rsidP="002015E9">
      <w:pPr>
        <w:pStyle w:val="NoSpacing"/>
        <w:jc w:val="right"/>
        <w:rPr>
          <w:b w:val="0"/>
          <w:i/>
        </w:rPr>
      </w:pPr>
      <w:r w:rsidRPr="00BD1833">
        <w:rPr>
          <w:rFonts w:ascii="Times New Roman" w:hAnsi="Times New Roman"/>
          <w:i/>
        </w:rPr>
        <w:t>JEL Clas</w:t>
      </w:r>
      <w:r>
        <w:rPr>
          <w:rFonts w:ascii="Times New Roman" w:hAnsi="Times New Roman"/>
          <w:i/>
        </w:rPr>
        <w:t>s</w:t>
      </w:r>
      <w:r w:rsidRPr="00BD1833">
        <w:rPr>
          <w:rFonts w:ascii="Times New Roman" w:hAnsi="Times New Roman"/>
          <w:i/>
        </w:rPr>
        <w:t>ification</w:t>
      </w:r>
      <w:r w:rsidRPr="002015E9">
        <w:rPr>
          <w:rFonts w:ascii="Times New Roman" w:hAnsi="Times New Roman"/>
          <w:b w:val="0"/>
        </w:rPr>
        <w:t xml:space="preserve">: </w:t>
      </w:r>
      <w:r w:rsidRPr="002015E9">
        <w:rPr>
          <w:rFonts w:ascii="Times New Roman" w:hAnsi="Times New Roman"/>
          <w:b w:val="0"/>
          <w:i/>
          <w:lang w:val="sr-Latn-CS"/>
        </w:rPr>
        <w:t xml:space="preserve"> F63, </w:t>
      </w:r>
      <w:r>
        <w:rPr>
          <w:rFonts w:ascii="Times New Roman" w:hAnsi="Times New Roman"/>
          <w:b w:val="0"/>
          <w:i/>
          <w:lang w:val="sr-Latn-CS"/>
        </w:rPr>
        <w:t>F68, F53</w:t>
      </w:r>
    </w:p>
    <w:p w:rsidR="00493218" w:rsidRPr="00BD1833" w:rsidRDefault="00493218" w:rsidP="004A632E">
      <w:pPr>
        <w:pStyle w:val="Default"/>
      </w:pPr>
    </w:p>
    <w:p w:rsidR="00493218" w:rsidRPr="00521841" w:rsidRDefault="00493218" w:rsidP="004F0DD0">
      <w:pPr>
        <w:rPr>
          <w:lang w:val="sv-SE"/>
        </w:rPr>
      </w:pPr>
      <w:bookmarkStart w:id="0" w:name="_Toc462440602"/>
      <w:r w:rsidRPr="00521841">
        <w:rPr>
          <w:b/>
        </w:rPr>
        <w:t>Vlatka Bilas</w:t>
      </w:r>
      <w:r w:rsidRPr="00521841">
        <w:rPr>
          <w:rStyle w:val="FootnoteReference"/>
        </w:rPr>
        <w:footnoteReference w:customMarkFollows="1" w:id="2"/>
        <w:t>*</w:t>
      </w:r>
      <w:r w:rsidRPr="00521841">
        <w:rPr>
          <w:rFonts w:ascii="Agency FB" w:hAnsi="Agency FB"/>
        </w:rPr>
        <w:t>•</w:t>
      </w:r>
      <w:r w:rsidRPr="00521841">
        <w:rPr>
          <w:b/>
          <w:sz w:val="22"/>
          <w:szCs w:val="22"/>
          <w:lang w:val="de-DE"/>
        </w:rPr>
        <w:t xml:space="preserve"> </w:t>
      </w:r>
      <w:r w:rsidRPr="004C29A9">
        <w:rPr>
          <w:b/>
          <w:sz w:val="22"/>
          <w:szCs w:val="22"/>
          <w:lang w:val="de-DE"/>
        </w:rPr>
        <w:t>Mile Bošnjak</w:t>
      </w:r>
      <w:r w:rsidRPr="00521841">
        <w:rPr>
          <w:rStyle w:val="FootnoteReference"/>
        </w:rPr>
        <w:t xml:space="preserve"> </w:t>
      </w:r>
      <w:r w:rsidRPr="00521841">
        <w:rPr>
          <w:rStyle w:val="FootnoteReference"/>
        </w:rPr>
        <w:footnoteReference w:customMarkFollows="1" w:id="3"/>
        <w:t>*</w:t>
      </w:r>
      <w:r w:rsidRPr="00521841">
        <w:rPr>
          <w:rStyle w:val="FootnoteReference"/>
        </w:rPr>
        <w:footnoteReference w:customMarkFollows="1" w:id="4"/>
        <w:t>*</w:t>
      </w:r>
      <w:r w:rsidRPr="00521841">
        <w:rPr>
          <w:rFonts w:ascii="Agency FB" w:hAnsi="Agency FB"/>
        </w:rPr>
        <w:t xml:space="preserve">• </w:t>
      </w:r>
      <w:r w:rsidRPr="004C29A9">
        <w:rPr>
          <w:b/>
          <w:sz w:val="22"/>
          <w:szCs w:val="22"/>
          <w:lang w:val="de-DE"/>
        </w:rPr>
        <w:t>Ivan Novak</w:t>
      </w:r>
      <w:r w:rsidRPr="00521841">
        <w:rPr>
          <w:rStyle w:val="FootnoteReference"/>
          <w:lang w:val="sv-SE"/>
        </w:rPr>
        <w:t xml:space="preserve"> </w:t>
      </w:r>
      <w:r w:rsidRPr="00521841">
        <w:rPr>
          <w:rStyle w:val="FootnoteReference"/>
          <w:lang w:val="sv-SE"/>
        </w:rPr>
        <w:footnoteReference w:customMarkFollows="1" w:id="5"/>
        <w:t>*</w:t>
      </w:r>
      <w:r w:rsidRPr="00521841">
        <w:rPr>
          <w:rStyle w:val="FootnoteReference"/>
          <w:lang w:val="sv-SE"/>
        </w:rPr>
        <w:footnoteReference w:customMarkFollows="1" w:id="6"/>
        <w:t>*</w:t>
      </w:r>
      <w:r w:rsidRPr="00521841">
        <w:rPr>
          <w:rStyle w:val="FootnoteReference"/>
          <w:lang w:val="sv-SE"/>
        </w:rPr>
        <w:footnoteReference w:customMarkFollows="1" w:id="7"/>
        <w:t>*</w:t>
      </w:r>
    </w:p>
    <w:p w:rsidR="00493218" w:rsidRPr="004C29A9" w:rsidRDefault="00493218" w:rsidP="004F0DD0">
      <w:pPr>
        <w:jc w:val="center"/>
        <w:rPr>
          <w:b/>
          <w:caps/>
          <w:sz w:val="32"/>
          <w:lang w:val="en-US"/>
        </w:rPr>
      </w:pPr>
      <w:r w:rsidRPr="004C29A9">
        <w:rPr>
          <w:b/>
          <w:caps/>
          <w:sz w:val="32"/>
          <w:lang w:val="en-US"/>
        </w:rPr>
        <w:t xml:space="preserve">Konkurentnost zemalja članica Europske unije </w:t>
      </w:r>
    </w:p>
    <w:p w:rsidR="00493218" w:rsidRPr="00727969" w:rsidRDefault="00493218" w:rsidP="004F0DD0">
      <w:pPr>
        <w:jc w:val="center"/>
        <w:rPr>
          <w:b/>
          <w:caps/>
          <w:sz w:val="32"/>
        </w:rPr>
      </w:pPr>
      <w:r w:rsidRPr="00727969">
        <w:rPr>
          <w:b/>
          <w:caps/>
          <w:sz w:val="32"/>
        </w:rPr>
        <w:t xml:space="preserve">Competitiveness of European union </w:t>
      </w:r>
      <w:r>
        <w:rPr>
          <w:b/>
          <w:caps/>
          <w:sz w:val="32"/>
        </w:rPr>
        <w:t>MEMBER STATES</w:t>
      </w:r>
    </w:p>
    <w:p w:rsidR="00493218" w:rsidRDefault="00493218" w:rsidP="004F0DD0">
      <w:pPr>
        <w:pStyle w:val="Heading1"/>
        <w:spacing w:before="0"/>
        <w:rPr>
          <w:rFonts w:ascii="Times New Roman" w:hAnsi="Times New Roman"/>
          <w:i/>
        </w:rPr>
      </w:pPr>
    </w:p>
    <w:p w:rsidR="00493218" w:rsidRPr="00965224" w:rsidRDefault="00493218" w:rsidP="004F0DD0">
      <w:pPr>
        <w:pStyle w:val="Heading1"/>
        <w:spacing w:before="0"/>
        <w:rPr>
          <w:rFonts w:ascii="Times New Roman" w:hAnsi="Times New Roman"/>
          <w:b w:val="0"/>
          <w:i/>
        </w:rPr>
      </w:pPr>
      <w:r w:rsidRPr="00965224">
        <w:rPr>
          <w:rFonts w:ascii="Times New Roman" w:hAnsi="Times New Roman"/>
          <w:i/>
        </w:rPr>
        <w:t>Sažetak</w:t>
      </w:r>
    </w:p>
    <w:p w:rsidR="00493218" w:rsidRPr="002662CD" w:rsidRDefault="00493218" w:rsidP="004F0DD0">
      <w:pPr>
        <w:ind w:left="720"/>
        <w:rPr>
          <w:i/>
        </w:rPr>
      </w:pPr>
      <w:r w:rsidRPr="006B6CDD">
        <w:rPr>
          <w:i/>
        </w:rPr>
        <w:t xml:space="preserve">Ciljevi ovog rada su prikazati aspekte konkurentnosti u uvjetima globalizacije i Industrije 4.0 te rang zemalja Europske unije na svjetskoj ljestvici konkurentnosti </w:t>
      </w:r>
      <w:r>
        <w:rPr>
          <w:i/>
        </w:rPr>
        <w:t>uz</w:t>
      </w:r>
      <w:r w:rsidRPr="006B6CDD">
        <w:rPr>
          <w:i/>
        </w:rPr>
        <w:t xml:space="preserve"> komparativnu analizu konkurentnosti zemalja Europske unije i svijeta</w:t>
      </w:r>
      <w:r>
        <w:rPr>
          <w:i/>
        </w:rPr>
        <w:t>,</w:t>
      </w:r>
      <w:r w:rsidRPr="006B6CDD">
        <w:rPr>
          <w:i/>
        </w:rPr>
        <w:t xml:space="preserve"> kao i utvrditi značaj koncepta pametne specijalizacije u poboljšanju konkurentnosti.</w:t>
      </w:r>
      <w:r>
        <w:rPr>
          <w:i/>
        </w:rPr>
        <w:t xml:space="preserve"> Korišten je </w:t>
      </w:r>
      <w:r w:rsidRPr="002662CD">
        <w:rPr>
          <w:i/>
        </w:rPr>
        <w:t>novi Indeks globalne konkurentnosti 4.0</w:t>
      </w:r>
      <w:r>
        <w:rPr>
          <w:i/>
        </w:rPr>
        <w:t xml:space="preserve"> uveden 2018. godine. </w:t>
      </w:r>
      <w:r w:rsidRPr="00107A51">
        <w:rPr>
          <w:i/>
        </w:rPr>
        <w:t>Zahvaljujući novom konceptu, indeks otkriva najnovije identificirane izvore produktivnosti i dugoročnog ekonomskog rasta u vrijeme trenutne industrijske revolucije, Industrije 4.0.</w:t>
      </w:r>
      <w:r>
        <w:rPr>
          <w:i/>
        </w:rPr>
        <w:t xml:space="preserve"> Z</w:t>
      </w:r>
      <w:r w:rsidRPr="00107A51">
        <w:rPr>
          <w:i/>
        </w:rPr>
        <w:t xml:space="preserve">bog razlika u metodologiji </w:t>
      </w:r>
      <w:r>
        <w:rPr>
          <w:i/>
        </w:rPr>
        <w:t xml:space="preserve">novog </w:t>
      </w:r>
      <w:r w:rsidRPr="00107A51">
        <w:rPr>
          <w:i/>
        </w:rPr>
        <w:t xml:space="preserve">Indeksa globalne konkurentnosti 4.0, novi podaci </w:t>
      </w:r>
      <w:r>
        <w:rPr>
          <w:i/>
        </w:rPr>
        <w:t>iz 2018. godine</w:t>
      </w:r>
      <w:r w:rsidRPr="00107A51">
        <w:rPr>
          <w:i/>
        </w:rPr>
        <w:t xml:space="preserve">nisu usporedivi s prijašnjim podacima o globalnoj konkurentnosti. </w:t>
      </w:r>
      <w:r w:rsidRPr="006B6CDD">
        <w:rPr>
          <w:i/>
        </w:rPr>
        <w:t>Globalizacija predstavlja značajne izazove za zadržavanje regionalne i globalne razine konkurentnosti, a pametna specijalizacija je jedna od perspektiva, ako ne i sam ključ</w:t>
      </w:r>
      <w:r>
        <w:rPr>
          <w:i/>
        </w:rPr>
        <w:t>,</w:t>
      </w:r>
      <w:r w:rsidRPr="006B6CDD">
        <w:rPr>
          <w:i/>
        </w:rPr>
        <w:t xml:space="preserve"> za jačanje inovacijskog potencijala koji ultimativno vodi do poboljšanja ekonomske izvedbe i posljedično konkurentnosti.</w:t>
      </w:r>
      <w:r>
        <w:rPr>
          <w:i/>
        </w:rPr>
        <w:t xml:space="preserve"> P</w:t>
      </w:r>
      <w:r w:rsidRPr="002662CD">
        <w:rPr>
          <w:i/>
        </w:rPr>
        <w:t xml:space="preserve">ristup pametne specijalizacije podrazumijeva identificiranje i ciljano jačanje komparativnih prednosti zemalja, s ciljem poduzimanja strateških napora u svrhu poboljšanja konkurentnosti. </w:t>
      </w:r>
      <w:r w:rsidRPr="00521841">
        <w:rPr>
          <w:i/>
          <w:lang w:val="pl-PL"/>
        </w:rPr>
        <w:t xml:space="preserve">Navedena je analiza pokazala da je pametna specijalizacija jedan od razloga pozicioniranja Njemačke na vrh svjetske ljestvice konkurentnosti. Zbog prepoznate visoke učinkovitosti pristupa pametne specijalizacije u poboljšanju konkurentnosti, primjer Europske unije u implementiranju strategija pametne specijalizacije slijedei druge zemlje. </w:t>
      </w:r>
      <w:r w:rsidRPr="002662CD">
        <w:rPr>
          <w:b/>
          <w:i/>
        </w:rPr>
        <w:t>Ključne riječi:</w:t>
      </w:r>
      <w:r w:rsidRPr="006B6CDD">
        <w:rPr>
          <w:i/>
        </w:rPr>
        <w:t xml:space="preserve">konkurentnost, </w:t>
      </w:r>
      <w:r w:rsidRPr="002662CD">
        <w:rPr>
          <w:i/>
        </w:rPr>
        <w:t xml:space="preserve">globalizacija, pametna specijalizacija, </w:t>
      </w:r>
      <w:r w:rsidRPr="006B6CDD">
        <w:rPr>
          <w:i/>
        </w:rPr>
        <w:t>Indeks globalne konkurentnosti 4.0</w:t>
      </w:r>
      <w:r>
        <w:rPr>
          <w:i/>
        </w:rPr>
        <w:t>.</w:t>
      </w:r>
    </w:p>
    <w:p w:rsidR="00493218" w:rsidRPr="000365F5" w:rsidRDefault="00493218" w:rsidP="00AD3283">
      <w:pPr>
        <w:ind w:firstLine="720"/>
        <w:rPr>
          <w:b/>
        </w:rPr>
      </w:pPr>
    </w:p>
    <w:p w:rsidR="00493218" w:rsidRPr="00965224" w:rsidRDefault="00493218" w:rsidP="004F0DD0">
      <w:pPr>
        <w:pStyle w:val="Heading1"/>
        <w:spacing w:before="0"/>
        <w:rPr>
          <w:rFonts w:ascii="Times New Roman" w:hAnsi="Times New Roman"/>
          <w:b w:val="0"/>
          <w:i/>
          <w:lang w:val="en-GB"/>
        </w:rPr>
      </w:pPr>
      <w:r w:rsidRPr="00965224">
        <w:rPr>
          <w:rFonts w:ascii="Times New Roman" w:hAnsi="Times New Roman"/>
          <w:i/>
          <w:lang w:val="en-GB"/>
        </w:rPr>
        <w:t>Abstract</w:t>
      </w:r>
    </w:p>
    <w:p w:rsidR="00493218" w:rsidRPr="002F020C" w:rsidRDefault="00493218" w:rsidP="004F0DD0">
      <w:pPr>
        <w:ind w:left="720"/>
        <w:rPr>
          <w:i/>
        </w:rPr>
      </w:pPr>
      <w:r w:rsidRPr="00E97EEE">
        <w:rPr>
          <w:i/>
        </w:rPr>
        <w:t>The aim of this paper is to explore and exemplify the effect</w:t>
      </w:r>
      <w:r>
        <w:rPr>
          <w:i/>
        </w:rPr>
        <w:t>s</w:t>
      </w:r>
      <w:r w:rsidRPr="00E97EEE">
        <w:rPr>
          <w:i/>
        </w:rPr>
        <w:t xml:space="preserve"> of globalisation and Industry 4. on competitiveness, the state of global economy</w:t>
      </w:r>
      <w:r>
        <w:rPr>
          <w:i/>
        </w:rPr>
        <w:t xml:space="preserve">, </w:t>
      </w:r>
      <w:r w:rsidRPr="00E97EEE">
        <w:rPr>
          <w:i/>
        </w:rPr>
        <w:t>a comparative analysis of competitiveness of European Union and other countries, as well as the significance of smart specialisation concept on improving competitiveness. The new Global Competitiveness Index 4.0 established in 2018 was used in the analysis.</w:t>
      </w:r>
      <w:r>
        <w:rPr>
          <w:i/>
        </w:rPr>
        <w:t xml:space="preserve"> B</w:t>
      </w:r>
      <w:r w:rsidRPr="00E97EEE">
        <w:rPr>
          <w:i/>
        </w:rPr>
        <w:t>ecause of its new concept, the new index reveals the most recently discovered s</w:t>
      </w:r>
      <w:r>
        <w:rPr>
          <w:i/>
        </w:rPr>
        <w:t>o</w:t>
      </w:r>
      <w:r w:rsidRPr="00E97EEE">
        <w:rPr>
          <w:i/>
        </w:rPr>
        <w:t xml:space="preserve">urces of productivity and long-term economic growth in today’s industrial revolution, Industry 4.0. </w:t>
      </w:r>
      <w:r>
        <w:rPr>
          <w:i/>
        </w:rPr>
        <w:t>T</w:t>
      </w:r>
      <w:r w:rsidRPr="00E97EEE">
        <w:rPr>
          <w:i/>
        </w:rPr>
        <w:t>he change of methodology of Global Competitiveness Index 4.0 prevents the results of 2018 from being compared with previous editions of Global Competitiveness Index. Globalisation represents significant challenges for all countries, and smart specialisation is one of the potentials, if not the key, for improving innovation potential which ultimately leads to improving economic performance and competitiveness. Smart</w:t>
      </w:r>
      <w:r>
        <w:rPr>
          <w:i/>
        </w:rPr>
        <w:t xml:space="preserve"> specialisation</w:t>
      </w:r>
      <w:r w:rsidRPr="00E97EEE">
        <w:rPr>
          <w:i/>
        </w:rPr>
        <w:t xml:space="preserve"> encompasses identifying and targeted strengthening of competitive advantages of countries, with the aim of undertaking strategic efforts with the purpose of improving competitiveness. This research shows that smart specialisation is one of the reasons behind </w:t>
      </w:r>
      <w:smartTag w:uri="urn:schemas-microsoft-com:office:smarttags" w:element="place">
        <w:smartTag w:uri="urn:schemas-microsoft-com:office:smarttags" w:element="country-region">
          <w:r w:rsidRPr="00E97EEE">
            <w:rPr>
              <w:i/>
            </w:rPr>
            <w:t>Germany</w:t>
          </w:r>
        </w:smartTag>
      </w:smartTag>
      <w:r>
        <w:rPr>
          <w:i/>
        </w:rPr>
        <w:t xml:space="preserve"> positioning</w:t>
      </w:r>
      <w:r w:rsidRPr="00E97EEE">
        <w:rPr>
          <w:i/>
        </w:rPr>
        <w:t xml:space="preserve"> on the top of global competitiveness scale. The effectiveness of smart specialisation has been globally recognised, which is shown in the fact that many other global countries followed the example of European Union in implementing smart specialisation. </w:t>
      </w:r>
      <w:r w:rsidRPr="00E97EEE">
        <w:rPr>
          <w:b/>
          <w:i/>
        </w:rPr>
        <w:t xml:space="preserve">Key words: </w:t>
      </w:r>
      <w:r w:rsidRPr="00E97EEE">
        <w:rPr>
          <w:i/>
        </w:rPr>
        <w:t>competitiveness, globalisation, smart specialisation, Global Competitiveness Index 4.0</w:t>
      </w:r>
      <w:r>
        <w:rPr>
          <w:i/>
        </w:rPr>
        <w:t>.</w:t>
      </w:r>
    </w:p>
    <w:p w:rsidR="00493218" w:rsidRPr="000365F5" w:rsidRDefault="00493218" w:rsidP="004F0DD0"/>
    <w:p w:rsidR="00493218" w:rsidRPr="00ED0E05" w:rsidRDefault="00493218" w:rsidP="004F0DD0">
      <w:pPr>
        <w:pStyle w:val="Heading1"/>
        <w:spacing w:before="0"/>
        <w:rPr>
          <w:rFonts w:ascii="Times New Roman" w:hAnsi="Times New Roman"/>
          <w:b w:val="0"/>
        </w:rPr>
      </w:pPr>
      <w:r>
        <w:rPr>
          <w:rFonts w:ascii="Times New Roman" w:hAnsi="Times New Roman"/>
        </w:rPr>
        <w:t>UVOD</w:t>
      </w:r>
    </w:p>
    <w:p w:rsidR="00493218" w:rsidRPr="000365F5" w:rsidRDefault="00493218" w:rsidP="004F0DD0">
      <w:pPr>
        <w:ind w:firstLine="709"/>
      </w:pPr>
      <w:r w:rsidRPr="000365F5">
        <w:t xml:space="preserve">Koje su komparativne prednosti, a koji nedostaci svake pojedine zemlje, vrlo su važna saznanja neophodna kako bi svi napori zemalja bili pametno i ciljano usmjereni u aktivnosti poboljšanja ekonomskog rasta i razvoja, odnosno poboljšanja konkurentnosti na globalnoj razini. </w:t>
      </w:r>
      <w:r>
        <w:tab/>
      </w:r>
      <w:r>
        <w:tab/>
      </w:r>
      <w:r>
        <w:tab/>
      </w:r>
      <w:r>
        <w:tab/>
      </w:r>
      <w:r>
        <w:tab/>
      </w:r>
      <w:r>
        <w:tab/>
      </w:r>
      <w:r>
        <w:tab/>
      </w:r>
      <w:r>
        <w:tab/>
      </w:r>
      <w:r>
        <w:tab/>
      </w:r>
      <w:r>
        <w:tab/>
      </w:r>
      <w:r w:rsidRPr="000365F5">
        <w:t>Otvaranje</w:t>
      </w:r>
      <w:r>
        <w:t>m</w:t>
      </w:r>
      <w:r w:rsidRPr="000365F5">
        <w:t xml:space="preserve"> tržišta uslijed globalizacije, tržišta svih zemalja neminovno bivaju integrirana u jedno jedinstveno tržište, zbog čega rezultati na globalnoj razini postaju iznimno važni. Ovaj rad se bavi temom konkurentnosti zemalja Europske unije u dvije dimenzije, u okviru međusobne  usporedbe zemalja Europske unije, ali i usporedb</w:t>
      </w:r>
      <w:r>
        <w:t>e</w:t>
      </w:r>
      <w:r w:rsidRPr="000365F5">
        <w:t xml:space="preserve"> Europske unije s ostatkom svijeta. </w:t>
      </w:r>
      <w:r>
        <w:tab/>
      </w:r>
      <w:r>
        <w:tab/>
      </w:r>
      <w:r>
        <w:tab/>
      </w:r>
      <w:r>
        <w:tab/>
      </w:r>
      <w:r>
        <w:tab/>
      </w:r>
      <w:r>
        <w:tab/>
      </w:r>
      <w:r>
        <w:tab/>
      </w:r>
      <w:r>
        <w:tab/>
      </w:r>
      <w:r w:rsidRPr="009B453C">
        <w:t>Ciljevi rada su prikazati aspekte konkurentnosti u uvjetima globalizacije i Industrije 4.0 te rang zemalja Europske unije na svjetskoj ljestvici konkurentnosti uz komparativnu analizu konkurentnosti zemalja Europske unije i svijeta, kao i utvrditi značaj koncepta pametne specijalizacije u poboljšanju konkurentnosti.</w:t>
      </w:r>
      <w:r>
        <w:tab/>
      </w:r>
      <w:r>
        <w:tab/>
      </w:r>
      <w:r>
        <w:tab/>
      </w:r>
      <w:r w:rsidRPr="000365F5">
        <w:t xml:space="preserve">Rad se sastoji od 5 dijelova. </w:t>
      </w:r>
      <w:r>
        <w:t>Prvo</w:t>
      </w:r>
      <w:r w:rsidRPr="000365F5">
        <w:t xml:space="preserve"> poglavlje obrađuje čimbenike konkurentnosti u uvjetima globalizacije. Zatim, </w:t>
      </w:r>
      <w:r>
        <w:t>drugi</w:t>
      </w:r>
      <w:r w:rsidRPr="000365F5">
        <w:t xml:space="preserve"> dio predstavlja </w:t>
      </w:r>
      <w:r>
        <w:t>k</w:t>
      </w:r>
      <w:r w:rsidRPr="000365F5">
        <w:t>omparativn</w:t>
      </w:r>
      <w:r>
        <w:t>u</w:t>
      </w:r>
      <w:r w:rsidRPr="000365F5">
        <w:t xml:space="preserve"> analiz</w:t>
      </w:r>
      <w:r>
        <w:t>u</w:t>
      </w:r>
      <w:r w:rsidRPr="000365F5">
        <w:t xml:space="preserve"> konkurentnosti zemalja Europske unije i svijeta, dok </w:t>
      </w:r>
      <w:r>
        <w:t>treći</w:t>
      </w:r>
      <w:r w:rsidRPr="000365F5">
        <w:t xml:space="preserve"> dio detaljnije analizira i uspoređuje konkurentnost zemalja članica Europske unije. </w:t>
      </w:r>
      <w:r>
        <w:t>Četvrti</w:t>
      </w:r>
      <w:r w:rsidRPr="000365F5">
        <w:t xml:space="preserve"> dio pruža uvid u izazove i perspektive rasta konkurentnosti zemalja članica Europske unije.</w:t>
      </w:r>
      <w:r>
        <w:t xml:space="preserve"> Peti dio rada odnosi se na zaključak.</w:t>
      </w:r>
    </w:p>
    <w:p w:rsidR="00493218" w:rsidRPr="004F0DD0" w:rsidRDefault="00493218" w:rsidP="004F0DD0">
      <w:pPr>
        <w:pStyle w:val="Heading1"/>
        <w:spacing w:before="0" w:after="0"/>
        <w:ind w:firstLine="0"/>
        <w:rPr>
          <w:rFonts w:ascii="Times New Roman" w:hAnsi="Times New Roman"/>
          <w:b w:val="0"/>
        </w:rPr>
      </w:pPr>
    </w:p>
    <w:p w:rsidR="00493218" w:rsidRDefault="00493218" w:rsidP="004F0DD0">
      <w:pPr>
        <w:pStyle w:val="Heading1"/>
        <w:numPr>
          <w:ilvl w:val="0"/>
          <w:numId w:val="26"/>
        </w:numPr>
        <w:spacing w:before="0" w:after="0"/>
        <w:rPr>
          <w:rFonts w:ascii="Times New Roman" w:hAnsi="Times New Roman"/>
        </w:rPr>
      </w:pPr>
      <w:r w:rsidRPr="00ED0E05">
        <w:rPr>
          <w:rFonts w:ascii="Times New Roman" w:hAnsi="Times New Roman"/>
        </w:rPr>
        <w:t>Konkurentnost u uvjetima globalizacije</w:t>
      </w:r>
    </w:p>
    <w:p w:rsidR="00493218" w:rsidRDefault="00493218" w:rsidP="00904544">
      <w:pPr>
        <w:pStyle w:val="Default"/>
        <w:jc w:val="both"/>
      </w:pPr>
    </w:p>
    <w:p w:rsidR="00493218" w:rsidRDefault="00493218" w:rsidP="00904544">
      <w:pPr>
        <w:pStyle w:val="Default"/>
        <w:ind w:firstLine="720"/>
        <w:jc w:val="both"/>
      </w:pPr>
      <w:r w:rsidRPr="000365F5">
        <w:t>Globalizacija je pokrenula proces povezivanja i međusobne zavisnosti različitih dionika iz različitih dijelova svijeta</w:t>
      </w:r>
      <w:r>
        <w:t>. Globalizacija je također dovela u pitanje i ekološku, društvenu i ekonomsku održivost, a samim time i pitanje prosperiteta zemalja. Naime, konkurentnost u uvjetima globalizacije svakako ovisi i o održivosti, odnosno ostvarivanju rasta, učinkovitosti i pravedne distribucije bogatstva (Bilas et al., 2017.).</w:t>
      </w:r>
      <w:r>
        <w:tab/>
      </w:r>
      <w:r>
        <w:tab/>
      </w:r>
      <w:r>
        <w:tab/>
        <w:t>Iako ove promjene</w:t>
      </w:r>
      <w:r w:rsidRPr="000365F5">
        <w:t xml:space="preserve"> omogućavaju otvaranje novih tržišta i prilika za rad te gospodarski rast i razvoj, sa sobom također donose i poteškoće u razvoju, odnosno veće zahtjeve i izazove za zadržavanje regionalne i globalne razine konkurentnosti. Kako bi se uspješno integrirale na nova tržišta, ali se istovremeno istaknule i nastavile ekonomski razvoj, zemlje su ustanovile da je nužna reevaluacija vlastitih komparativnih prednosti i nedostataka, kao i dosadašnjih strategija pozicioniranja. Posljednjih šezdesetak godina Europa kontinuiranim naporima nastoji osmisliti i formirati učinkovite alate za poboljšanje konkurentnosti te pretvoriti koheziju u komparativnu prednost, umjesto u nedostatak. U tu svrhu začet je</w:t>
      </w:r>
      <w:r>
        <w:t xml:space="preserve"> koncept</w:t>
      </w:r>
      <w:r w:rsidRPr="000365F5">
        <w:t xml:space="preserve"> pametn</w:t>
      </w:r>
      <w:r>
        <w:t>e</w:t>
      </w:r>
      <w:r w:rsidRPr="000365F5">
        <w:t xml:space="preserve"> specijalizacij</w:t>
      </w:r>
      <w:r>
        <w:t>e</w:t>
      </w:r>
      <w:r w:rsidRPr="000365F5">
        <w:t>, jedan od alata za poboljšanje konkurentnosti.</w:t>
      </w:r>
      <w:r>
        <w:tab/>
      </w:r>
      <w:r>
        <w:tab/>
      </w:r>
      <w:r>
        <w:tab/>
      </w:r>
      <w:r>
        <w:tab/>
      </w:r>
      <w:r>
        <w:tab/>
      </w:r>
      <w:r>
        <w:tab/>
      </w:r>
      <w:r>
        <w:tab/>
      </w:r>
      <w:r>
        <w:tab/>
      </w:r>
      <w:r w:rsidRPr="000365F5">
        <w:t xml:space="preserve">Globalizacija je uzrokovala brze i intenzivne promjene u industriji koje oblikuju sve sfere gospodarstva, uključujući i buduće načine funkcioniranja i poslovanja. Pojedina vremenska razdoblja u gospodarstvu obilježena su značajnim novitetima i skokovima u razvoju poduzeća i zemalja, a ažurna prilagodba svakoj novoj promjeni imperativ je za gospodarski rast i razvoj. Jedan od takvih skokova u razvoju i po mnogočemu distinktivno razdoblje u gospodarstvu je upravo trenutno razdoblje, takozvana četvrta industrijska revolucija popularnog naziva Industrija 4.0 (eng. </w:t>
      </w:r>
      <w:r w:rsidRPr="000365F5">
        <w:rPr>
          <w:i/>
        </w:rPr>
        <w:t>Fourth Industry Revolution</w:t>
      </w:r>
      <w:r w:rsidRPr="000365F5">
        <w:t>).</w:t>
      </w:r>
    </w:p>
    <w:p w:rsidR="00493218" w:rsidRDefault="00493218" w:rsidP="00904544">
      <w:pPr>
        <w:pStyle w:val="Default"/>
        <w:ind w:firstLine="720"/>
        <w:jc w:val="both"/>
      </w:pPr>
      <w:r w:rsidRPr="000365F5">
        <w:t xml:space="preserve">Ključ uspješnog natjecanja na globalnom tržištu, suočavanja s brojnim globalnim izazovima te u postizanju održivog razvoja, svakako su inovacije (Bilas i Franc, 2018.), stoga su inovacijski kapacitet, otvorenost, diversifikacija i specijalizacija najznačajniji alati za postizanje konkurentnosti u kompleksnim i </w:t>
      </w:r>
      <w:r>
        <w:t>kontinuirano</w:t>
      </w:r>
      <w:r w:rsidRPr="000365F5">
        <w:t xml:space="preserve"> promjenjivim uvjetima globalizacije.</w:t>
      </w:r>
    </w:p>
    <w:p w:rsidR="00493218" w:rsidRDefault="00493218" w:rsidP="00904544">
      <w:pPr>
        <w:pStyle w:val="Default"/>
      </w:pPr>
    </w:p>
    <w:p w:rsidR="00493218" w:rsidRPr="002015E9" w:rsidRDefault="00493218" w:rsidP="004F0DD0">
      <w:pPr>
        <w:pStyle w:val="Heading1"/>
        <w:numPr>
          <w:ilvl w:val="0"/>
          <w:numId w:val="26"/>
        </w:numPr>
        <w:spacing w:before="0" w:after="0"/>
        <w:rPr>
          <w:rFonts w:ascii="Times New Roman" w:hAnsi="Times New Roman"/>
          <w:b w:val="0"/>
          <w:lang w:val="hr-HR"/>
        </w:rPr>
      </w:pPr>
      <w:r w:rsidRPr="002015E9">
        <w:rPr>
          <w:rFonts w:ascii="Times New Roman" w:hAnsi="Times New Roman"/>
          <w:lang w:val="hr-HR"/>
        </w:rPr>
        <w:t xml:space="preserve">Konkurentnost na globalnoj razini u okviru Industrije 4.0 – komparativna analiza zemalja Europske unije i svijeta </w:t>
      </w:r>
    </w:p>
    <w:p w:rsidR="00493218" w:rsidRDefault="00493218" w:rsidP="004C29A9">
      <w:pPr>
        <w:ind w:firstLine="709"/>
        <w:rPr>
          <w:lang w:val="hr-HR"/>
        </w:rPr>
      </w:pPr>
      <w:r w:rsidRPr="002015E9">
        <w:rPr>
          <w:lang w:val="hr-HR"/>
        </w:rPr>
        <w:t xml:space="preserve">Kako potaknuti rast i razvoj zemlje vrlo je individualno pitanje i značajno ovisi o brojnim čimbenicima pojedinačno, ali i o njihovoj optimalnoj kombinaciji. Poboljšanje konkurentnosti zahtijeva kontinuirane i ciljane napore, posebice uslijed globalizacije te brzih tehnoloških i ekonomskih promjena. Ključne aktivnosti su definiranje, procjenjivanje te implementiranje novih smjerova za gospodarski rast i razvoj. Najbolji uvid u komparativne snage i slabosti svake zemlje daje Izvješće o globalnoj konkurentnosti (eng. </w:t>
      </w:r>
      <w:r w:rsidRPr="002015E9">
        <w:rPr>
          <w:i/>
          <w:lang w:val="hr-HR"/>
        </w:rPr>
        <w:t>Global Competitiveness Report</w:t>
      </w:r>
      <w:r w:rsidRPr="002015E9">
        <w:rPr>
          <w:lang w:val="hr-HR"/>
        </w:rPr>
        <w:t xml:space="preserve">) Svjetskog ekonomskog foruma (eng. </w:t>
      </w:r>
      <w:r w:rsidRPr="002015E9">
        <w:rPr>
          <w:i/>
          <w:lang w:val="hr-HR"/>
        </w:rPr>
        <w:t>World Economic Forum</w:t>
      </w:r>
      <w:r w:rsidRPr="002015E9">
        <w:rPr>
          <w:lang w:val="hr-HR"/>
        </w:rPr>
        <w:t xml:space="preserve"> – WEF), analizirajući različite segmente gospodarstva zemalja i njihove godišnje rezultate.</w:t>
      </w:r>
      <w:r w:rsidRPr="002015E9">
        <w:rPr>
          <w:lang w:val="hr-HR"/>
        </w:rPr>
        <w:tab/>
      </w:r>
      <w:r w:rsidRPr="002015E9">
        <w:rPr>
          <w:lang w:val="hr-HR"/>
        </w:rPr>
        <w:tab/>
      </w:r>
      <w:r w:rsidRPr="002015E9">
        <w:rPr>
          <w:lang w:val="hr-HR"/>
        </w:rPr>
        <w:tab/>
      </w:r>
      <w:r w:rsidRPr="002015E9">
        <w:rPr>
          <w:lang w:val="hr-HR"/>
        </w:rPr>
        <w:tab/>
      </w:r>
      <w:r w:rsidRPr="002015E9">
        <w:rPr>
          <w:lang w:val="hr-HR"/>
        </w:rPr>
        <w:tab/>
      </w:r>
      <w:r w:rsidRPr="002015E9">
        <w:rPr>
          <w:lang w:val="hr-HR"/>
        </w:rPr>
        <w:tab/>
      </w:r>
      <w:r w:rsidRPr="002015E9">
        <w:rPr>
          <w:lang w:val="hr-HR"/>
        </w:rPr>
        <w:tab/>
      </w:r>
      <w:r w:rsidRPr="004C29A9">
        <w:rPr>
          <w:lang w:val="hr-HR"/>
        </w:rPr>
        <w:t xml:space="preserve">Izvješće o globalnoj konkurentnosti za 2018. godinu predstavlja prekretnicu u četrdesetogodišnjoj povijesti izdavanja izvješća. Naime, u 2018. godini je uveden novi Indeks globalne konkurentnosti 4.0 (GCI 4.0), koji se temelji na drugačijoj metodologiji. Indeks integrira prijašnje aspekte s novo identificiranim katalizatorima produktivnosti i ekonomskog rasta, stavljajući naglasak na ulogu ljudskih resursa, inovacija, otpornosti i agilnosti, kao čimbenika koji u Industriji 4.0 definiraju obilježja konkurentnosti (World Economic Forum, 2018.).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Metodologija GCI 4.0. se temelji na analizi 140 zemalja i 12 stupova konkurentnosti: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(1) institucije,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(2) infrastruktura,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(3) primjena IKT-a,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(4) makroekonomska stabilnost, </w:t>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(5) zdravlje,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(6) vještine,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(7) tržište proizvoda,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(8) tržište rada,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(9) financijski sustav,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(10) veličina tržišta,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 xml:space="preserve">(11) poslovna dinamika i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(12) kapacitet za inovacije. </w:t>
      </w:r>
    </w:p>
    <w:p w:rsidR="00493218" w:rsidRPr="004C29A9" w:rsidRDefault="00493218" w:rsidP="004C29A9">
      <w:pPr>
        <w:ind w:firstLine="709"/>
        <w:rPr>
          <w:lang w:val="hr-HR"/>
        </w:rPr>
      </w:pPr>
      <w:r w:rsidRPr="004C29A9">
        <w:rPr>
          <w:lang w:val="hr-HR"/>
        </w:rPr>
        <w:t xml:space="preserve">Stupovi konkurentnosti grupirani su u četiri skupine: poticajno okruženje, ljudski kapital, tržišta i inovacijski eko-sustav. Naime, iako GCI 4.0 ima 12 stupova kao i indeks prethodnih godina, stupovi i pripadajući pokazatelji novog indeksa su drukčije koncipirani (tablica 1). Odnosno, od ukupno 98 pokazatelja, zadržana su 34 pokazatelja iz prijašnje metodologije te su uvedena 64 nova pokazatelja. Nadalje, u okviru prijašnje metodologije indeks je pružao uvid u tri različite dimenzije rezultata i pozicioniranja zemalja – prema 12 stupova, prema tri pod-indeksa (skupine stupova) te prema tri skupine zemalja definirane u okviru pod-indeksa. Međutim, Indeks 4.0. je ukinuo takvu podjelu te nova metodologija pruža prikaz rezultata i pozicioniranja zemalja isključivo prema 12 stupova konkurentnosti.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C29A9">
        <w:rPr>
          <w:lang w:val="hr-HR"/>
        </w:rPr>
        <w:t>Zahvaljujući novom konceptu, novi indeks otkriva najnovije identificirane izvore produktivnosti i dugoročnog ekonomskog rasta u vrijeme trenutne industrijske revolucije, Industrije 4.0. Međutim, zbog navedenih razlika u metodologiji Indeksa globalne konkurentnosti 4.0, novi podaci iz 2018. godine nisu usporedivi s prijašnjim podacima o globalnoj konkurentnosti</w:t>
      </w:r>
      <w:r>
        <w:rPr>
          <w:lang w:val="hr-HR"/>
        </w:rPr>
        <w:t xml:space="preserve"> (tablica 1).</w:t>
      </w:r>
    </w:p>
    <w:p w:rsidR="00493218" w:rsidRDefault="00493218" w:rsidP="008C086A">
      <w:pPr>
        <w:pStyle w:val="Default"/>
        <w:rPr>
          <w:i/>
        </w:rPr>
      </w:pPr>
    </w:p>
    <w:p w:rsidR="00493218" w:rsidRPr="00F073D3" w:rsidRDefault="00493218" w:rsidP="008C086A">
      <w:pPr>
        <w:pStyle w:val="Default"/>
        <w:rPr>
          <w:i/>
          <w:sz w:val="22"/>
          <w:szCs w:val="22"/>
        </w:rPr>
      </w:pPr>
      <w:r w:rsidRPr="00F073D3">
        <w:rPr>
          <w:i/>
          <w:sz w:val="22"/>
          <w:szCs w:val="22"/>
        </w:rPr>
        <w:t>Tablica 1. Usporedba metodologije Indeksa globalne konkurentnosti 4.0 s metodologijom prijašnjeg indeksa</w:t>
      </w:r>
    </w:p>
    <w:tbl>
      <w:tblPr>
        <w:tblW w:w="5000" w:type="pct"/>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ook w:val="00A0"/>
      </w:tblPr>
      <w:tblGrid>
        <w:gridCol w:w="4518"/>
        <w:gridCol w:w="4344"/>
      </w:tblGrid>
      <w:tr w:rsidR="00493218" w:rsidRPr="006005CD" w:rsidTr="006005CD">
        <w:trPr>
          <w:trHeight w:val="164"/>
        </w:trPr>
        <w:tc>
          <w:tcPr>
            <w:tcW w:w="2549" w:type="pct"/>
            <w:tcBorders>
              <w:top w:val="single" w:sz="4" w:space="0" w:color="auto"/>
              <w:left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Indeks globalne konkurentnosti prije 2018.</w:t>
            </w:r>
          </w:p>
        </w:tc>
        <w:tc>
          <w:tcPr>
            <w:tcW w:w="2451" w:type="pct"/>
            <w:tcBorders>
              <w:top w:val="single" w:sz="4" w:space="0" w:color="auto"/>
              <w:bottom w:val="single" w:sz="4" w:space="0" w:color="auto"/>
              <w:right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Indeks globalne konkurentnosti 4.0 (2018.)</w:t>
            </w:r>
          </w:p>
        </w:tc>
      </w:tr>
      <w:tr w:rsidR="00493218" w:rsidRPr="006005CD" w:rsidTr="006005CD">
        <w:tc>
          <w:tcPr>
            <w:tcW w:w="2549" w:type="pct"/>
            <w:tcBorders>
              <w:top w:val="single" w:sz="4" w:space="0" w:color="auto"/>
              <w:left w:val="single" w:sz="4" w:space="0" w:color="auto"/>
            </w:tcBorders>
            <w:shd w:val="clear" w:color="auto" w:fill="FFFFFF"/>
          </w:tcPr>
          <w:p w:rsidR="00493218" w:rsidRPr="006005CD" w:rsidRDefault="00493218" w:rsidP="008C086A">
            <w:pPr>
              <w:pStyle w:val="Default"/>
              <w:rPr>
                <w:b/>
                <w:bCs/>
                <w:sz w:val="22"/>
                <w:szCs w:val="22"/>
              </w:rPr>
            </w:pPr>
            <w:r w:rsidRPr="006005CD">
              <w:rPr>
                <w:bCs/>
                <w:sz w:val="22"/>
                <w:szCs w:val="22"/>
              </w:rPr>
              <w:t xml:space="preserve">Pod-indeks Osnovni zahtjevi </w:t>
            </w:r>
          </w:p>
          <w:p w:rsidR="00493218" w:rsidRPr="006005CD" w:rsidRDefault="00493218" w:rsidP="008C086A">
            <w:pPr>
              <w:pStyle w:val="Default"/>
              <w:rPr>
                <w:b/>
                <w:bCs/>
                <w:sz w:val="22"/>
                <w:szCs w:val="22"/>
              </w:rPr>
            </w:pPr>
            <w:r w:rsidRPr="006005CD">
              <w:rPr>
                <w:bCs/>
                <w:sz w:val="22"/>
                <w:szCs w:val="22"/>
              </w:rPr>
              <w:t>(faktorski usmjerene zemlje)</w:t>
            </w:r>
          </w:p>
        </w:tc>
        <w:tc>
          <w:tcPr>
            <w:tcW w:w="2451" w:type="pct"/>
            <w:tcBorders>
              <w:top w:val="single" w:sz="4" w:space="0" w:color="auto"/>
              <w:right w:val="single" w:sz="4" w:space="0" w:color="auto"/>
            </w:tcBorders>
            <w:shd w:val="clear" w:color="auto" w:fill="FFFFFF"/>
            <w:vAlign w:val="center"/>
          </w:tcPr>
          <w:p w:rsidR="00493218" w:rsidRPr="006005CD" w:rsidRDefault="00493218" w:rsidP="008C086A">
            <w:pPr>
              <w:pStyle w:val="Default"/>
              <w:rPr>
                <w:b/>
                <w:sz w:val="22"/>
                <w:szCs w:val="22"/>
              </w:rPr>
            </w:pPr>
            <w:r w:rsidRPr="006005CD">
              <w:rPr>
                <w:b/>
                <w:sz w:val="22"/>
                <w:szCs w:val="22"/>
              </w:rPr>
              <w:t>Poticajno okruženje</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Cs/>
                <w:sz w:val="22"/>
                <w:szCs w:val="22"/>
              </w:rPr>
              <w:t>Stup 1. Institucije</w:t>
            </w:r>
          </w:p>
        </w:tc>
        <w:tc>
          <w:tcPr>
            <w:tcW w:w="2451" w:type="pct"/>
            <w:tcBorders>
              <w:right w:val="single" w:sz="4" w:space="0" w:color="auto"/>
            </w:tcBorders>
            <w:shd w:val="clear" w:color="auto" w:fill="FFFFFF"/>
            <w:vAlign w:val="center"/>
          </w:tcPr>
          <w:p w:rsidR="00493218" w:rsidRPr="006005CD" w:rsidRDefault="00493218" w:rsidP="008C086A">
            <w:pPr>
              <w:pStyle w:val="Default"/>
              <w:rPr>
                <w:b/>
                <w:sz w:val="22"/>
                <w:szCs w:val="22"/>
              </w:rPr>
            </w:pPr>
            <w:r w:rsidRPr="006005CD">
              <w:rPr>
                <w:b/>
                <w:sz w:val="22"/>
                <w:szCs w:val="22"/>
              </w:rPr>
              <w:t>Stup 1. Institucije</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Cs/>
                <w:sz w:val="22"/>
                <w:szCs w:val="22"/>
              </w:rPr>
              <w:t>Stup 2. Infrastruktura</w:t>
            </w:r>
          </w:p>
        </w:tc>
        <w:tc>
          <w:tcPr>
            <w:tcW w:w="2451" w:type="pct"/>
            <w:tcBorders>
              <w:right w:val="single" w:sz="4" w:space="0" w:color="auto"/>
            </w:tcBorders>
            <w:shd w:val="clear" w:color="auto" w:fill="FFFFFF"/>
            <w:vAlign w:val="center"/>
          </w:tcPr>
          <w:p w:rsidR="00493218" w:rsidRPr="006005CD" w:rsidRDefault="00493218" w:rsidP="008C086A">
            <w:pPr>
              <w:pStyle w:val="Default"/>
              <w:rPr>
                <w:b/>
                <w:sz w:val="22"/>
                <w:szCs w:val="22"/>
              </w:rPr>
            </w:pPr>
            <w:r w:rsidRPr="006005CD">
              <w:rPr>
                <w:b/>
                <w:sz w:val="22"/>
                <w:szCs w:val="22"/>
              </w:rPr>
              <w:t>Stup 2. Infrastruktura</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Cs/>
                <w:sz w:val="22"/>
                <w:szCs w:val="22"/>
              </w:rPr>
              <w:t>Stup 3. Makroekonomsko okruženje</w:t>
            </w:r>
          </w:p>
        </w:tc>
        <w:tc>
          <w:tcPr>
            <w:tcW w:w="2451" w:type="pct"/>
            <w:tcBorders>
              <w:right w:val="single" w:sz="4" w:space="0" w:color="auto"/>
            </w:tcBorders>
            <w:shd w:val="clear" w:color="auto" w:fill="FFFFFF"/>
            <w:vAlign w:val="center"/>
          </w:tcPr>
          <w:p w:rsidR="00493218" w:rsidRPr="006005CD" w:rsidRDefault="00493218" w:rsidP="008C086A">
            <w:pPr>
              <w:pStyle w:val="Default"/>
              <w:rPr>
                <w:b/>
                <w:sz w:val="22"/>
                <w:szCs w:val="22"/>
              </w:rPr>
            </w:pPr>
            <w:r w:rsidRPr="006005CD">
              <w:rPr>
                <w:b/>
                <w:sz w:val="22"/>
                <w:szCs w:val="22"/>
              </w:rPr>
              <w:t>Stup 3. Primjena IKT-a</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
                <w:bCs/>
                <w:sz w:val="22"/>
                <w:szCs w:val="22"/>
              </w:rPr>
              <w:t>Stup 4. Zdravstvo i osnovno obrazovanje</w:t>
            </w:r>
          </w:p>
        </w:tc>
        <w:tc>
          <w:tcPr>
            <w:tcW w:w="2451" w:type="pct"/>
            <w:tcBorders>
              <w:right w:val="single" w:sz="4" w:space="0" w:color="auto"/>
            </w:tcBorders>
            <w:shd w:val="clear" w:color="auto" w:fill="FFFFFF"/>
            <w:vAlign w:val="center"/>
          </w:tcPr>
          <w:p w:rsidR="00493218" w:rsidRPr="006005CD" w:rsidRDefault="00493218" w:rsidP="008C086A">
            <w:pPr>
              <w:pStyle w:val="Default"/>
              <w:rPr>
                <w:sz w:val="22"/>
                <w:szCs w:val="22"/>
              </w:rPr>
            </w:pPr>
            <w:r w:rsidRPr="006005CD">
              <w:rPr>
                <w:sz w:val="22"/>
                <w:szCs w:val="22"/>
              </w:rPr>
              <w:t>Stup 4. Makroekonomska stabilnost</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Cs/>
                <w:sz w:val="22"/>
                <w:szCs w:val="22"/>
              </w:rPr>
              <w:t>Pod-indeks Pojačivači učinkovitosti</w:t>
            </w:r>
          </w:p>
          <w:p w:rsidR="00493218" w:rsidRPr="006005CD" w:rsidRDefault="00493218" w:rsidP="008C086A">
            <w:pPr>
              <w:pStyle w:val="Default"/>
              <w:rPr>
                <w:b/>
                <w:bCs/>
                <w:sz w:val="22"/>
                <w:szCs w:val="22"/>
              </w:rPr>
            </w:pPr>
            <w:r w:rsidRPr="006005CD">
              <w:rPr>
                <w:bCs/>
                <w:sz w:val="22"/>
                <w:szCs w:val="22"/>
              </w:rPr>
              <w:t>(zemlje usmjerene k ostvarivanju efikasnosti)</w:t>
            </w:r>
          </w:p>
        </w:tc>
        <w:tc>
          <w:tcPr>
            <w:tcW w:w="2451" w:type="pct"/>
            <w:tcBorders>
              <w:right w:val="single" w:sz="4" w:space="0" w:color="auto"/>
            </w:tcBorders>
            <w:shd w:val="clear" w:color="auto" w:fill="FFFFFF"/>
            <w:vAlign w:val="center"/>
          </w:tcPr>
          <w:p w:rsidR="00493218" w:rsidRPr="006005CD" w:rsidRDefault="00493218" w:rsidP="008C086A">
            <w:pPr>
              <w:pStyle w:val="Default"/>
              <w:rPr>
                <w:b/>
                <w:sz w:val="22"/>
                <w:szCs w:val="22"/>
              </w:rPr>
            </w:pPr>
            <w:r w:rsidRPr="006005CD">
              <w:rPr>
                <w:b/>
                <w:sz w:val="22"/>
                <w:szCs w:val="22"/>
              </w:rPr>
              <w:t>Ljudski kapital</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
                <w:bCs/>
                <w:sz w:val="22"/>
                <w:szCs w:val="22"/>
              </w:rPr>
              <w:t>Stup 5. Sustav visokog obrazovanja</w:t>
            </w:r>
          </w:p>
        </w:tc>
        <w:tc>
          <w:tcPr>
            <w:tcW w:w="2451" w:type="pct"/>
            <w:tcBorders>
              <w:right w:val="single" w:sz="4" w:space="0" w:color="auto"/>
            </w:tcBorders>
            <w:shd w:val="clear" w:color="auto" w:fill="FFFFFF"/>
            <w:vAlign w:val="center"/>
          </w:tcPr>
          <w:p w:rsidR="00493218" w:rsidRPr="006005CD" w:rsidRDefault="00493218" w:rsidP="008C086A">
            <w:pPr>
              <w:pStyle w:val="Default"/>
              <w:rPr>
                <w:sz w:val="22"/>
                <w:szCs w:val="22"/>
              </w:rPr>
            </w:pPr>
            <w:r w:rsidRPr="006005CD">
              <w:rPr>
                <w:sz w:val="22"/>
                <w:szCs w:val="22"/>
              </w:rPr>
              <w:t>Stup 5. Zdravlje</w:t>
            </w:r>
          </w:p>
        </w:tc>
      </w:tr>
      <w:tr w:rsidR="00493218" w:rsidRPr="006005CD" w:rsidTr="006005CD">
        <w:tc>
          <w:tcPr>
            <w:tcW w:w="2549" w:type="pct"/>
            <w:vMerge w:val="restart"/>
            <w:tcBorders>
              <w:left w:val="single" w:sz="4" w:space="0" w:color="auto"/>
            </w:tcBorders>
            <w:shd w:val="clear" w:color="auto" w:fill="FFFFFF"/>
            <w:vAlign w:val="center"/>
          </w:tcPr>
          <w:p w:rsidR="00493218" w:rsidRPr="006005CD" w:rsidRDefault="00493218" w:rsidP="008C086A">
            <w:pPr>
              <w:pStyle w:val="Default"/>
              <w:rPr>
                <w:b/>
                <w:bCs/>
                <w:sz w:val="22"/>
                <w:szCs w:val="22"/>
              </w:rPr>
            </w:pPr>
            <w:r w:rsidRPr="006005CD">
              <w:rPr>
                <w:b/>
                <w:bCs/>
                <w:sz w:val="22"/>
                <w:szCs w:val="22"/>
              </w:rPr>
              <w:t>Stup 6. Efikasnost tržišta robe</w:t>
            </w:r>
          </w:p>
        </w:tc>
        <w:tc>
          <w:tcPr>
            <w:tcW w:w="2451" w:type="pct"/>
            <w:tcBorders>
              <w:right w:val="single" w:sz="4" w:space="0" w:color="auto"/>
            </w:tcBorders>
            <w:shd w:val="clear" w:color="auto" w:fill="FFFFFF"/>
            <w:vAlign w:val="center"/>
          </w:tcPr>
          <w:p w:rsidR="00493218" w:rsidRPr="006005CD" w:rsidRDefault="00493218" w:rsidP="008C086A">
            <w:pPr>
              <w:pStyle w:val="Default"/>
              <w:rPr>
                <w:sz w:val="22"/>
                <w:szCs w:val="22"/>
              </w:rPr>
            </w:pPr>
            <w:r w:rsidRPr="006005CD">
              <w:rPr>
                <w:sz w:val="22"/>
                <w:szCs w:val="22"/>
              </w:rPr>
              <w:t>Stup 6. Vještine</w:t>
            </w:r>
          </w:p>
        </w:tc>
      </w:tr>
      <w:tr w:rsidR="00493218" w:rsidRPr="006005CD" w:rsidTr="006005CD">
        <w:tc>
          <w:tcPr>
            <w:tcW w:w="2549" w:type="pct"/>
            <w:vMerge/>
            <w:tcBorders>
              <w:left w:val="single" w:sz="4" w:space="0" w:color="auto"/>
            </w:tcBorders>
            <w:shd w:val="clear" w:color="auto" w:fill="FFFFFF"/>
          </w:tcPr>
          <w:p w:rsidR="00493218" w:rsidRPr="006005CD" w:rsidRDefault="00493218" w:rsidP="008C086A">
            <w:pPr>
              <w:pStyle w:val="Default"/>
              <w:rPr>
                <w:b/>
                <w:bCs/>
                <w:sz w:val="22"/>
                <w:szCs w:val="22"/>
              </w:rPr>
            </w:pPr>
          </w:p>
        </w:tc>
        <w:tc>
          <w:tcPr>
            <w:tcW w:w="2451" w:type="pct"/>
            <w:tcBorders>
              <w:right w:val="single" w:sz="4" w:space="0" w:color="auto"/>
            </w:tcBorders>
            <w:shd w:val="clear" w:color="auto" w:fill="FFFFFF"/>
            <w:vAlign w:val="center"/>
          </w:tcPr>
          <w:p w:rsidR="00493218" w:rsidRPr="006005CD" w:rsidRDefault="00493218" w:rsidP="008C086A">
            <w:pPr>
              <w:pStyle w:val="Default"/>
              <w:rPr>
                <w:b/>
                <w:sz w:val="22"/>
                <w:szCs w:val="22"/>
              </w:rPr>
            </w:pPr>
            <w:r w:rsidRPr="006005CD">
              <w:rPr>
                <w:b/>
                <w:sz w:val="22"/>
                <w:szCs w:val="22"/>
              </w:rPr>
              <w:t>Tržišta</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
                <w:bCs/>
                <w:sz w:val="22"/>
                <w:szCs w:val="22"/>
              </w:rPr>
              <w:t>Stup 7. Efikasnost tržišta rada</w:t>
            </w:r>
          </w:p>
        </w:tc>
        <w:tc>
          <w:tcPr>
            <w:tcW w:w="2451" w:type="pct"/>
            <w:tcBorders>
              <w:right w:val="single" w:sz="4" w:space="0" w:color="auto"/>
            </w:tcBorders>
            <w:shd w:val="clear" w:color="auto" w:fill="FFFFFF"/>
            <w:vAlign w:val="center"/>
          </w:tcPr>
          <w:p w:rsidR="00493218" w:rsidRPr="006005CD" w:rsidRDefault="00493218" w:rsidP="008C086A">
            <w:pPr>
              <w:pStyle w:val="Default"/>
              <w:rPr>
                <w:sz w:val="22"/>
                <w:szCs w:val="22"/>
              </w:rPr>
            </w:pPr>
            <w:r w:rsidRPr="006005CD">
              <w:rPr>
                <w:sz w:val="22"/>
                <w:szCs w:val="22"/>
              </w:rPr>
              <w:t>Stup 7. Tržište proizvoda</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
                <w:bCs/>
                <w:sz w:val="22"/>
                <w:szCs w:val="22"/>
              </w:rPr>
              <w:t>Stup 8. Financijsko tržište</w:t>
            </w:r>
          </w:p>
        </w:tc>
        <w:tc>
          <w:tcPr>
            <w:tcW w:w="2451" w:type="pct"/>
            <w:tcBorders>
              <w:right w:val="single" w:sz="4" w:space="0" w:color="auto"/>
            </w:tcBorders>
            <w:shd w:val="clear" w:color="auto" w:fill="FFFFFF"/>
            <w:vAlign w:val="center"/>
          </w:tcPr>
          <w:p w:rsidR="00493218" w:rsidRPr="006005CD" w:rsidRDefault="00493218" w:rsidP="008C086A">
            <w:pPr>
              <w:pStyle w:val="Default"/>
              <w:rPr>
                <w:sz w:val="22"/>
                <w:szCs w:val="22"/>
              </w:rPr>
            </w:pPr>
            <w:r w:rsidRPr="006005CD">
              <w:rPr>
                <w:sz w:val="22"/>
                <w:szCs w:val="22"/>
              </w:rPr>
              <w:t>Stup 8. Tržište rada</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
                <w:bCs/>
                <w:sz w:val="22"/>
                <w:szCs w:val="22"/>
              </w:rPr>
              <w:t>Stup 9. Tehnološka razvijenost</w:t>
            </w:r>
          </w:p>
        </w:tc>
        <w:tc>
          <w:tcPr>
            <w:tcW w:w="2451" w:type="pct"/>
            <w:tcBorders>
              <w:right w:val="single" w:sz="4" w:space="0" w:color="auto"/>
            </w:tcBorders>
            <w:shd w:val="clear" w:color="auto" w:fill="FFFFFF"/>
            <w:vAlign w:val="center"/>
          </w:tcPr>
          <w:p w:rsidR="00493218" w:rsidRPr="006005CD" w:rsidRDefault="00493218" w:rsidP="008C086A">
            <w:pPr>
              <w:pStyle w:val="Default"/>
              <w:rPr>
                <w:sz w:val="22"/>
                <w:szCs w:val="22"/>
              </w:rPr>
            </w:pPr>
            <w:r w:rsidRPr="006005CD">
              <w:rPr>
                <w:sz w:val="22"/>
                <w:szCs w:val="22"/>
              </w:rPr>
              <w:t>Stup 9. Financijski sustav</w:t>
            </w:r>
          </w:p>
        </w:tc>
      </w:tr>
      <w:tr w:rsidR="00493218" w:rsidRPr="006005CD" w:rsidTr="006005CD">
        <w:tc>
          <w:tcPr>
            <w:tcW w:w="2549" w:type="pct"/>
            <w:tcBorders>
              <w:left w:val="single" w:sz="4" w:space="0" w:color="auto"/>
            </w:tcBorders>
            <w:shd w:val="clear" w:color="auto" w:fill="FFFFFF"/>
          </w:tcPr>
          <w:p w:rsidR="00493218" w:rsidRPr="006005CD" w:rsidRDefault="00493218" w:rsidP="008C086A">
            <w:pPr>
              <w:pStyle w:val="Default"/>
              <w:rPr>
                <w:b/>
                <w:bCs/>
                <w:sz w:val="22"/>
                <w:szCs w:val="22"/>
              </w:rPr>
            </w:pPr>
            <w:r w:rsidRPr="006005CD">
              <w:rPr>
                <w:b/>
                <w:bCs/>
                <w:sz w:val="22"/>
                <w:szCs w:val="22"/>
              </w:rPr>
              <w:t>Stup 10. Veličina tržišta</w:t>
            </w:r>
          </w:p>
        </w:tc>
        <w:tc>
          <w:tcPr>
            <w:tcW w:w="2451" w:type="pct"/>
            <w:tcBorders>
              <w:right w:val="single" w:sz="4" w:space="0" w:color="auto"/>
            </w:tcBorders>
            <w:shd w:val="clear" w:color="auto" w:fill="FFFFFF"/>
            <w:vAlign w:val="center"/>
          </w:tcPr>
          <w:p w:rsidR="00493218" w:rsidRPr="006005CD" w:rsidRDefault="00493218" w:rsidP="008C086A">
            <w:pPr>
              <w:pStyle w:val="Default"/>
              <w:rPr>
                <w:b/>
                <w:sz w:val="22"/>
                <w:szCs w:val="22"/>
              </w:rPr>
            </w:pPr>
            <w:r w:rsidRPr="006005CD">
              <w:rPr>
                <w:b/>
                <w:sz w:val="22"/>
                <w:szCs w:val="22"/>
              </w:rPr>
              <w:t>Stup 10. Veličina tržišta</w:t>
            </w:r>
          </w:p>
        </w:tc>
      </w:tr>
      <w:tr w:rsidR="00493218" w:rsidRPr="006005CD" w:rsidTr="006005CD">
        <w:tc>
          <w:tcPr>
            <w:tcW w:w="2549" w:type="pct"/>
            <w:tcBorders>
              <w:left w:val="single" w:sz="4" w:space="0" w:color="auto"/>
            </w:tcBorders>
            <w:shd w:val="clear" w:color="auto" w:fill="FFFFFF"/>
            <w:vAlign w:val="center"/>
          </w:tcPr>
          <w:p w:rsidR="00493218" w:rsidRPr="006005CD" w:rsidRDefault="00493218" w:rsidP="008C086A">
            <w:pPr>
              <w:pStyle w:val="Default"/>
              <w:rPr>
                <w:b/>
                <w:bCs/>
                <w:sz w:val="22"/>
                <w:szCs w:val="22"/>
              </w:rPr>
            </w:pPr>
            <w:r w:rsidRPr="006005CD">
              <w:rPr>
                <w:bCs/>
                <w:sz w:val="22"/>
                <w:szCs w:val="22"/>
              </w:rPr>
              <w:t>Pod-indeks Čimbenici inovacija i sofisticiranosti</w:t>
            </w:r>
          </w:p>
          <w:p w:rsidR="00493218" w:rsidRPr="006005CD" w:rsidRDefault="00493218" w:rsidP="008C086A">
            <w:pPr>
              <w:pStyle w:val="Default"/>
              <w:rPr>
                <w:b/>
                <w:bCs/>
                <w:sz w:val="22"/>
                <w:szCs w:val="22"/>
              </w:rPr>
            </w:pPr>
            <w:r w:rsidRPr="006005CD">
              <w:rPr>
                <w:bCs/>
                <w:sz w:val="22"/>
                <w:szCs w:val="22"/>
              </w:rPr>
              <w:t>(zemlje usmjerene inovacijama)</w:t>
            </w:r>
          </w:p>
        </w:tc>
        <w:tc>
          <w:tcPr>
            <w:tcW w:w="2451" w:type="pct"/>
            <w:tcBorders>
              <w:right w:val="single" w:sz="4" w:space="0" w:color="auto"/>
            </w:tcBorders>
            <w:shd w:val="clear" w:color="auto" w:fill="FFFFFF"/>
            <w:vAlign w:val="center"/>
          </w:tcPr>
          <w:p w:rsidR="00493218" w:rsidRPr="006005CD" w:rsidRDefault="00493218" w:rsidP="008C086A">
            <w:pPr>
              <w:pStyle w:val="Default"/>
              <w:rPr>
                <w:b/>
                <w:sz w:val="22"/>
                <w:szCs w:val="22"/>
              </w:rPr>
            </w:pPr>
            <w:r w:rsidRPr="006005CD">
              <w:rPr>
                <w:b/>
                <w:sz w:val="22"/>
                <w:szCs w:val="22"/>
              </w:rPr>
              <w:t>Inovacijski eko-sustav</w:t>
            </w:r>
          </w:p>
        </w:tc>
      </w:tr>
      <w:tr w:rsidR="00493218" w:rsidRPr="006005CD" w:rsidTr="006005CD">
        <w:tc>
          <w:tcPr>
            <w:tcW w:w="2549" w:type="pct"/>
            <w:tcBorders>
              <w:left w:val="single" w:sz="4" w:space="0" w:color="auto"/>
            </w:tcBorders>
            <w:shd w:val="clear" w:color="auto" w:fill="FFFFFF"/>
            <w:vAlign w:val="center"/>
          </w:tcPr>
          <w:p w:rsidR="00493218" w:rsidRPr="006005CD" w:rsidRDefault="00493218" w:rsidP="008C086A">
            <w:pPr>
              <w:pStyle w:val="Default"/>
              <w:rPr>
                <w:b/>
                <w:bCs/>
                <w:sz w:val="22"/>
                <w:szCs w:val="22"/>
              </w:rPr>
            </w:pPr>
            <w:r w:rsidRPr="006005CD">
              <w:rPr>
                <w:b/>
                <w:bCs/>
                <w:sz w:val="22"/>
                <w:szCs w:val="22"/>
              </w:rPr>
              <w:t>Stup 11. Sofisticiranost poslovnog okruženja</w:t>
            </w:r>
          </w:p>
        </w:tc>
        <w:tc>
          <w:tcPr>
            <w:tcW w:w="2451" w:type="pct"/>
            <w:tcBorders>
              <w:right w:val="single" w:sz="4" w:space="0" w:color="auto"/>
            </w:tcBorders>
            <w:shd w:val="clear" w:color="auto" w:fill="FFFFFF"/>
            <w:vAlign w:val="center"/>
          </w:tcPr>
          <w:p w:rsidR="00493218" w:rsidRPr="006005CD" w:rsidRDefault="00493218" w:rsidP="008C086A">
            <w:pPr>
              <w:pStyle w:val="Default"/>
              <w:rPr>
                <w:sz w:val="22"/>
                <w:szCs w:val="22"/>
              </w:rPr>
            </w:pPr>
            <w:r w:rsidRPr="006005CD">
              <w:rPr>
                <w:sz w:val="22"/>
                <w:szCs w:val="22"/>
              </w:rPr>
              <w:t>Stup 11. Poslovna dinamika</w:t>
            </w:r>
          </w:p>
        </w:tc>
      </w:tr>
      <w:tr w:rsidR="00493218" w:rsidRPr="006005CD" w:rsidTr="006005CD">
        <w:tc>
          <w:tcPr>
            <w:tcW w:w="2549" w:type="pct"/>
            <w:tcBorders>
              <w:left w:val="single" w:sz="4" w:space="0" w:color="auto"/>
              <w:bottom w:val="single" w:sz="4" w:space="0" w:color="auto"/>
            </w:tcBorders>
            <w:shd w:val="clear" w:color="auto" w:fill="FFFFFF"/>
          </w:tcPr>
          <w:p w:rsidR="00493218" w:rsidRPr="006005CD" w:rsidRDefault="00493218" w:rsidP="008C086A">
            <w:pPr>
              <w:pStyle w:val="Default"/>
              <w:rPr>
                <w:b/>
                <w:bCs/>
                <w:sz w:val="22"/>
                <w:szCs w:val="22"/>
              </w:rPr>
            </w:pPr>
            <w:r w:rsidRPr="006005CD">
              <w:rPr>
                <w:b/>
                <w:bCs/>
                <w:sz w:val="22"/>
                <w:szCs w:val="22"/>
              </w:rPr>
              <w:t>Stup 12. Inovacije</w:t>
            </w:r>
          </w:p>
        </w:tc>
        <w:tc>
          <w:tcPr>
            <w:tcW w:w="2451" w:type="pct"/>
            <w:tcBorders>
              <w:bottom w:val="single" w:sz="4" w:space="0" w:color="auto"/>
              <w:right w:val="single" w:sz="4" w:space="0" w:color="auto"/>
            </w:tcBorders>
            <w:shd w:val="clear" w:color="auto" w:fill="FFFFFF"/>
            <w:vAlign w:val="center"/>
          </w:tcPr>
          <w:p w:rsidR="00493218" w:rsidRPr="006005CD" w:rsidRDefault="00493218" w:rsidP="008C086A">
            <w:pPr>
              <w:pStyle w:val="Default"/>
              <w:rPr>
                <w:sz w:val="22"/>
                <w:szCs w:val="22"/>
              </w:rPr>
            </w:pPr>
            <w:r w:rsidRPr="006005CD">
              <w:rPr>
                <w:sz w:val="22"/>
                <w:szCs w:val="22"/>
              </w:rPr>
              <w:t>Stup 12. Kapacitet za inovacije</w:t>
            </w:r>
          </w:p>
        </w:tc>
      </w:tr>
    </w:tbl>
    <w:p w:rsidR="00493218" w:rsidRPr="00904544" w:rsidRDefault="00493218" w:rsidP="008C086A">
      <w:pPr>
        <w:pStyle w:val="Default"/>
        <w:rPr>
          <w:i/>
          <w:sz w:val="20"/>
          <w:szCs w:val="20"/>
        </w:rPr>
      </w:pPr>
      <w:r w:rsidRPr="00904544">
        <w:rPr>
          <w:i/>
          <w:sz w:val="20"/>
          <w:szCs w:val="20"/>
        </w:rPr>
        <w:t>Izvor: World Economic Forum (2017., 2018.)</w:t>
      </w:r>
    </w:p>
    <w:p w:rsidR="00493218" w:rsidRDefault="00493218" w:rsidP="003502B0">
      <w:pPr>
        <w:ind w:firstLine="709"/>
        <w:rPr>
          <w:lang w:val="de-DE"/>
        </w:rPr>
      </w:pPr>
      <w:r w:rsidRPr="009A3D74">
        <w:rPr>
          <w:lang w:val="hr-HR"/>
        </w:rPr>
        <w:t xml:space="preserve">Indeks 4.0 predstavlja novi način mjerenja i praćenja konkurentnosti te predstavlja početak novog razdoblja i promjenu u načinu razumijevanja čimbenika koji utječu na konkurentnost. Također, zemljama pruža pouzdaniju smjernicu u oblikovanju novih ekonomskih strategija i praćenju njihove izvedbe i napretka u svrhu povećanja konkurentnosti. Uspostavljanje novog indeksa rezultat je ažurnog praćenja novih trendova i kontinuiranog držanja koraka s novim promjenama na globalnoj razini te stoga predstavlja primjer dobre prakse drugim zemljama i u drugim sferama. </w:t>
      </w:r>
      <w:r>
        <w:rPr>
          <w:lang w:val="hr-HR"/>
        </w:rPr>
        <w:tab/>
      </w:r>
      <w:r>
        <w:rPr>
          <w:lang w:val="hr-HR"/>
        </w:rPr>
        <w:tab/>
      </w:r>
      <w:r w:rsidRPr="009A3D74">
        <w:rPr>
          <w:lang w:val="hr-HR"/>
        </w:rPr>
        <w:t xml:space="preserve">Praćenje promjena i novih trendova te kontinuirana agilnost i prilagodba novitetima ključ je za prosperitet i konkurentnost svih zemalja. </w:t>
      </w:r>
      <w:r w:rsidRPr="009A3D74">
        <w:rPr>
          <w:lang w:val="hr-HR"/>
        </w:rPr>
        <w:tab/>
      </w:r>
      <w:r w:rsidRPr="009A3D74">
        <w:rPr>
          <w:lang w:val="hr-HR"/>
        </w:rPr>
        <w:tab/>
      </w:r>
      <w:r w:rsidRPr="009A3D74">
        <w:rPr>
          <w:lang w:val="hr-HR"/>
        </w:rPr>
        <w:tab/>
      </w:r>
      <w:r w:rsidRPr="009A3D74">
        <w:rPr>
          <w:lang w:val="hr-HR"/>
        </w:rPr>
        <w:tab/>
      </w:r>
      <w:r w:rsidRPr="009A3D74">
        <w:rPr>
          <w:lang w:val="hr-HR"/>
        </w:rPr>
        <w:tab/>
        <w:t>Prema navedenom Izvješću za 2018. godinu, najbolju ekonomsku izvedbu, odnosno najvišu razinu konkurentnosti na svijetu, imaju Sjedinjene Američke Države s indeksom globa</w:t>
      </w:r>
      <w:r>
        <w:rPr>
          <w:lang w:val="hr-HR"/>
        </w:rPr>
        <w:t>lne konkurentnosti 85,6. Nakon Sjedinjenih Američkih Država</w:t>
      </w:r>
      <w:r w:rsidRPr="009A3D74">
        <w:rPr>
          <w:lang w:val="hr-HR"/>
        </w:rPr>
        <w:t xml:space="preserve">, po razini konkurentnosti redom slijede Singapur na drugom mjestu, zatim Njemačka, Švicarska, Japan, Nizozemska, Hong Kong, Ujedinjeno Kraljevstvo, Švedska te Danska na desetom mjestu (World Economic Forum, 2018.) </w:t>
      </w:r>
      <w:r w:rsidRPr="00904544">
        <w:rPr>
          <w:lang w:val="de-DE"/>
        </w:rPr>
        <w:t xml:space="preserve">(tablica 2). </w:t>
      </w:r>
    </w:p>
    <w:p w:rsidR="00493218" w:rsidRPr="009A3D74" w:rsidRDefault="00493218" w:rsidP="003502B0">
      <w:pPr>
        <w:ind w:firstLine="709"/>
        <w:rPr>
          <w:lang w:val="de-DE"/>
        </w:rPr>
      </w:pPr>
      <w:bookmarkStart w:id="1" w:name="_GoBack"/>
      <w:bookmarkEnd w:id="1"/>
    </w:p>
    <w:p w:rsidR="00493218" w:rsidRDefault="00493218" w:rsidP="008C086A">
      <w:pPr>
        <w:pStyle w:val="Default"/>
        <w:rPr>
          <w:i/>
          <w:sz w:val="22"/>
          <w:szCs w:val="22"/>
        </w:rPr>
      </w:pPr>
    </w:p>
    <w:p w:rsidR="00493218" w:rsidRPr="00904544" w:rsidRDefault="00493218" w:rsidP="008C086A">
      <w:pPr>
        <w:pStyle w:val="Default"/>
        <w:rPr>
          <w:i/>
          <w:sz w:val="22"/>
          <w:szCs w:val="22"/>
        </w:rPr>
      </w:pPr>
      <w:r w:rsidRPr="00904544">
        <w:rPr>
          <w:i/>
          <w:sz w:val="22"/>
          <w:szCs w:val="22"/>
        </w:rPr>
        <w:t>Tablica 2. Dvadeset najkonkurentnijih zemalja svijeta prema Indeksu globalne konkurentnosti 4.0</w:t>
      </w:r>
    </w:p>
    <w:tbl>
      <w:tblPr>
        <w:tblW w:w="5000" w:type="pct"/>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ook w:val="00A0"/>
      </w:tblPr>
      <w:tblGrid>
        <w:gridCol w:w="747"/>
        <w:gridCol w:w="2992"/>
        <w:gridCol w:w="971"/>
        <w:gridCol w:w="831"/>
        <w:gridCol w:w="2249"/>
        <w:gridCol w:w="1072"/>
      </w:tblGrid>
      <w:tr w:rsidR="00493218" w:rsidRPr="006005CD" w:rsidTr="006005CD">
        <w:trPr>
          <w:trHeight w:val="260"/>
        </w:trPr>
        <w:tc>
          <w:tcPr>
            <w:tcW w:w="421" w:type="pct"/>
            <w:tcBorders>
              <w:top w:val="single" w:sz="4" w:space="0" w:color="auto"/>
              <w:left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Rang</w:t>
            </w:r>
          </w:p>
        </w:tc>
        <w:tc>
          <w:tcPr>
            <w:tcW w:w="1688" w:type="pct"/>
            <w:tcBorders>
              <w:top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Zemlja</w:t>
            </w:r>
          </w:p>
        </w:tc>
        <w:tc>
          <w:tcPr>
            <w:tcW w:w="548" w:type="pct"/>
            <w:tcBorders>
              <w:top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Indeks</w:t>
            </w:r>
          </w:p>
        </w:tc>
        <w:tc>
          <w:tcPr>
            <w:tcW w:w="469" w:type="pct"/>
            <w:tcBorders>
              <w:top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Rang</w:t>
            </w:r>
          </w:p>
        </w:tc>
        <w:tc>
          <w:tcPr>
            <w:tcW w:w="1269" w:type="pct"/>
            <w:tcBorders>
              <w:top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Zemlja</w:t>
            </w:r>
          </w:p>
        </w:tc>
        <w:tc>
          <w:tcPr>
            <w:tcW w:w="605" w:type="pct"/>
            <w:tcBorders>
              <w:top w:val="single" w:sz="4" w:space="0" w:color="auto"/>
              <w:bottom w:val="single" w:sz="4" w:space="0" w:color="auto"/>
              <w:right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Indeks</w:t>
            </w:r>
          </w:p>
        </w:tc>
      </w:tr>
      <w:tr w:rsidR="00493218" w:rsidRPr="006005CD" w:rsidTr="006005CD">
        <w:trPr>
          <w:trHeight w:val="260"/>
        </w:trPr>
        <w:tc>
          <w:tcPr>
            <w:tcW w:w="421" w:type="pct"/>
            <w:tcBorders>
              <w:top w:val="single" w:sz="4" w:space="0" w:color="auto"/>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1.</w:t>
            </w:r>
          </w:p>
        </w:tc>
        <w:tc>
          <w:tcPr>
            <w:tcW w:w="1688" w:type="pct"/>
            <w:tcBorders>
              <w:top w:val="single" w:sz="4" w:space="0" w:color="auto"/>
            </w:tcBorders>
          </w:tcPr>
          <w:p w:rsidR="00493218" w:rsidRPr="006005CD" w:rsidRDefault="00493218" w:rsidP="008C086A">
            <w:pPr>
              <w:pStyle w:val="Default"/>
              <w:rPr>
                <w:color w:val="auto"/>
                <w:sz w:val="22"/>
                <w:szCs w:val="22"/>
              </w:rPr>
            </w:pPr>
            <w:r w:rsidRPr="006005CD">
              <w:rPr>
                <w:color w:val="auto"/>
                <w:sz w:val="22"/>
                <w:szCs w:val="22"/>
              </w:rPr>
              <w:t>Sjedinjene Američke Države</w:t>
            </w:r>
          </w:p>
        </w:tc>
        <w:tc>
          <w:tcPr>
            <w:tcW w:w="548" w:type="pct"/>
            <w:tcBorders>
              <w:top w:val="single" w:sz="4" w:space="0" w:color="auto"/>
            </w:tcBorders>
          </w:tcPr>
          <w:p w:rsidR="00493218" w:rsidRPr="006005CD" w:rsidRDefault="00493218" w:rsidP="008C086A">
            <w:pPr>
              <w:pStyle w:val="Default"/>
              <w:rPr>
                <w:color w:val="auto"/>
                <w:sz w:val="22"/>
                <w:szCs w:val="22"/>
              </w:rPr>
            </w:pPr>
            <w:r w:rsidRPr="006005CD">
              <w:rPr>
                <w:color w:val="auto"/>
                <w:sz w:val="22"/>
                <w:szCs w:val="22"/>
              </w:rPr>
              <w:t>85,6</w:t>
            </w:r>
          </w:p>
        </w:tc>
        <w:tc>
          <w:tcPr>
            <w:tcW w:w="469" w:type="pct"/>
            <w:tcBorders>
              <w:top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11.</w:t>
            </w:r>
          </w:p>
        </w:tc>
        <w:tc>
          <w:tcPr>
            <w:tcW w:w="1269" w:type="pct"/>
            <w:tcBorders>
              <w:top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Finska</w:t>
            </w:r>
          </w:p>
        </w:tc>
        <w:tc>
          <w:tcPr>
            <w:tcW w:w="605" w:type="pct"/>
            <w:tcBorders>
              <w:top w:val="single" w:sz="4" w:space="0" w:color="auto"/>
              <w:right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80,3</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2.</w:t>
            </w:r>
          </w:p>
        </w:tc>
        <w:tc>
          <w:tcPr>
            <w:tcW w:w="1688" w:type="pct"/>
          </w:tcPr>
          <w:p w:rsidR="00493218" w:rsidRPr="006005CD" w:rsidRDefault="00493218" w:rsidP="008C086A">
            <w:pPr>
              <w:pStyle w:val="Default"/>
              <w:rPr>
                <w:color w:val="auto"/>
                <w:sz w:val="22"/>
                <w:szCs w:val="22"/>
              </w:rPr>
            </w:pPr>
            <w:r w:rsidRPr="006005CD">
              <w:rPr>
                <w:color w:val="auto"/>
                <w:sz w:val="22"/>
                <w:szCs w:val="22"/>
              </w:rPr>
              <w:t>Singapur</w:t>
            </w:r>
          </w:p>
        </w:tc>
        <w:tc>
          <w:tcPr>
            <w:tcW w:w="548" w:type="pct"/>
          </w:tcPr>
          <w:p w:rsidR="00493218" w:rsidRPr="006005CD" w:rsidRDefault="00493218" w:rsidP="008C086A">
            <w:pPr>
              <w:pStyle w:val="Default"/>
              <w:rPr>
                <w:color w:val="auto"/>
                <w:sz w:val="22"/>
                <w:szCs w:val="22"/>
              </w:rPr>
            </w:pPr>
            <w:r w:rsidRPr="006005CD">
              <w:rPr>
                <w:color w:val="auto"/>
                <w:sz w:val="22"/>
                <w:szCs w:val="22"/>
              </w:rPr>
              <w:t>83,5</w:t>
            </w:r>
          </w:p>
        </w:tc>
        <w:tc>
          <w:tcPr>
            <w:tcW w:w="469" w:type="pct"/>
          </w:tcPr>
          <w:p w:rsidR="00493218" w:rsidRPr="006005CD" w:rsidRDefault="00493218" w:rsidP="008C086A">
            <w:pPr>
              <w:pStyle w:val="Default"/>
              <w:rPr>
                <w:color w:val="auto"/>
                <w:sz w:val="22"/>
                <w:szCs w:val="22"/>
              </w:rPr>
            </w:pPr>
            <w:r w:rsidRPr="006005CD">
              <w:rPr>
                <w:color w:val="auto"/>
                <w:sz w:val="22"/>
                <w:szCs w:val="22"/>
              </w:rPr>
              <w:t>12.</w:t>
            </w:r>
          </w:p>
        </w:tc>
        <w:tc>
          <w:tcPr>
            <w:tcW w:w="1269" w:type="pct"/>
          </w:tcPr>
          <w:p w:rsidR="00493218" w:rsidRPr="006005CD" w:rsidRDefault="00493218" w:rsidP="008C086A">
            <w:pPr>
              <w:pStyle w:val="Default"/>
              <w:rPr>
                <w:color w:val="auto"/>
                <w:sz w:val="22"/>
                <w:szCs w:val="22"/>
              </w:rPr>
            </w:pPr>
            <w:r w:rsidRPr="006005CD">
              <w:rPr>
                <w:color w:val="auto"/>
                <w:sz w:val="22"/>
                <w:szCs w:val="22"/>
              </w:rPr>
              <w:t>Kanada</w:t>
            </w:r>
          </w:p>
        </w:tc>
        <w:tc>
          <w:tcPr>
            <w:tcW w:w="605" w:type="pct"/>
            <w:tcBorders>
              <w:right w:val="single" w:sz="4" w:space="0" w:color="auto"/>
            </w:tcBorders>
          </w:tcPr>
          <w:p w:rsidR="00493218" w:rsidRPr="006005CD" w:rsidRDefault="00493218" w:rsidP="008C086A">
            <w:pPr>
              <w:pStyle w:val="Default"/>
              <w:rPr>
                <w:color w:val="auto"/>
                <w:sz w:val="22"/>
                <w:szCs w:val="22"/>
              </w:rPr>
            </w:pPr>
            <w:r w:rsidRPr="006005CD">
              <w:rPr>
                <w:color w:val="auto"/>
                <w:sz w:val="22"/>
                <w:szCs w:val="22"/>
              </w:rPr>
              <w:t>79,9</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3.</w:t>
            </w:r>
          </w:p>
        </w:tc>
        <w:tc>
          <w:tcPr>
            <w:tcW w:w="1688" w:type="pct"/>
          </w:tcPr>
          <w:p w:rsidR="00493218" w:rsidRPr="006005CD" w:rsidRDefault="00493218" w:rsidP="008C086A">
            <w:pPr>
              <w:pStyle w:val="Default"/>
              <w:rPr>
                <w:b/>
                <w:color w:val="auto"/>
                <w:sz w:val="22"/>
                <w:szCs w:val="22"/>
              </w:rPr>
            </w:pPr>
            <w:r w:rsidRPr="006005CD">
              <w:rPr>
                <w:b/>
                <w:color w:val="auto"/>
                <w:sz w:val="22"/>
                <w:szCs w:val="22"/>
              </w:rPr>
              <w:t>Njemačka</w:t>
            </w:r>
          </w:p>
        </w:tc>
        <w:tc>
          <w:tcPr>
            <w:tcW w:w="548" w:type="pct"/>
          </w:tcPr>
          <w:p w:rsidR="00493218" w:rsidRPr="006005CD" w:rsidRDefault="00493218" w:rsidP="008C086A">
            <w:pPr>
              <w:pStyle w:val="Default"/>
              <w:rPr>
                <w:b/>
                <w:color w:val="auto"/>
                <w:sz w:val="22"/>
                <w:szCs w:val="22"/>
              </w:rPr>
            </w:pPr>
            <w:r w:rsidRPr="006005CD">
              <w:rPr>
                <w:b/>
                <w:color w:val="auto"/>
                <w:sz w:val="22"/>
                <w:szCs w:val="22"/>
              </w:rPr>
              <w:t>82,8</w:t>
            </w:r>
          </w:p>
        </w:tc>
        <w:tc>
          <w:tcPr>
            <w:tcW w:w="469" w:type="pct"/>
          </w:tcPr>
          <w:p w:rsidR="00493218" w:rsidRPr="006005CD" w:rsidRDefault="00493218" w:rsidP="008C086A">
            <w:pPr>
              <w:pStyle w:val="Default"/>
              <w:rPr>
                <w:color w:val="auto"/>
                <w:sz w:val="22"/>
                <w:szCs w:val="22"/>
              </w:rPr>
            </w:pPr>
            <w:r w:rsidRPr="006005CD">
              <w:rPr>
                <w:color w:val="auto"/>
                <w:sz w:val="22"/>
                <w:szCs w:val="22"/>
              </w:rPr>
              <w:t>13.</w:t>
            </w:r>
          </w:p>
        </w:tc>
        <w:tc>
          <w:tcPr>
            <w:tcW w:w="1269" w:type="pct"/>
          </w:tcPr>
          <w:p w:rsidR="00493218" w:rsidRPr="006005CD" w:rsidRDefault="00493218" w:rsidP="008C086A">
            <w:pPr>
              <w:pStyle w:val="Default"/>
              <w:rPr>
                <w:color w:val="auto"/>
                <w:sz w:val="22"/>
                <w:szCs w:val="22"/>
              </w:rPr>
            </w:pPr>
            <w:r w:rsidRPr="006005CD">
              <w:rPr>
                <w:color w:val="auto"/>
                <w:sz w:val="22"/>
                <w:szCs w:val="22"/>
              </w:rPr>
              <w:t>Taiwan</w:t>
            </w:r>
          </w:p>
        </w:tc>
        <w:tc>
          <w:tcPr>
            <w:tcW w:w="605" w:type="pct"/>
            <w:tcBorders>
              <w:right w:val="single" w:sz="4" w:space="0" w:color="auto"/>
            </w:tcBorders>
          </w:tcPr>
          <w:p w:rsidR="00493218" w:rsidRPr="006005CD" w:rsidRDefault="00493218" w:rsidP="008C086A">
            <w:pPr>
              <w:pStyle w:val="Default"/>
              <w:rPr>
                <w:color w:val="auto"/>
                <w:sz w:val="22"/>
                <w:szCs w:val="22"/>
              </w:rPr>
            </w:pPr>
            <w:r w:rsidRPr="006005CD">
              <w:rPr>
                <w:color w:val="auto"/>
                <w:sz w:val="22"/>
                <w:szCs w:val="22"/>
              </w:rPr>
              <w:t>79,3</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4.</w:t>
            </w:r>
          </w:p>
        </w:tc>
        <w:tc>
          <w:tcPr>
            <w:tcW w:w="1688" w:type="pct"/>
          </w:tcPr>
          <w:p w:rsidR="00493218" w:rsidRPr="006005CD" w:rsidRDefault="00493218" w:rsidP="008C086A">
            <w:pPr>
              <w:pStyle w:val="Default"/>
              <w:rPr>
                <w:color w:val="auto"/>
                <w:sz w:val="22"/>
                <w:szCs w:val="22"/>
              </w:rPr>
            </w:pPr>
            <w:r w:rsidRPr="006005CD">
              <w:rPr>
                <w:color w:val="auto"/>
                <w:sz w:val="22"/>
                <w:szCs w:val="22"/>
              </w:rPr>
              <w:t>Švicarska</w:t>
            </w:r>
          </w:p>
        </w:tc>
        <w:tc>
          <w:tcPr>
            <w:tcW w:w="548" w:type="pct"/>
          </w:tcPr>
          <w:p w:rsidR="00493218" w:rsidRPr="006005CD" w:rsidRDefault="00493218" w:rsidP="008C086A">
            <w:pPr>
              <w:pStyle w:val="Default"/>
              <w:rPr>
                <w:color w:val="auto"/>
                <w:sz w:val="22"/>
                <w:szCs w:val="22"/>
              </w:rPr>
            </w:pPr>
            <w:r w:rsidRPr="006005CD">
              <w:rPr>
                <w:color w:val="auto"/>
                <w:sz w:val="22"/>
                <w:szCs w:val="22"/>
              </w:rPr>
              <w:t>82,6</w:t>
            </w:r>
          </w:p>
        </w:tc>
        <w:tc>
          <w:tcPr>
            <w:tcW w:w="469" w:type="pct"/>
          </w:tcPr>
          <w:p w:rsidR="00493218" w:rsidRPr="006005CD" w:rsidRDefault="00493218" w:rsidP="008C086A">
            <w:pPr>
              <w:pStyle w:val="Default"/>
              <w:rPr>
                <w:color w:val="auto"/>
                <w:sz w:val="22"/>
                <w:szCs w:val="22"/>
              </w:rPr>
            </w:pPr>
            <w:r w:rsidRPr="006005CD">
              <w:rPr>
                <w:color w:val="auto"/>
                <w:sz w:val="22"/>
                <w:szCs w:val="22"/>
              </w:rPr>
              <w:t>14.</w:t>
            </w:r>
          </w:p>
        </w:tc>
        <w:tc>
          <w:tcPr>
            <w:tcW w:w="1269" w:type="pct"/>
          </w:tcPr>
          <w:p w:rsidR="00493218" w:rsidRPr="006005CD" w:rsidRDefault="00493218" w:rsidP="008C086A">
            <w:pPr>
              <w:pStyle w:val="Default"/>
              <w:rPr>
                <w:color w:val="auto"/>
                <w:sz w:val="22"/>
                <w:szCs w:val="22"/>
              </w:rPr>
            </w:pPr>
            <w:r w:rsidRPr="006005CD">
              <w:rPr>
                <w:color w:val="auto"/>
                <w:sz w:val="22"/>
                <w:szCs w:val="22"/>
              </w:rPr>
              <w:t>Australija</w:t>
            </w:r>
          </w:p>
        </w:tc>
        <w:tc>
          <w:tcPr>
            <w:tcW w:w="605" w:type="pct"/>
            <w:tcBorders>
              <w:right w:val="single" w:sz="4" w:space="0" w:color="auto"/>
            </w:tcBorders>
          </w:tcPr>
          <w:p w:rsidR="00493218" w:rsidRPr="006005CD" w:rsidRDefault="00493218" w:rsidP="008C086A">
            <w:pPr>
              <w:pStyle w:val="Default"/>
              <w:rPr>
                <w:color w:val="auto"/>
                <w:sz w:val="22"/>
                <w:szCs w:val="22"/>
              </w:rPr>
            </w:pPr>
            <w:r w:rsidRPr="006005CD">
              <w:rPr>
                <w:color w:val="auto"/>
                <w:sz w:val="22"/>
                <w:szCs w:val="22"/>
              </w:rPr>
              <w:t>78,9</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5.</w:t>
            </w:r>
          </w:p>
        </w:tc>
        <w:tc>
          <w:tcPr>
            <w:tcW w:w="1688" w:type="pct"/>
          </w:tcPr>
          <w:p w:rsidR="00493218" w:rsidRPr="006005CD" w:rsidRDefault="00493218" w:rsidP="008C086A">
            <w:pPr>
              <w:pStyle w:val="Default"/>
              <w:rPr>
                <w:color w:val="auto"/>
                <w:sz w:val="22"/>
                <w:szCs w:val="22"/>
              </w:rPr>
            </w:pPr>
            <w:r w:rsidRPr="006005CD">
              <w:rPr>
                <w:color w:val="auto"/>
                <w:sz w:val="22"/>
                <w:szCs w:val="22"/>
              </w:rPr>
              <w:t>Japan</w:t>
            </w:r>
          </w:p>
        </w:tc>
        <w:tc>
          <w:tcPr>
            <w:tcW w:w="548" w:type="pct"/>
          </w:tcPr>
          <w:p w:rsidR="00493218" w:rsidRPr="006005CD" w:rsidRDefault="00493218" w:rsidP="008C086A">
            <w:pPr>
              <w:pStyle w:val="Default"/>
              <w:rPr>
                <w:color w:val="auto"/>
                <w:sz w:val="22"/>
                <w:szCs w:val="22"/>
              </w:rPr>
            </w:pPr>
            <w:r w:rsidRPr="006005CD">
              <w:rPr>
                <w:color w:val="auto"/>
                <w:sz w:val="22"/>
                <w:szCs w:val="22"/>
              </w:rPr>
              <w:t>82,5</w:t>
            </w:r>
          </w:p>
        </w:tc>
        <w:tc>
          <w:tcPr>
            <w:tcW w:w="469" w:type="pct"/>
          </w:tcPr>
          <w:p w:rsidR="00493218" w:rsidRPr="006005CD" w:rsidRDefault="00493218" w:rsidP="008C086A">
            <w:pPr>
              <w:pStyle w:val="Default"/>
              <w:rPr>
                <w:color w:val="auto"/>
                <w:sz w:val="22"/>
                <w:szCs w:val="22"/>
              </w:rPr>
            </w:pPr>
            <w:r w:rsidRPr="006005CD">
              <w:rPr>
                <w:color w:val="auto"/>
                <w:sz w:val="22"/>
                <w:szCs w:val="22"/>
              </w:rPr>
              <w:t>15.</w:t>
            </w:r>
          </w:p>
        </w:tc>
        <w:tc>
          <w:tcPr>
            <w:tcW w:w="1269" w:type="pct"/>
          </w:tcPr>
          <w:p w:rsidR="00493218" w:rsidRPr="006005CD" w:rsidRDefault="00493218" w:rsidP="008C086A">
            <w:pPr>
              <w:pStyle w:val="Default"/>
              <w:rPr>
                <w:color w:val="auto"/>
                <w:sz w:val="22"/>
                <w:szCs w:val="22"/>
              </w:rPr>
            </w:pPr>
            <w:r w:rsidRPr="006005CD">
              <w:rPr>
                <w:color w:val="auto"/>
                <w:sz w:val="22"/>
                <w:szCs w:val="22"/>
              </w:rPr>
              <w:t>Koreja</w:t>
            </w:r>
          </w:p>
        </w:tc>
        <w:tc>
          <w:tcPr>
            <w:tcW w:w="605" w:type="pct"/>
            <w:tcBorders>
              <w:right w:val="single" w:sz="4" w:space="0" w:color="auto"/>
            </w:tcBorders>
          </w:tcPr>
          <w:p w:rsidR="00493218" w:rsidRPr="006005CD" w:rsidRDefault="00493218" w:rsidP="008C086A">
            <w:pPr>
              <w:pStyle w:val="Default"/>
              <w:rPr>
                <w:color w:val="auto"/>
                <w:sz w:val="22"/>
                <w:szCs w:val="22"/>
              </w:rPr>
            </w:pPr>
            <w:r w:rsidRPr="006005CD">
              <w:rPr>
                <w:color w:val="auto"/>
                <w:sz w:val="22"/>
                <w:szCs w:val="22"/>
              </w:rPr>
              <w:t>78,8</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6.</w:t>
            </w:r>
          </w:p>
        </w:tc>
        <w:tc>
          <w:tcPr>
            <w:tcW w:w="1688" w:type="pct"/>
          </w:tcPr>
          <w:p w:rsidR="00493218" w:rsidRPr="006005CD" w:rsidRDefault="00493218" w:rsidP="008C086A">
            <w:pPr>
              <w:pStyle w:val="Default"/>
              <w:rPr>
                <w:b/>
                <w:color w:val="auto"/>
                <w:sz w:val="22"/>
                <w:szCs w:val="22"/>
              </w:rPr>
            </w:pPr>
            <w:r w:rsidRPr="006005CD">
              <w:rPr>
                <w:b/>
                <w:color w:val="auto"/>
                <w:sz w:val="22"/>
                <w:szCs w:val="22"/>
              </w:rPr>
              <w:t>Nizozemska</w:t>
            </w:r>
          </w:p>
        </w:tc>
        <w:tc>
          <w:tcPr>
            <w:tcW w:w="548" w:type="pct"/>
          </w:tcPr>
          <w:p w:rsidR="00493218" w:rsidRPr="006005CD" w:rsidRDefault="00493218" w:rsidP="008C086A">
            <w:pPr>
              <w:pStyle w:val="Default"/>
              <w:rPr>
                <w:b/>
                <w:color w:val="auto"/>
                <w:sz w:val="22"/>
                <w:szCs w:val="22"/>
              </w:rPr>
            </w:pPr>
            <w:r w:rsidRPr="006005CD">
              <w:rPr>
                <w:b/>
                <w:color w:val="auto"/>
                <w:sz w:val="22"/>
                <w:szCs w:val="22"/>
              </w:rPr>
              <w:t>82,4</w:t>
            </w:r>
          </w:p>
        </w:tc>
        <w:tc>
          <w:tcPr>
            <w:tcW w:w="469" w:type="pct"/>
          </w:tcPr>
          <w:p w:rsidR="00493218" w:rsidRPr="006005CD" w:rsidRDefault="00493218" w:rsidP="008C086A">
            <w:pPr>
              <w:pStyle w:val="Default"/>
              <w:rPr>
                <w:color w:val="auto"/>
                <w:sz w:val="22"/>
                <w:szCs w:val="22"/>
              </w:rPr>
            </w:pPr>
            <w:r w:rsidRPr="006005CD">
              <w:rPr>
                <w:color w:val="auto"/>
                <w:sz w:val="22"/>
                <w:szCs w:val="22"/>
              </w:rPr>
              <w:t>16.</w:t>
            </w:r>
          </w:p>
        </w:tc>
        <w:tc>
          <w:tcPr>
            <w:tcW w:w="1269" w:type="pct"/>
          </w:tcPr>
          <w:p w:rsidR="00493218" w:rsidRPr="006005CD" w:rsidRDefault="00493218" w:rsidP="008C086A">
            <w:pPr>
              <w:pStyle w:val="Default"/>
              <w:rPr>
                <w:color w:val="auto"/>
                <w:sz w:val="22"/>
                <w:szCs w:val="22"/>
              </w:rPr>
            </w:pPr>
            <w:r w:rsidRPr="006005CD">
              <w:rPr>
                <w:color w:val="auto"/>
                <w:sz w:val="22"/>
                <w:szCs w:val="22"/>
              </w:rPr>
              <w:t>Norveška</w:t>
            </w:r>
          </w:p>
        </w:tc>
        <w:tc>
          <w:tcPr>
            <w:tcW w:w="605" w:type="pct"/>
            <w:tcBorders>
              <w:right w:val="single" w:sz="4" w:space="0" w:color="auto"/>
            </w:tcBorders>
          </w:tcPr>
          <w:p w:rsidR="00493218" w:rsidRPr="006005CD" w:rsidRDefault="00493218" w:rsidP="008C086A">
            <w:pPr>
              <w:pStyle w:val="Default"/>
              <w:rPr>
                <w:color w:val="auto"/>
                <w:sz w:val="22"/>
                <w:szCs w:val="22"/>
              </w:rPr>
            </w:pPr>
            <w:r w:rsidRPr="006005CD">
              <w:rPr>
                <w:color w:val="auto"/>
                <w:sz w:val="22"/>
                <w:szCs w:val="22"/>
              </w:rPr>
              <w:t>78,2</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7.</w:t>
            </w:r>
          </w:p>
        </w:tc>
        <w:tc>
          <w:tcPr>
            <w:tcW w:w="1688" w:type="pct"/>
          </w:tcPr>
          <w:p w:rsidR="00493218" w:rsidRPr="006005CD" w:rsidRDefault="00493218" w:rsidP="008C086A">
            <w:pPr>
              <w:pStyle w:val="Default"/>
              <w:rPr>
                <w:color w:val="auto"/>
                <w:sz w:val="22"/>
                <w:szCs w:val="22"/>
              </w:rPr>
            </w:pPr>
            <w:r w:rsidRPr="006005CD">
              <w:rPr>
                <w:color w:val="auto"/>
                <w:sz w:val="22"/>
                <w:szCs w:val="22"/>
              </w:rPr>
              <w:t>Hong Kong</w:t>
            </w:r>
          </w:p>
        </w:tc>
        <w:tc>
          <w:tcPr>
            <w:tcW w:w="548" w:type="pct"/>
          </w:tcPr>
          <w:p w:rsidR="00493218" w:rsidRPr="006005CD" w:rsidRDefault="00493218" w:rsidP="008C086A">
            <w:pPr>
              <w:pStyle w:val="Default"/>
              <w:rPr>
                <w:color w:val="auto"/>
                <w:sz w:val="22"/>
                <w:szCs w:val="22"/>
              </w:rPr>
            </w:pPr>
            <w:r w:rsidRPr="006005CD">
              <w:rPr>
                <w:color w:val="auto"/>
                <w:sz w:val="22"/>
                <w:szCs w:val="22"/>
              </w:rPr>
              <w:t>82,3</w:t>
            </w:r>
          </w:p>
        </w:tc>
        <w:tc>
          <w:tcPr>
            <w:tcW w:w="469" w:type="pct"/>
          </w:tcPr>
          <w:p w:rsidR="00493218" w:rsidRPr="006005CD" w:rsidRDefault="00493218" w:rsidP="008C086A">
            <w:pPr>
              <w:pStyle w:val="Default"/>
              <w:rPr>
                <w:b/>
                <w:color w:val="auto"/>
                <w:sz w:val="22"/>
                <w:szCs w:val="22"/>
              </w:rPr>
            </w:pPr>
            <w:r w:rsidRPr="006005CD">
              <w:rPr>
                <w:b/>
                <w:color w:val="auto"/>
                <w:sz w:val="22"/>
                <w:szCs w:val="22"/>
              </w:rPr>
              <w:t>17.</w:t>
            </w:r>
          </w:p>
        </w:tc>
        <w:tc>
          <w:tcPr>
            <w:tcW w:w="1269" w:type="pct"/>
          </w:tcPr>
          <w:p w:rsidR="00493218" w:rsidRPr="006005CD" w:rsidRDefault="00493218" w:rsidP="008C086A">
            <w:pPr>
              <w:pStyle w:val="Default"/>
              <w:rPr>
                <w:b/>
                <w:color w:val="auto"/>
                <w:sz w:val="22"/>
                <w:szCs w:val="22"/>
              </w:rPr>
            </w:pPr>
            <w:r w:rsidRPr="006005CD">
              <w:rPr>
                <w:b/>
                <w:color w:val="auto"/>
                <w:sz w:val="22"/>
                <w:szCs w:val="22"/>
              </w:rPr>
              <w:t>Francuska</w:t>
            </w:r>
          </w:p>
        </w:tc>
        <w:tc>
          <w:tcPr>
            <w:tcW w:w="605" w:type="pct"/>
            <w:tcBorders>
              <w:right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78</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8.</w:t>
            </w:r>
          </w:p>
        </w:tc>
        <w:tc>
          <w:tcPr>
            <w:tcW w:w="1688" w:type="pct"/>
          </w:tcPr>
          <w:p w:rsidR="00493218" w:rsidRPr="006005CD" w:rsidRDefault="00493218" w:rsidP="008C086A">
            <w:pPr>
              <w:pStyle w:val="Default"/>
              <w:rPr>
                <w:b/>
                <w:color w:val="auto"/>
                <w:sz w:val="22"/>
                <w:szCs w:val="22"/>
              </w:rPr>
            </w:pPr>
            <w:r w:rsidRPr="006005CD">
              <w:rPr>
                <w:b/>
                <w:color w:val="auto"/>
                <w:sz w:val="22"/>
                <w:szCs w:val="22"/>
              </w:rPr>
              <w:t>Ujedinjeno Kraljevstvo</w:t>
            </w:r>
          </w:p>
        </w:tc>
        <w:tc>
          <w:tcPr>
            <w:tcW w:w="548" w:type="pct"/>
          </w:tcPr>
          <w:p w:rsidR="00493218" w:rsidRPr="006005CD" w:rsidRDefault="00493218" w:rsidP="008C086A">
            <w:pPr>
              <w:pStyle w:val="Default"/>
              <w:rPr>
                <w:b/>
                <w:color w:val="auto"/>
                <w:sz w:val="22"/>
                <w:szCs w:val="22"/>
              </w:rPr>
            </w:pPr>
            <w:r w:rsidRPr="006005CD">
              <w:rPr>
                <w:b/>
                <w:color w:val="auto"/>
                <w:sz w:val="22"/>
                <w:szCs w:val="22"/>
              </w:rPr>
              <w:t>82</w:t>
            </w:r>
          </w:p>
        </w:tc>
        <w:tc>
          <w:tcPr>
            <w:tcW w:w="469" w:type="pct"/>
          </w:tcPr>
          <w:p w:rsidR="00493218" w:rsidRPr="006005CD" w:rsidRDefault="00493218" w:rsidP="008C086A">
            <w:pPr>
              <w:pStyle w:val="Default"/>
              <w:rPr>
                <w:color w:val="auto"/>
                <w:sz w:val="22"/>
                <w:szCs w:val="22"/>
              </w:rPr>
            </w:pPr>
            <w:r w:rsidRPr="006005CD">
              <w:rPr>
                <w:color w:val="auto"/>
                <w:sz w:val="22"/>
                <w:szCs w:val="22"/>
              </w:rPr>
              <w:t>18.</w:t>
            </w:r>
          </w:p>
        </w:tc>
        <w:tc>
          <w:tcPr>
            <w:tcW w:w="1269" w:type="pct"/>
          </w:tcPr>
          <w:p w:rsidR="00493218" w:rsidRPr="006005CD" w:rsidRDefault="00493218" w:rsidP="008C086A">
            <w:pPr>
              <w:pStyle w:val="Default"/>
              <w:rPr>
                <w:color w:val="auto"/>
                <w:sz w:val="22"/>
                <w:szCs w:val="22"/>
              </w:rPr>
            </w:pPr>
            <w:r w:rsidRPr="006005CD">
              <w:rPr>
                <w:color w:val="auto"/>
                <w:sz w:val="22"/>
                <w:szCs w:val="22"/>
              </w:rPr>
              <w:t>Novi Zeland</w:t>
            </w:r>
          </w:p>
        </w:tc>
        <w:tc>
          <w:tcPr>
            <w:tcW w:w="605" w:type="pct"/>
            <w:tcBorders>
              <w:right w:val="single" w:sz="4" w:space="0" w:color="auto"/>
            </w:tcBorders>
          </w:tcPr>
          <w:p w:rsidR="00493218" w:rsidRPr="006005CD" w:rsidRDefault="00493218" w:rsidP="008C086A">
            <w:pPr>
              <w:pStyle w:val="Default"/>
              <w:rPr>
                <w:color w:val="auto"/>
                <w:sz w:val="22"/>
                <w:szCs w:val="22"/>
              </w:rPr>
            </w:pPr>
            <w:r w:rsidRPr="006005CD">
              <w:rPr>
                <w:color w:val="auto"/>
                <w:sz w:val="22"/>
                <w:szCs w:val="22"/>
              </w:rPr>
              <w:t>77,5</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9.</w:t>
            </w:r>
          </w:p>
        </w:tc>
        <w:tc>
          <w:tcPr>
            <w:tcW w:w="1688" w:type="pct"/>
          </w:tcPr>
          <w:p w:rsidR="00493218" w:rsidRPr="006005CD" w:rsidRDefault="00493218" w:rsidP="008C086A">
            <w:pPr>
              <w:pStyle w:val="Default"/>
              <w:rPr>
                <w:b/>
                <w:color w:val="auto"/>
                <w:sz w:val="22"/>
                <w:szCs w:val="22"/>
              </w:rPr>
            </w:pPr>
            <w:r w:rsidRPr="006005CD">
              <w:rPr>
                <w:b/>
                <w:color w:val="auto"/>
                <w:sz w:val="22"/>
                <w:szCs w:val="22"/>
              </w:rPr>
              <w:t>Švedska</w:t>
            </w:r>
          </w:p>
        </w:tc>
        <w:tc>
          <w:tcPr>
            <w:tcW w:w="548" w:type="pct"/>
          </w:tcPr>
          <w:p w:rsidR="00493218" w:rsidRPr="006005CD" w:rsidRDefault="00493218" w:rsidP="008C086A">
            <w:pPr>
              <w:pStyle w:val="Default"/>
              <w:rPr>
                <w:b/>
                <w:color w:val="auto"/>
                <w:sz w:val="22"/>
                <w:szCs w:val="22"/>
              </w:rPr>
            </w:pPr>
            <w:r w:rsidRPr="006005CD">
              <w:rPr>
                <w:b/>
                <w:color w:val="auto"/>
                <w:sz w:val="22"/>
                <w:szCs w:val="22"/>
              </w:rPr>
              <w:t>81,7</w:t>
            </w:r>
          </w:p>
        </w:tc>
        <w:tc>
          <w:tcPr>
            <w:tcW w:w="469" w:type="pct"/>
          </w:tcPr>
          <w:p w:rsidR="00493218" w:rsidRPr="006005CD" w:rsidRDefault="00493218" w:rsidP="008C086A">
            <w:pPr>
              <w:pStyle w:val="Default"/>
              <w:rPr>
                <w:b/>
                <w:color w:val="auto"/>
                <w:sz w:val="22"/>
                <w:szCs w:val="22"/>
              </w:rPr>
            </w:pPr>
            <w:r w:rsidRPr="006005CD">
              <w:rPr>
                <w:b/>
                <w:color w:val="auto"/>
                <w:sz w:val="22"/>
                <w:szCs w:val="22"/>
              </w:rPr>
              <w:t>19.</w:t>
            </w:r>
          </w:p>
        </w:tc>
        <w:tc>
          <w:tcPr>
            <w:tcW w:w="1269" w:type="pct"/>
          </w:tcPr>
          <w:p w:rsidR="00493218" w:rsidRPr="006005CD" w:rsidRDefault="00493218" w:rsidP="008C086A">
            <w:pPr>
              <w:pStyle w:val="Default"/>
              <w:rPr>
                <w:b/>
                <w:color w:val="auto"/>
                <w:sz w:val="22"/>
                <w:szCs w:val="22"/>
              </w:rPr>
            </w:pPr>
            <w:r w:rsidRPr="006005CD">
              <w:rPr>
                <w:b/>
                <w:color w:val="auto"/>
                <w:sz w:val="22"/>
                <w:szCs w:val="22"/>
              </w:rPr>
              <w:t>Luksemburg</w:t>
            </w:r>
          </w:p>
        </w:tc>
        <w:tc>
          <w:tcPr>
            <w:tcW w:w="605" w:type="pct"/>
            <w:tcBorders>
              <w:right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76,6</w:t>
            </w:r>
          </w:p>
        </w:tc>
      </w:tr>
      <w:tr w:rsidR="00493218" w:rsidRPr="006005CD" w:rsidTr="006005CD">
        <w:trPr>
          <w:trHeight w:val="260"/>
        </w:trPr>
        <w:tc>
          <w:tcPr>
            <w:tcW w:w="421" w:type="pct"/>
            <w:tcBorders>
              <w:left w:val="single" w:sz="4" w:space="0" w:color="auto"/>
              <w:bottom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10.</w:t>
            </w:r>
          </w:p>
        </w:tc>
        <w:tc>
          <w:tcPr>
            <w:tcW w:w="1688" w:type="pct"/>
            <w:tcBorders>
              <w:bottom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Danska</w:t>
            </w:r>
          </w:p>
        </w:tc>
        <w:tc>
          <w:tcPr>
            <w:tcW w:w="548" w:type="pct"/>
            <w:tcBorders>
              <w:bottom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80,6</w:t>
            </w:r>
          </w:p>
        </w:tc>
        <w:tc>
          <w:tcPr>
            <w:tcW w:w="469" w:type="pct"/>
            <w:tcBorders>
              <w:bottom w:val="single" w:sz="4" w:space="0" w:color="auto"/>
            </w:tcBorders>
          </w:tcPr>
          <w:p w:rsidR="00493218" w:rsidRPr="006005CD" w:rsidRDefault="00493218" w:rsidP="008C086A">
            <w:pPr>
              <w:pStyle w:val="Default"/>
              <w:rPr>
                <w:color w:val="auto"/>
                <w:sz w:val="22"/>
                <w:szCs w:val="22"/>
              </w:rPr>
            </w:pPr>
            <w:r w:rsidRPr="006005CD">
              <w:rPr>
                <w:color w:val="auto"/>
                <w:sz w:val="22"/>
                <w:szCs w:val="22"/>
              </w:rPr>
              <w:t>20.</w:t>
            </w:r>
          </w:p>
        </w:tc>
        <w:tc>
          <w:tcPr>
            <w:tcW w:w="1269" w:type="pct"/>
            <w:tcBorders>
              <w:bottom w:val="single" w:sz="4" w:space="0" w:color="auto"/>
            </w:tcBorders>
          </w:tcPr>
          <w:p w:rsidR="00493218" w:rsidRPr="006005CD" w:rsidRDefault="00493218" w:rsidP="008C086A">
            <w:pPr>
              <w:pStyle w:val="Default"/>
              <w:rPr>
                <w:color w:val="auto"/>
                <w:sz w:val="22"/>
                <w:szCs w:val="22"/>
              </w:rPr>
            </w:pPr>
            <w:r w:rsidRPr="006005CD">
              <w:rPr>
                <w:color w:val="auto"/>
                <w:sz w:val="22"/>
                <w:szCs w:val="22"/>
              </w:rPr>
              <w:t>Izrael</w:t>
            </w:r>
          </w:p>
        </w:tc>
        <w:tc>
          <w:tcPr>
            <w:tcW w:w="605" w:type="pct"/>
            <w:tcBorders>
              <w:bottom w:val="single" w:sz="4" w:space="0" w:color="auto"/>
              <w:right w:val="single" w:sz="4" w:space="0" w:color="auto"/>
            </w:tcBorders>
          </w:tcPr>
          <w:p w:rsidR="00493218" w:rsidRPr="006005CD" w:rsidRDefault="00493218" w:rsidP="008C086A">
            <w:pPr>
              <w:pStyle w:val="Default"/>
              <w:rPr>
                <w:color w:val="auto"/>
                <w:sz w:val="22"/>
                <w:szCs w:val="22"/>
              </w:rPr>
            </w:pPr>
            <w:r w:rsidRPr="006005CD">
              <w:rPr>
                <w:color w:val="auto"/>
                <w:sz w:val="22"/>
                <w:szCs w:val="22"/>
              </w:rPr>
              <w:t>76,6</w:t>
            </w:r>
          </w:p>
        </w:tc>
      </w:tr>
    </w:tbl>
    <w:p w:rsidR="00493218" w:rsidRPr="00904544" w:rsidRDefault="00493218" w:rsidP="008C086A">
      <w:pPr>
        <w:pStyle w:val="Default"/>
        <w:rPr>
          <w:i/>
          <w:sz w:val="20"/>
        </w:rPr>
      </w:pPr>
      <w:r w:rsidRPr="00904544">
        <w:rPr>
          <w:i/>
          <w:sz w:val="20"/>
        </w:rPr>
        <w:t>Izvor: World Economic Forum (2018.)</w:t>
      </w:r>
    </w:p>
    <w:p w:rsidR="00493218" w:rsidRDefault="00493218" w:rsidP="003502B0">
      <w:pPr>
        <w:ind w:firstLine="709"/>
        <w:rPr>
          <w:lang w:val="hr-HR"/>
        </w:rPr>
      </w:pPr>
      <w:r w:rsidRPr="009A3D74">
        <w:rPr>
          <w:lang w:val="hr-HR"/>
        </w:rPr>
        <w:t xml:space="preserve">Naime, prema Izvješću o globalnoj konkurentnosti (2018.), a promatrajući isključivo navedenih deset najkonkurentnijih zemalja na svijetu, Europska unija i Sjeverna Amerika zajedno stoje na vrhu ljestvice indeksa globalne konkurentnosti. Tome je tako jer šest od deset najkonkurentnijih zemalja svijeta pripada upravo Europskoj uniji (Njemačka, Nizozemska, Ujedinjeno Kraljevstvo još uvijek, Švedska i Danska) i Sjevernoj Americi (Sjedinjene Američke Države). </w:t>
      </w:r>
      <w:r w:rsidRPr="009A3D74">
        <w:rPr>
          <w:lang w:val="hr-HR"/>
        </w:rPr>
        <w:tab/>
      </w:r>
      <w:r w:rsidRPr="009A3D74">
        <w:rPr>
          <w:lang w:val="hr-HR"/>
        </w:rPr>
        <w:tab/>
      </w:r>
      <w:r w:rsidRPr="009A3D74">
        <w:rPr>
          <w:lang w:val="hr-HR"/>
        </w:rPr>
        <w:tab/>
      </w:r>
      <w:r w:rsidRPr="009A3D74">
        <w:rPr>
          <w:lang w:val="hr-HR"/>
        </w:rPr>
        <w:tab/>
      </w:r>
      <w:r w:rsidRPr="009A3D74">
        <w:rPr>
          <w:lang w:val="hr-HR"/>
        </w:rPr>
        <w:tab/>
      </w:r>
      <w:r w:rsidRPr="009A3D74">
        <w:rPr>
          <w:lang w:val="hr-HR"/>
        </w:rPr>
        <w:tab/>
        <w:t>Kad je riječ o konkurentnosti, Europa se sastoji od četiri grupe zemalja: (1) vrlo kompetitivne zemlje sjeverozapadne Europe, uključujući Švicarsku; (2) konkurentna jugozapadna Europa u kojoj vodeću konkurentnost ima Francuska; (3) sjeveroistočna Europa rastuće konkurentnosti, s Poljskom, Češkom i baltičkim zemljama kao zemljama vodeće konkurentnosti ove grupe europskih zemalja, koje čak stoje jednako ili bolje od nekih zapadnih europskih zemalja po nekoliko aspekata konkurentnosti; te (4) jugoistočna Europa, konkretno balkanske zemlje, koje zaostaju u razvoju za drugim zemljama (World Economic Forum, 2018.).</w:t>
      </w:r>
      <w:r w:rsidRPr="009A3D74">
        <w:rPr>
          <w:lang w:val="hr-HR"/>
        </w:rPr>
        <w:tab/>
      </w:r>
      <w:r w:rsidRPr="009A3D74">
        <w:rPr>
          <w:lang w:val="hr-HR"/>
        </w:rPr>
        <w:tab/>
      </w:r>
      <w:r w:rsidRPr="009A3D74">
        <w:rPr>
          <w:lang w:val="hr-HR"/>
        </w:rPr>
        <w:tab/>
      </w:r>
      <w:r w:rsidRPr="009A3D74">
        <w:rPr>
          <w:lang w:val="hr-HR"/>
        </w:rPr>
        <w:tab/>
      </w:r>
      <w:r w:rsidRPr="009A3D74">
        <w:rPr>
          <w:lang w:val="hr-HR"/>
        </w:rPr>
        <w:tab/>
      </w:r>
      <w:r w:rsidRPr="009A3D74">
        <w:rPr>
          <w:lang w:val="hr-HR"/>
        </w:rPr>
        <w:tab/>
      </w:r>
      <w:r w:rsidRPr="009A3D74">
        <w:rPr>
          <w:lang w:val="hr-HR"/>
        </w:rPr>
        <w:tab/>
        <w:t>Prema Izvješću o globalnoj konkurentnosti (2018.), distribucija ishoda tehnološke spremnosti relativno je disperzirana, a u tom je segmentu Europa nedvojbeno u sjeni Koreje, koja je svjetski vođa u ovom segmentu. S druge strane, Europa relativno dobro stoji u segmentu tehnološke apsorpcije. Međutim, Europa je i dalje relativno daleko na svjetskoj ljestvici po pitanju tržišnog natjecanja proizvodima, u čemu je Singapur na vrhu ljestvice, kao i po pitanju poslovne dinamike u čemu su Sjedinjene Američke Države na vrhu svjetske ljestvice. Unatoč navedenim rezultatima, veličina tržišta Europske unije svakako je njezina najveća komparativna prednost koju treba iskoristiti, posebno u dobu u kojem ekonomija razmjera i učinkovitosti mreže postaju sve važnija iz aspekta konkurentnosti (World Economic Forum, 2018.).</w:t>
      </w:r>
      <w:r w:rsidRPr="009A3D74">
        <w:rPr>
          <w:lang w:val="hr-HR"/>
        </w:rPr>
        <w:tab/>
      </w:r>
      <w:r w:rsidRPr="009A3D74">
        <w:rPr>
          <w:lang w:val="hr-HR"/>
        </w:rPr>
        <w:tab/>
      </w:r>
      <w:r w:rsidRPr="009A3D74">
        <w:rPr>
          <w:lang w:val="hr-HR"/>
        </w:rPr>
        <w:tab/>
      </w:r>
      <w:r w:rsidRPr="009A3D74">
        <w:rPr>
          <w:lang w:val="hr-HR"/>
        </w:rPr>
        <w:tab/>
      </w:r>
      <w:r w:rsidRPr="009A3D74">
        <w:rPr>
          <w:lang w:val="hr-HR"/>
        </w:rPr>
        <w:tab/>
      </w:r>
      <w:r w:rsidRPr="009A3D74">
        <w:rPr>
          <w:lang w:val="hr-HR"/>
        </w:rPr>
        <w:tab/>
        <w:t xml:space="preserve">Nadalje, uspoređujući Europsku uniju s ostatkom svijeta, a prema Izvješću o globalnoj konkurentnosti (2018.), Kina se nalazi na 28. mjestu u ukupnom poretku (GCI rezultat od 72,6), što je dovelo do toga da se nalazi ispred Ruske Federacije (65,6, 43. mjesto), Indije (62,0, 58. mjesto), Južne Afrike (60,8, 67. mjesto) i Brazila (59,5, 72. mjesto). Iako se nalazi na tek 28. mjestu u ukupnom poretku, Kina je uvijek zanimljiva za komparativnu analizu zbog činjenice da je najveća zemlja na svijetu kada se uzima u obzir volumen trgovine. Ta je činjenica posebno važna u dobu u kojem je Kina na kritičnoj točki prijelaza gdje se kolektivna ekonomska svijest Kine mijenja iz gospodarstva sve manje potaknutog ulaganjima i izvozom, a sve više usmjerenog prema potrošnji i uslugama. Ta je promjena napravljena s ciljem povećanja konkurentnosti i boljeg pozicioniranja u globalnim lancima vrijednosti, što pokazuje spremnost i disciplinu za uvođenje strukturnih promjena u cilju ispunjavanja nacionalnih prioriteta i ciljeva. Kina se u posljednje vrijeme sve više okreće inovacijama, što je rezultiralo time da postane vodeći tržišni igrač u vrlo specifičnim područjima, poput umjetne inteligencije (eng. </w:t>
      </w:r>
      <w:r w:rsidRPr="009A3D74">
        <w:rPr>
          <w:i/>
          <w:lang w:val="hr-HR"/>
        </w:rPr>
        <w:t>Artificial Intelligence</w:t>
      </w:r>
      <w:r w:rsidRPr="009A3D74">
        <w:rPr>
          <w:lang w:val="hr-HR"/>
        </w:rPr>
        <w:t xml:space="preserve"> – AI). S rezultatom od 64,4 (24. mjesto) u inovacijama stoji iznad mnogih naprednih zemalja, ali još uvijek slijedi sad već tradicionalne vođe u inovacijama (eng. </w:t>
      </w:r>
      <w:r w:rsidRPr="009A3D74">
        <w:rPr>
          <w:i/>
          <w:lang w:val="hr-HR"/>
        </w:rPr>
        <w:t>Innovation Leaders</w:t>
      </w:r>
      <w:r w:rsidRPr="009A3D74">
        <w:rPr>
          <w:lang w:val="hr-HR"/>
        </w:rPr>
        <w:t>) poput Njemačke, SAD-a i Švicarske. Ostale relativne snage Kine uključuju infrastrukturu (29. mjesto) i apsorpciju odnosno primjenu informacijskih i komunikacijskih tehnologija (IKT) na 26. mjestu, što predstavlja dva vrlo značajna postignuća, promatrajući s aspekta veličine zemlje. Ovo je posebno značajan rezultat u usporedbi s Njemačkom, najkonkurentnijom zemljom članicom EU koja je u ovom aspektu zauzela tek 31. mjesto. Kina u ovom segmentu konkurira bolje i od Italije (52. mjesto), kao i od Hrvatske (53. mjesto).</w:t>
      </w:r>
    </w:p>
    <w:p w:rsidR="00493218" w:rsidRDefault="00493218" w:rsidP="00904544">
      <w:pPr>
        <w:pStyle w:val="Default"/>
      </w:pPr>
    </w:p>
    <w:p w:rsidR="00493218" w:rsidRPr="00904544" w:rsidRDefault="00493218" w:rsidP="004F0DD0">
      <w:pPr>
        <w:pStyle w:val="Heading1"/>
        <w:numPr>
          <w:ilvl w:val="0"/>
          <w:numId w:val="26"/>
        </w:numPr>
        <w:spacing w:before="0" w:after="0"/>
        <w:rPr>
          <w:rFonts w:ascii="Times New Roman" w:hAnsi="Times New Roman"/>
          <w:b w:val="0"/>
          <w:lang w:val="de-DE"/>
        </w:rPr>
      </w:pPr>
      <w:r w:rsidRPr="00904544">
        <w:rPr>
          <w:rFonts w:ascii="Times New Roman" w:hAnsi="Times New Roman"/>
          <w:lang w:val="de-DE"/>
        </w:rPr>
        <w:t xml:space="preserve">Konkurentnost zemalja članica Europske unije </w:t>
      </w:r>
    </w:p>
    <w:p w:rsidR="00493218" w:rsidRPr="002015E9" w:rsidRDefault="00493218" w:rsidP="004F0DD0">
      <w:pPr>
        <w:ind w:firstLine="709"/>
        <w:rPr>
          <w:lang w:val="de-DE"/>
        </w:rPr>
      </w:pPr>
      <w:r w:rsidRPr="002015E9">
        <w:rPr>
          <w:lang w:val="de-DE"/>
        </w:rPr>
        <w:t>Prema Izvješću globalne konkurentnosti za 2018., Njemačka je najuspješnija europska zemlja te treća zemlja na svijetu na ovogodišnjoj ljestvici konkurentnosti, što predstavlja impresivni ukupni rezultat (tablica 3). Inovacijski eko-sustav Njemačke je prvi na stupu kapaciteta za inovacije (87,5). Vrlo visoku razinu konkurentnosti Njemačke dodatno pojašnjavaju čvrsti temelji poput stabilnog makroekonomskog okružja i zdravog, visoko obrazovanog stanovništva visoke razine vještina, za razliku od primjerice Italije i Hrvatske koje vrlo nisko kotiraju u navedenim segmentima. Međutim, Njemačka zaostaje u području primjene IKT-a (31. na svijetu). Njemačka je također najkonkurentnija zemlja na svijetu u pojedinim pokazateljima indeksa, poput učinkovitosti postupka carinske obrade u okviru stupa tržište proizvoda te u stupu kapaciteta za inovacije.</w:t>
      </w:r>
    </w:p>
    <w:p w:rsidR="00493218" w:rsidRPr="00904544" w:rsidRDefault="00493218" w:rsidP="004F0DD0">
      <w:pPr>
        <w:rPr>
          <w:i/>
          <w:sz w:val="22"/>
          <w:szCs w:val="22"/>
          <w:lang w:val="de-DE"/>
        </w:rPr>
      </w:pPr>
      <w:r w:rsidRPr="00904544">
        <w:rPr>
          <w:i/>
          <w:sz w:val="22"/>
          <w:szCs w:val="22"/>
          <w:lang w:val="de-DE"/>
        </w:rPr>
        <w:t>Tablica 3. Rezultati zemalja članica Europske unije prema Indeksu globalne konkurentnosti 4.0.</w:t>
      </w:r>
    </w:p>
    <w:tbl>
      <w:tblPr>
        <w:tblW w:w="5000" w:type="pct"/>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ook w:val="00A0"/>
      </w:tblPr>
      <w:tblGrid>
        <w:gridCol w:w="746"/>
        <w:gridCol w:w="2439"/>
        <w:gridCol w:w="1216"/>
        <w:gridCol w:w="746"/>
        <w:gridCol w:w="2643"/>
        <w:gridCol w:w="1072"/>
      </w:tblGrid>
      <w:tr w:rsidR="00493218" w:rsidRPr="006005CD" w:rsidTr="006005CD">
        <w:trPr>
          <w:trHeight w:val="260"/>
        </w:trPr>
        <w:tc>
          <w:tcPr>
            <w:tcW w:w="421" w:type="pct"/>
            <w:tcBorders>
              <w:top w:val="single" w:sz="4" w:space="0" w:color="auto"/>
              <w:left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Rang</w:t>
            </w:r>
          </w:p>
        </w:tc>
        <w:tc>
          <w:tcPr>
            <w:tcW w:w="1376" w:type="pct"/>
            <w:tcBorders>
              <w:top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Zemlje članice EU28</w:t>
            </w:r>
          </w:p>
        </w:tc>
        <w:tc>
          <w:tcPr>
            <w:tcW w:w="686" w:type="pct"/>
            <w:tcBorders>
              <w:top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Indeks</w:t>
            </w:r>
          </w:p>
        </w:tc>
        <w:tc>
          <w:tcPr>
            <w:tcW w:w="421" w:type="pct"/>
            <w:tcBorders>
              <w:top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Rang</w:t>
            </w:r>
          </w:p>
        </w:tc>
        <w:tc>
          <w:tcPr>
            <w:tcW w:w="1491" w:type="pct"/>
            <w:tcBorders>
              <w:top w:val="single" w:sz="4" w:space="0" w:color="auto"/>
              <w:bottom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Zemlje članice EU28</w:t>
            </w:r>
          </w:p>
        </w:tc>
        <w:tc>
          <w:tcPr>
            <w:tcW w:w="605" w:type="pct"/>
            <w:tcBorders>
              <w:top w:val="single" w:sz="4" w:space="0" w:color="auto"/>
              <w:bottom w:val="single" w:sz="4" w:space="0" w:color="auto"/>
              <w:right w:val="single" w:sz="4" w:space="0" w:color="auto"/>
            </w:tcBorders>
            <w:shd w:val="clear" w:color="auto" w:fill="DBE5F1"/>
          </w:tcPr>
          <w:p w:rsidR="00493218" w:rsidRPr="006005CD" w:rsidRDefault="00493218" w:rsidP="008C086A">
            <w:pPr>
              <w:pStyle w:val="Default"/>
              <w:rPr>
                <w:b/>
                <w:bCs/>
                <w:sz w:val="22"/>
                <w:szCs w:val="22"/>
              </w:rPr>
            </w:pPr>
            <w:r w:rsidRPr="006005CD">
              <w:rPr>
                <w:b/>
                <w:bCs/>
                <w:sz w:val="22"/>
                <w:szCs w:val="22"/>
              </w:rPr>
              <w:t>Indeks</w:t>
            </w:r>
          </w:p>
        </w:tc>
      </w:tr>
      <w:tr w:rsidR="00493218" w:rsidRPr="006005CD" w:rsidTr="006005CD">
        <w:trPr>
          <w:trHeight w:val="260"/>
        </w:trPr>
        <w:tc>
          <w:tcPr>
            <w:tcW w:w="421" w:type="pct"/>
            <w:tcBorders>
              <w:top w:val="single" w:sz="4" w:space="0" w:color="auto"/>
              <w:left w:val="single" w:sz="4" w:space="0" w:color="auto"/>
            </w:tcBorders>
          </w:tcPr>
          <w:p w:rsidR="00493218" w:rsidRPr="006005CD" w:rsidRDefault="00493218" w:rsidP="008C086A">
            <w:pPr>
              <w:pStyle w:val="Default"/>
              <w:rPr>
                <w:b/>
                <w:bCs/>
                <w:color w:val="auto"/>
                <w:sz w:val="22"/>
                <w:szCs w:val="22"/>
              </w:rPr>
            </w:pPr>
            <w:r w:rsidRPr="006005CD">
              <w:rPr>
                <w:b/>
                <w:bCs/>
                <w:color w:val="auto"/>
                <w:sz w:val="22"/>
                <w:szCs w:val="22"/>
              </w:rPr>
              <w:t>3.</w:t>
            </w:r>
          </w:p>
        </w:tc>
        <w:tc>
          <w:tcPr>
            <w:tcW w:w="1376" w:type="pct"/>
            <w:tcBorders>
              <w:top w:val="single" w:sz="4" w:space="0" w:color="auto"/>
            </w:tcBorders>
          </w:tcPr>
          <w:p w:rsidR="00493218" w:rsidRPr="006005CD" w:rsidRDefault="00493218" w:rsidP="008C086A">
            <w:pPr>
              <w:pStyle w:val="Default"/>
              <w:rPr>
                <w:color w:val="auto"/>
                <w:sz w:val="22"/>
                <w:szCs w:val="22"/>
              </w:rPr>
            </w:pPr>
            <w:r w:rsidRPr="006005CD">
              <w:rPr>
                <w:color w:val="auto"/>
                <w:sz w:val="22"/>
                <w:szCs w:val="22"/>
              </w:rPr>
              <w:t>Njemačka</w:t>
            </w:r>
          </w:p>
        </w:tc>
        <w:tc>
          <w:tcPr>
            <w:tcW w:w="686" w:type="pct"/>
            <w:tcBorders>
              <w:top w:val="single" w:sz="4" w:space="0" w:color="auto"/>
            </w:tcBorders>
          </w:tcPr>
          <w:p w:rsidR="00493218" w:rsidRPr="006005CD" w:rsidRDefault="00493218" w:rsidP="008C086A">
            <w:pPr>
              <w:pStyle w:val="Default"/>
              <w:rPr>
                <w:color w:val="auto"/>
                <w:sz w:val="22"/>
                <w:szCs w:val="22"/>
              </w:rPr>
            </w:pPr>
            <w:r w:rsidRPr="006005CD">
              <w:rPr>
                <w:color w:val="auto"/>
                <w:sz w:val="22"/>
                <w:szCs w:val="22"/>
              </w:rPr>
              <w:t>82,8</w:t>
            </w:r>
          </w:p>
        </w:tc>
        <w:tc>
          <w:tcPr>
            <w:tcW w:w="421" w:type="pct"/>
            <w:tcBorders>
              <w:top w:val="single" w:sz="4" w:space="0" w:color="auto"/>
            </w:tcBorders>
          </w:tcPr>
          <w:p w:rsidR="00493218" w:rsidRPr="006005CD" w:rsidRDefault="00493218" w:rsidP="008C086A">
            <w:pPr>
              <w:pStyle w:val="Default"/>
              <w:rPr>
                <w:sz w:val="22"/>
                <w:szCs w:val="22"/>
              </w:rPr>
            </w:pPr>
            <w:r w:rsidRPr="006005CD">
              <w:rPr>
                <w:sz w:val="22"/>
                <w:szCs w:val="22"/>
              </w:rPr>
              <w:t>32.</w:t>
            </w:r>
          </w:p>
        </w:tc>
        <w:tc>
          <w:tcPr>
            <w:tcW w:w="1491" w:type="pct"/>
            <w:tcBorders>
              <w:top w:val="single" w:sz="4" w:space="0" w:color="auto"/>
            </w:tcBorders>
          </w:tcPr>
          <w:p w:rsidR="00493218" w:rsidRPr="006005CD" w:rsidRDefault="00493218" w:rsidP="008C086A">
            <w:pPr>
              <w:pStyle w:val="Default"/>
              <w:rPr>
                <w:sz w:val="22"/>
                <w:szCs w:val="22"/>
              </w:rPr>
            </w:pPr>
            <w:r w:rsidRPr="006005CD">
              <w:rPr>
                <w:sz w:val="22"/>
                <w:szCs w:val="22"/>
              </w:rPr>
              <w:t>Estonija</w:t>
            </w:r>
          </w:p>
        </w:tc>
        <w:tc>
          <w:tcPr>
            <w:tcW w:w="605" w:type="pct"/>
            <w:tcBorders>
              <w:top w:val="single" w:sz="4" w:space="0" w:color="auto"/>
              <w:right w:val="single" w:sz="4" w:space="0" w:color="auto"/>
            </w:tcBorders>
          </w:tcPr>
          <w:p w:rsidR="00493218" w:rsidRPr="006005CD" w:rsidRDefault="00493218" w:rsidP="008C086A">
            <w:pPr>
              <w:pStyle w:val="Default"/>
              <w:rPr>
                <w:sz w:val="22"/>
                <w:szCs w:val="22"/>
              </w:rPr>
            </w:pPr>
            <w:r w:rsidRPr="006005CD">
              <w:rPr>
                <w:sz w:val="22"/>
                <w:szCs w:val="22"/>
              </w:rPr>
              <w:t>70,8</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6.</w:t>
            </w:r>
          </w:p>
        </w:tc>
        <w:tc>
          <w:tcPr>
            <w:tcW w:w="1376" w:type="pct"/>
          </w:tcPr>
          <w:p w:rsidR="00493218" w:rsidRPr="006005CD" w:rsidRDefault="00493218" w:rsidP="008C086A">
            <w:pPr>
              <w:pStyle w:val="Default"/>
              <w:rPr>
                <w:sz w:val="22"/>
                <w:szCs w:val="22"/>
              </w:rPr>
            </w:pPr>
            <w:r w:rsidRPr="006005CD">
              <w:rPr>
                <w:sz w:val="22"/>
                <w:szCs w:val="22"/>
              </w:rPr>
              <w:t>Nizozemska</w:t>
            </w:r>
          </w:p>
        </w:tc>
        <w:tc>
          <w:tcPr>
            <w:tcW w:w="686" w:type="pct"/>
          </w:tcPr>
          <w:p w:rsidR="00493218" w:rsidRPr="006005CD" w:rsidRDefault="00493218" w:rsidP="008C086A">
            <w:pPr>
              <w:pStyle w:val="Default"/>
              <w:rPr>
                <w:sz w:val="22"/>
                <w:szCs w:val="22"/>
              </w:rPr>
            </w:pPr>
            <w:r w:rsidRPr="006005CD">
              <w:rPr>
                <w:sz w:val="22"/>
                <w:szCs w:val="22"/>
              </w:rPr>
              <w:t>82,4</w:t>
            </w:r>
          </w:p>
        </w:tc>
        <w:tc>
          <w:tcPr>
            <w:tcW w:w="421" w:type="pct"/>
          </w:tcPr>
          <w:p w:rsidR="00493218" w:rsidRPr="006005CD" w:rsidRDefault="00493218" w:rsidP="008C086A">
            <w:pPr>
              <w:pStyle w:val="Default"/>
              <w:rPr>
                <w:sz w:val="22"/>
                <w:szCs w:val="22"/>
              </w:rPr>
            </w:pPr>
            <w:r w:rsidRPr="006005CD">
              <w:rPr>
                <w:sz w:val="22"/>
                <w:szCs w:val="22"/>
              </w:rPr>
              <w:t>34.</w:t>
            </w:r>
          </w:p>
        </w:tc>
        <w:tc>
          <w:tcPr>
            <w:tcW w:w="1491" w:type="pct"/>
          </w:tcPr>
          <w:p w:rsidR="00493218" w:rsidRPr="006005CD" w:rsidRDefault="00493218" w:rsidP="008C086A">
            <w:pPr>
              <w:pStyle w:val="Default"/>
              <w:rPr>
                <w:sz w:val="22"/>
                <w:szCs w:val="22"/>
              </w:rPr>
            </w:pPr>
            <w:r w:rsidRPr="006005CD">
              <w:rPr>
                <w:sz w:val="22"/>
                <w:szCs w:val="22"/>
              </w:rPr>
              <w:t>Portugal</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70,2</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8.</w:t>
            </w:r>
          </w:p>
        </w:tc>
        <w:tc>
          <w:tcPr>
            <w:tcW w:w="1376" w:type="pct"/>
          </w:tcPr>
          <w:p w:rsidR="00493218" w:rsidRPr="006005CD" w:rsidRDefault="00493218" w:rsidP="008C086A">
            <w:pPr>
              <w:pStyle w:val="Default"/>
              <w:rPr>
                <w:sz w:val="22"/>
                <w:szCs w:val="22"/>
              </w:rPr>
            </w:pPr>
            <w:r w:rsidRPr="006005CD">
              <w:rPr>
                <w:sz w:val="22"/>
                <w:szCs w:val="22"/>
              </w:rPr>
              <w:t>Ujedinjeno Kraljevstvo</w:t>
            </w:r>
          </w:p>
        </w:tc>
        <w:tc>
          <w:tcPr>
            <w:tcW w:w="686" w:type="pct"/>
          </w:tcPr>
          <w:p w:rsidR="00493218" w:rsidRPr="006005CD" w:rsidRDefault="00493218" w:rsidP="008C086A">
            <w:pPr>
              <w:pStyle w:val="Default"/>
              <w:rPr>
                <w:sz w:val="22"/>
                <w:szCs w:val="22"/>
              </w:rPr>
            </w:pPr>
            <w:r w:rsidRPr="006005CD">
              <w:rPr>
                <w:sz w:val="22"/>
                <w:szCs w:val="22"/>
              </w:rPr>
              <w:t>82,0</w:t>
            </w:r>
          </w:p>
        </w:tc>
        <w:tc>
          <w:tcPr>
            <w:tcW w:w="421" w:type="pct"/>
          </w:tcPr>
          <w:p w:rsidR="00493218" w:rsidRPr="006005CD" w:rsidRDefault="00493218" w:rsidP="008C086A">
            <w:pPr>
              <w:pStyle w:val="Default"/>
              <w:rPr>
                <w:sz w:val="22"/>
                <w:szCs w:val="22"/>
              </w:rPr>
            </w:pPr>
            <w:r w:rsidRPr="006005CD">
              <w:rPr>
                <w:sz w:val="22"/>
                <w:szCs w:val="22"/>
              </w:rPr>
              <w:t>35.</w:t>
            </w:r>
          </w:p>
        </w:tc>
        <w:tc>
          <w:tcPr>
            <w:tcW w:w="1491" w:type="pct"/>
          </w:tcPr>
          <w:p w:rsidR="00493218" w:rsidRPr="006005CD" w:rsidRDefault="00493218" w:rsidP="008C086A">
            <w:pPr>
              <w:pStyle w:val="Default"/>
              <w:rPr>
                <w:sz w:val="22"/>
                <w:szCs w:val="22"/>
              </w:rPr>
            </w:pPr>
            <w:r w:rsidRPr="006005CD">
              <w:rPr>
                <w:sz w:val="22"/>
                <w:szCs w:val="22"/>
              </w:rPr>
              <w:t>Slovenija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69,6</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9.</w:t>
            </w:r>
          </w:p>
        </w:tc>
        <w:tc>
          <w:tcPr>
            <w:tcW w:w="1376" w:type="pct"/>
          </w:tcPr>
          <w:p w:rsidR="00493218" w:rsidRPr="006005CD" w:rsidRDefault="00493218" w:rsidP="008C086A">
            <w:pPr>
              <w:pStyle w:val="Default"/>
              <w:rPr>
                <w:sz w:val="22"/>
                <w:szCs w:val="22"/>
              </w:rPr>
            </w:pPr>
            <w:r w:rsidRPr="006005CD">
              <w:rPr>
                <w:sz w:val="22"/>
                <w:szCs w:val="22"/>
              </w:rPr>
              <w:t>Švedska</w:t>
            </w:r>
          </w:p>
        </w:tc>
        <w:tc>
          <w:tcPr>
            <w:tcW w:w="686" w:type="pct"/>
          </w:tcPr>
          <w:p w:rsidR="00493218" w:rsidRPr="006005CD" w:rsidRDefault="00493218" w:rsidP="008C086A">
            <w:pPr>
              <w:pStyle w:val="Default"/>
              <w:rPr>
                <w:sz w:val="22"/>
                <w:szCs w:val="22"/>
              </w:rPr>
            </w:pPr>
            <w:r w:rsidRPr="006005CD">
              <w:rPr>
                <w:sz w:val="22"/>
                <w:szCs w:val="22"/>
              </w:rPr>
              <w:t>81,7</w:t>
            </w:r>
          </w:p>
        </w:tc>
        <w:tc>
          <w:tcPr>
            <w:tcW w:w="421" w:type="pct"/>
          </w:tcPr>
          <w:p w:rsidR="00493218" w:rsidRPr="006005CD" w:rsidRDefault="00493218" w:rsidP="008C086A">
            <w:pPr>
              <w:pStyle w:val="Default"/>
              <w:rPr>
                <w:sz w:val="22"/>
                <w:szCs w:val="22"/>
              </w:rPr>
            </w:pPr>
            <w:r w:rsidRPr="006005CD">
              <w:rPr>
                <w:sz w:val="22"/>
                <w:szCs w:val="22"/>
              </w:rPr>
              <w:t>36.</w:t>
            </w:r>
          </w:p>
        </w:tc>
        <w:tc>
          <w:tcPr>
            <w:tcW w:w="1491" w:type="pct"/>
          </w:tcPr>
          <w:p w:rsidR="00493218" w:rsidRPr="006005CD" w:rsidRDefault="00493218" w:rsidP="008C086A">
            <w:pPr>
              <w:pStyle w:val="Default"/>
              <w:rPr>
                <w:sz w:val="22"/>
                <w:szCs w:val="22"/>
              </w:rPr>
            </w:pPr>
            <w:r w:rsidRPr="006005CD">
              <w:rPr>
                <w:sz w:val="22"/>
                <w:szCs w:val="22"/>
              </w:rPr>
              <w:t>Malta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68,8</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10.</w:t>
            </w:r>
          </w:p>
        </w:tc>
        <w:tc>
          <w:tcPr>
            <w:tcW w:w="1376" w:type="pct"/>
          </w:tcPr>
          <w:p w:rsidR="00493218" w:rsidRPr="006005CD" w:rsidRDefault="00493218" w:rsidP="008C086A">
            <w:pPr>
              <w:pStyle w:val="Default"/>
              <w:rPr>
                <w:sz w:val="22"/>
                <w:szCs w:val="22"/>
              </w:rPr>
            </w:pPr>
            <w:r w:rsidRPr="006005CD">
              <w:rPr>
                <w:sz w:val="22"/>
                <w:szCs w:val="22"/>
              </w:rPr>
              <w:t>Danska</w:t>
            </w:r>
          </w:p>
        </w:tc>
        <w:tc>
          <w:tcPr>
            <w:tcW w:w="686" w:type="pct"/>
          </w:tcPr>
          <w:p w:rsidR="00493218" w:rsidRPr="006005CD" w:rsidRDefault="00493218" w:rsidP="008C086A">
            <w:pPr>
              <w:pStyle w:val="Default"/>
              <w:rPr>
                <w:sz w:val="22"/>
                <w:szCs w:val="22"/>
              </w:rPr>
            </w:pPr>
            <w:r w:rsidRPr="006005CD">
              <w:rPr>
                <w:sz w:val="22"/>
                <w:szCs w:val="22"/>
              </w:rPr>
              <w:t>80,6</w:t>
            </w:r>
          </w:p>
        </w:tc>
        <w:tc>
          <w:tcPr>
            <w:tcW w:w="421" w:type="pct"/>
          </w:tcPr>
          <w:p w:rsidR="00493218" w:rsidRPr="006005CD" w:rsidRDefault="00493218" w:rsidP="008C086A">
            <w:pPr>
              <w:pStyle w:val="Default"/>
              <w:rPr>
                <w:sz w:val="22"/>
                <w:szCs w:val="22"/>
              </w:rPr>
            </w:pPr>
            <w:r w:rsidRPr="006005CD">
              <w:rPr>
                <w:sz w:val="22"/>
                <w:szCs w:val="22"/>
              </w:rPr>
              <w:t>37.</w:t>
            </w:r>
          </w:p>
        </w:tc>
        <w:tc>
          <w:tcPr>
            <w:tcW w:w="1491" w:type="pct"/>
          </w:tcPr>
          <w:p w:rsidR="00493218" w:rsidRPr="006005CD" w:rsidRDefault="00493218" w:rsidP="008C086A">
            <w:pPr>
              <w:pStyle w:val="Default"/>
              <w:rPr>
                <w:sz w:val="22"/>
                <w:szCs w:val="22"/>
              </w:rPr>
            </w:pPr>
            <w:r w:rsidRPr="006005CD">
              <w:rPr>
                <w:sz w:val="22"/>
                <w:szCs w:val="22"/>
              </w:rPr>
              <w:t>Poljska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68,2</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11.</w:t>
            </w:r>
          </w:p>
        </w:tc>
        <w:tc>
          <w:tcPr>
            <w:tcW w:w="1376" w:type="pct"/>
          </w:tcPr>
          <w:p w:rsidR="00493218" w:rsidRPr="006005CD" w:rsidRDefault="00493218" w:rsidP="008C086A">
            <w:pPr>
              <w:pStyle w:val="Default"/>
              <w:rPr>
                <w:sz w:val="22"/>
                <w:szCs w:val="22"/>
              </w:rPr>
            </w:pPr>
            <w:r w:rsidRPr="006005CD">
              <w:rPr>
                <w:sz w:val="22"/>
                <w:szCs w:val="22"/>
              </w:rPr>
              <w:t>Finska</w:t>
            </w:r>
          </w:p>
        </w:tc>
        <w:tc>
          <w:tcPr>
            <w:tcW w:w="686" w:type="pct"/>
          </w:tcPr>
          <w:p w:rsidR="00493218" w:rsidRPr="006005CD" w:rsidRDefault="00493218" w:rsidP="008C086A">
            <w:pPr>
              <w:pStyle w:val="Default"/>
              <w:rPr>
                <w:sz w:val="22"/>
                <w:szCs w:val="22"/>
              </w:rPr>
            </w:pPr>
            <w:r w:rsidRPr="006005CD">
              <w:rPr>
                <w:sz w:val="22"/>
                <w:szCs w:val="22"/>
              </w:rPr>
              <w:t>80,3</w:t>
            </w:r>
          </w:p>
        </w:tc>
        <w:tc>
          <w:tcPr>
            <w:tcW w:w="421" w:type="pct"/>
          </w:tcPr>
          <w:p w:rsidR="00493218" w:rsidRPr="006005CD" w:rsidRDefault="00493218" w:rsidP="008C086A">
            <w:pPr>
              <w:pStyle w:val="Default"/>
              <w:rPr>
                <w:sz w:val="22"/>
                <w:szCs w:val="22"/>
              </w:rPr>
            </w:pPr>
            <w:r w:rsidRPr="006005CD">
              <w:rPr>
                <w:sz w:val="22"/>
                <w:szCs w:val="22"/>
              </w:rPr>
              <w:t>40.</w:t>
            </w:r>
          </w:p>
        </w:tc>
        <w:tc>
          <w:tcPr>
            <w:tcW w:w="1491" w:type="pct"/>
          </w:tcPr>
          <w:p w:rsidR="00493218" w:rsidRPr="006005CD" w:rsidRDefault="00493218" w:rsidP="008C086A">
            <w:pPr>
              <w:pStyle w:val="Default"/>
              <w:rPr>
                <w:sz w:val="22"/>
                <w:szCs w:val="22"/>
              </w:rPr>
            </w:pPr>
            <w:r w:rsidRPr="006005CD">
              <w:rPr>
                <w:sz w:val="22"/>
                <w:szCs w:val="22"/>
              </w:rPr>
              <w:t>Litva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67,1</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17.</w:t>
            </w:r>
          </w:p>
        </w:tc>
        <w:tc>
          <w:tcPr>
            <w:tcW w:w="1376" w:type="pct"/>
          </w:tcPr>
          <w:p w:rsidR="00493218" w:rsidRPr="006005CD" w:rsidRDefault="00493218" w:rsidP="008C086A">
            <w:pPr>
              <w:pStyle w:val="Default"/>
              <w:rPr>
                <w:sz w:val="22"/>
                <w:szCs w:val="22"/>
              </w:rPr>
            </w:pPr>
            <w:r w:rsidRPr="006005CD">
              <w:rPr>
                <w:sz w:val="22"/>
                <w:szCs w:val="22"/>
              </w:rPr>
              <w:t>Francuska</w:t>
            </w:r>
          </w:p>
        </w:tc>
        <w:tc>
          <w:tcPr>
            <w:tcW w:w="686" w:type="pct"/>
          </w:tcPr>
          <w:p w:rsidR="00493218" w:rsidRPr="006005CD" w:rsidRDefault="00493218" w:rsidP="008C086A">
            <w:pPr>
              <w:pStyle w:val="Default"/>
              <w:rPr>
                <w:sz w:val="22"/>
                <w:szCs w:val="22"/>
              </w:rPr>
            </w:pPr>
            <w:r w:rsidRPr="006005CD">
              <w:rPr>
                <w:sz w:val="22"/>
                <w:szCs w:val="22"/>
              </w:rPr>
              <w:t>78,0</w:t>
            </w:r>
          </w:p>
        </w:tc>
        <w:tc>
          <w:tcPr>
            <w:tcW w:w="421" w:type="pct"/>
          </w:tcPr>
          <w:p w:rsidR="00493218" w:rsidRPr="006005CD" w:rsidRDefault="00493218" w:rsidP="008C086A">
            <w:pPr>
              <w:pStyle w:val="Default"/>
              <w:rPr>
                <w:sz w:val="22"/>
                <w:szCs w:val="22"/>
              </w:rPr>
            </w:pPr>
            <w:r w:rsidRPr="006005CD">
              <w:rPr>
                <w:sz w:val="22"/>
                <w:szCs w:val="22"/>
              </w:rPr>
              <w:t>41.</w:t>
            </w:r>
          </w:p>
        </w:tc>
        <w:tc>
          <w:tcPr>
            <w:tcW w:w="1491" w:type="pct"/>
          </w:tcPr>
          <w:p w:rsidR="00493218" w:rsidRPr="006005CD" w:rsidRDefault="00493218" w:rsidP="008C086A">
            <w:pPr>
              <w:pStyle w:val="Default"/>
              <w:rPr>
                <w:sz w:val="22"/>
                <w:szCs w:val="22"/>
              </w:rPr>
            </w:pPr>
            <w:r w:rsidRPr="006005CD">
              <w:rPr>
                <w:sz w:val="22"/>
                <w:szCs w:val="22"/>
              </w:rPr>
              <w:t>Slovačka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66,8</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19.</w:t>
            </w:r>
          </w:p>
        </w:tc>
        <w:tc>
          <w:tcPr>
            <w:tcW w:w="1376" w:type="pct"/>
          </w:tcPr>
          <w:p w:rsidR="00493218" w:rsidRPr="006005CD" w:rsidRDefault="00493218" w:rsidP="008C086A">
            <w:pPr>
              <w:pStyle w:val="Default"/>
              <w:rPr>
                <w:sz w:val="22"/>
                <w:szCs w:val="22"/>
              </w:rPr>
            </w:pPr>
            <w:r w:rsidRPr="006005CD">
              <w:rPr>
                <w:sz w:val="22"/>
                <w:szCs w:val="22"/>
              </w:rPr>
              <w:t>Luksemburg</w:t>
            </w:r>
          </w:p>
        </w:tc>
        <w:tc>
          <w:tcPr>
            <w:tcW w:w="686" w:type="pct"/>
          </w:tcPr>
          <w:p w:rsidR="00493218" w:rsidRPr="006005CD" w:rsidRDefault="00493218" w:rsidP="008C086A">
            <w:pPr>
              <w:pStyle w:val="Default"/>
              <w:rPr>
                <w:sz w:val="22"/>
                <w:szCs w:val="22"/>
              </w:rPr>
            </w:pPr>
            <w:r w:rsidRPr="006005CD">
              <w:rPr>
                <w:sz w:val="22"/>
                <w:szCs w:val="22"/>
              </w:rPr>
              <w:t>76,6</w:t>
            </w:r>
          </w:p>
        </w:tc>
        <w:tc>
          <w:tcPr>
            <w:tcW w:w="421" w:type="pct"/>
          </w:tcPr>
          <w:p w:rsidR="00493218" w:rsidRPr="006005CD" w:rsidRDefault="00493218" w:rsidP="008C086A">
            <w:pPr>
              <w:pStyle w:val="Default"/>
              <w:rPr>
                <w:sz w:val="22"/>
                <w:szCs w:val="22"/>
              </w:rPr>
            </w:pPr>
            <w:r w:rsidRPr="006005CD">
              <w:rPr>
                <w:sz w:val="22"/>
                <w:szCs w:val="22"/>
              </w:rPr>
              <w:t>42.</w:t>
            </w:r>
          </w:p>
        </w:tc>
        <w:tc>
          <w:tcPr>
            <w:tcW w:w="1491" w:type="pct"/>
          </w:tcPr>
          <w:p w:rsidR="00493218" w:rsidRPr="006005CD" w:rsidRDefault="00493218" w:rsidP="008C086A">
            <w:pPr>
              <w:pStyle w:val="Default"/>
              <w:rPr>
                <w:sz w:val="22"/>
                <w:szCs w:val="22"/>
              </w:rPr>
            </w:pPr>
            <w:r w:rsidRPr="006005CD">
              <w:rPr>
                <w:sz w:val="22"/>
                <w:szCs w:val="22"/>
              </w:rPr>
              <w:t>Latvija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66,2</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21.</w:t>
            </w:r>
          </w:p>
        </w:tc>
        <w:tc>
          <w:tcPr>
            <w:tcW w:w="1376" w:type="pct"/>
          </w:tcPr>
          <w:p w:rsidR="00493218" w:rsidRPr="006005CD" w:rsidRDefault="00493218" w:rsidP="008C086A">
            <w:pPr>
              <w:pStyle w:val="Default"/>
              <w:rPr>
                <w:sz w:val="22"/>
                <w:szCs w:val="22"/>
              </w:rPr>
            </w:pPr>
            <w:r w:rsidRPr="006005CD">
              <w:rPr>
                <w:sz w:val="22"/>
                <w:szCs w:val="22"/>
              </w:rPr>
              <w:t>Belgija</w:t>
            </w:r>
          </w:p>
        </w:tc>
        <w:tc>
          <w:tcPr>
            <w:tcW w:w="686" w:type="pct"/>
          </w:tcPr>
          <w:p w:rsidR="00493218" w:rsidRPr="006005CD" w:rsidRDefault="00493218" w:rsidP="008C086A">
            <w:pPr>
              <w:pStyle w:val="Default"/>
              <w:rPr>
                <w:sz w:val="22"/>
                <w:szCs w:val="22"/>
              </w:rPr>
            </w:pPr>
            <w:r w:rsidRPr="006005CD">
              <w:rPr>
                <w:sz w:val="22"/>
                <w:szCs w:val="22"/>
              </w:rPr>
              <w:t>76,6</w:t>
            </w:r>
          </w:p>
        </w:tc>
        <w:tc>
          <w:tcPr>
            <w:tcW w:w="421" w:type="pct"/>
          </w:tcPr>
          <w:p w:rsidR="00493218" w:rsidRPr="006005CD" w:rsidRDefault="00493218" w:rsidP="008C086A">
            <w:pPr>
              <w:pStyle w:val="Default"/>
              <w:rPr>
                <w:sz w:val="22"/>
                <w:szCs w:val="22"/>
              </w:rPr>
            </w:pPr>
            <w:r w:rsidRPr="006005CD">
              <w:rPr>
                <w:sz w:val="22"/>
                <w:szCs w:val="22"/>
              </w:rPr>
              <w:t>44.</w:t>
            </w:r>
          </w:p>
        </w:tc>
        <w:tc>
          <w:tcPr>
            <w:tcW w:w="1491" w:type="pct"/>
          </w:tcPr>
          <w:p w:rsidR="00493218" w:rsidRPr="006005CD" w:rsidRDefault="00493218" w:rsidP="008C086A">
            <w:pPr>
              <w:pStyle w:val="Default"/>
              <w:rPr>
                <w:sz w:val="22"/>
                <w:szCs w:val="22"/>
              </w:rPr>
            </w:pPr>
            <w:r w:rsidRPr="006005CD">
              <w:rPr>
                <w:sz w:val="22"/>
                <w:szCs w:val="22"/>
              </w:rPr>
              <w:t>Cipar</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65,6</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22.</w:t>
            </w:r>
          </w:p>
        </w:tc>
        <w:tc>
          <w:tcPr>
            <w:tcW w:w="1376" w:type="pct"/>
          </w:tcPr>
          <w:p w:rsidR="00493218" w:rsidRPr="006005CD" w:rsidRDefault="00493218" w:rsidP="008C086A">
            <w:pPr>
              <w:pStyle w:val="Default"/>
              <w:rPr>
                <w:sz w:val="22"/>
                <w:szCs w:val="22"/>
              </w:rPr>
            </w:pPr>
            <w:r w:rsidRPr="006005CD">
              <w:rPr>
                <w:sz w:val="22"/>
                <w:szCs w:val="22"/>
              </w:rPr>
              <w:t>Austrija</w:t>
            </w:r>
          </w:p>
        </w:tc>
        <w:tc>
          <w:tcPr>
            <w:tcW w:w="686" w:type="pct"/>
          </w:tcPr>
          <w:p w:rsidR="00493218" w:rsidRPr="006005CD" w:rsidRDefault="00493218" w:rsidP="008C086A">
            <w:pPr>
              <w:pStyle w:val="Default"/>
              <w:rPr>
                <w:sz w:val="22"/>
                <w:szCs w:val="22"/>
              </w:rPr>
            </w:pPr>
            <w:r w:rsidRPr="006005CD">
              <w:rPr>
                <w:sz w:val="22"/>
                <w:szCs w:val="22"/>
              </w:rPr>
              <w:t>76,3</w:t>
            </w:r>
          </w:p>
        </w:tc>
        <w:tc>
          <w:tcPr>
            <w:tcW w:w="421" w:type="pct"/>
          </w:tcPr>
          <w:p w:rsidR="00493218" w:rsidRPr="006005CD" w:rsidRDefault="00493218" w:rsidP="008C086A">
            <w:pPr>
              <w:pStyle w:val="Default"/>
              <w:rPr>
                <w:sz w:val="22"/>
                <w:szCs w:val="22"/>
              </w:rPr>
            </w:pPr>
            <w:r w:rsidRPr="006005CD">
              <w:rPr>
                <w:sz w:val="22"/>
                <w:szCs w:val="22"/>
              </w:rPr>
              <w:t>48.</w:t>
            </w:r>
          </w:p>
        </w:tc>
        <w:tc>
          <w:tcPr>
            <w:tcW w:w="1491" w:type="pct"/>
          </w:tcPr>
          <w:p w:rsidR="00493218" w:rsidRPr="006005CD" w:rsidRDefault="00493218" w:rsidP="008C086A">
            <w:pPr>
              <w:pStyle w:val="Default"/>
              <w:rPr>
                <w:sz w:val="22"/>
                <w:szCs w:val="22"/>
              </w:rPr>
            </w:pPr>
            <w:r w:rsidRPr="006005CD">
              <w:rPr>
                <w:sz w:val="22"/>
                <w:szCs w:val="22"/>
              </w:rPr>
              <w:t>Mađarska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64,3</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23.</w:t>
            </w:r>
          </w:p>
        </w:tc>
        <w:tc>
          <w:tcPr>
            <w:tcW w:w="1376" w:type="pct"/>
          </w:tcPr>
          <w:p w:rsidR="00493218" w:rsidRPr="006005CD" w:rsidRDefault="00493218" w:rsidP="008C086A">
            <w:pPr>
              <w:pStyle w:val="Default"/>
              <w:rPr>
                <w:sz w:val="22"/>
                <w:szCs w:val="22"/>
              </w:rPr>
            </w:pPr>
            <w:r w:rsidRPr="006005CD">
              <w:rPr>
                <w:sz w:val="22"/>
                <w:szCs w:val="22"/>
              </w:rPr>
              <w:t>Irska</w:t>
            </w:r>
          </w:p>
        </w:tc>
        <w:tc>
          <w:tcPr>
            <w:tcW w:w="686" w:type="pct"/>
          </w:tcPr>
          <w:p w:rsidR="00493218" w:rsidRPr="006005CD" w:rsidRDefault="00493218" w:rsidP="008C086A">
            <w:pPr>
              <w:pStyle w:val="Default"/>
              <w:rPr>
                <w:sz w:val="22"/>
                <w:szCs w:val="22"/>
              </w:rPr>
            </w:pPr>
            <w:r w:rsidRPr="006005CD">
              <w:rPr>
                <w:sz w:val="22"/>
                <w:szCs w:val="22"/>
              </w:rPr>
              <w:t>75,7</w:t>
            </w:r>
          </w:p>
        </w:tc>
        <w:tc>
          <w:tcPr>
            <w:tcW w:w="421" w:type="pct"/>
          </w:tcPr>
          <w:p w:rsidR="00493218" w:rsidRPr="006005CD" w:rsidRDefault="00493218" w:rsidP="008C086A">
            <w:pPr>
              <w:pStyle w:val="Default"/>
              <w:rPr>
                <w:sz w:val="22"/>
                <w:szCs w:val="22"/>
              </w:rPr>
            </w:pPr>
            <w:r w:rsidRPr="006005CD">
              <w:rPr>
                <w:sz w:val="22"/>
                <w:szCs w:val="22"/>
              </w:rPr>
              <w:t>51.</w:t>
            </w:r>
          </w:p>
        </w:tc>
        <w:tc>
          <w:tcPr>
            <w:tcW w:w="1491" w:type="pct"/>
          </w:tcPr>
          <w:p w:rsidR="00493218" w:rsidRPr="006005CD" w:rsidRDefault="00493218" w:rsidP="008C086A">
            <w:pPr>
              <w:pStyle w:val="Default"/>
              <w:rPr>
                <w:sz w:val="22"/>
                <w:szCs w:val="22"/>
              </w:rPr>
            </w:pPr>
            <w:r w:rsidRPr="006005CD">
              <w:rPr>
                <w:sz w:val="22"/>
                <w:szCs w:val="22"/>
              </w:rPr>
              <w:t>Bugarska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63,6</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26.</w:t>
            </w:r>
          </w:p>
        </w:tc>
        <w:tc>
          <w:tcPr>
            <w:tcW w:w="1376" w:type="pct"/>
          </w:tcPr>
          <w:p w:rsidR="00493218" w:rsidRPr="006005CD" w:rsidRDefault="00493218" w:rsidP="008C086A">
            <w:pPr>
              <w:pStyle w:val="Default"/>
              <w:rPr>
                <w:sz w:val="22"/>
                <w:szCs w:val="22"/>
              </w:rPr>
            </w:pPr>
            <w:r w:rsidRPr="006005CD">
              <w:rPr>
                <w:sz w:val="22"/>
                <w:szCs w:val="22"/>
              </w:rPr>
              <w:t>Španjolska</w:t>
            </w:r>
          </w:p>
        </w:tc>
        <w:tc>
          <w:tcPr>
            <w:tcW w:w="686" w:type="pct"/>
          </w:tcPr>
          <w:p w:rsidR="00493218" w:rsidRPr="006005CD" w:rsidRDefault="00493218" w:rsidP="008C086A">
            <w:pPr>
              <w:pStyle w:val="Default"/>
              <w:rPr>
                <w:sz w:val="22"/>
                <w:szCs w:val="22"/>
              </w:rPr>
            </w:pPr>
            <w:r w:rsidRPr="006005CD">
              <w:rPr>
                <w:sz w:val="22"/>
                <w:szCs w:val="22"/>
              </w:rPr>
              <w:t>74,2</w:t>
            </w:r>
          </w:p>
        </w:tc>
        <w:tc>
          <w:tcPr>
            <w:tcW w:w="421" w:type="pct"/>
          </w:tcPr>
          <w:p w:rsidR="00493218" w:rsidRPr="006005CD" w:rsidRDefault="00493218" w:rsidP="008C086A">
            <w:pPr>
              <w:pStyle w:val="Default"/>
              <w:rPr>
                <w:sz w:val="22"/>
                <w:szCs w:val="22"/>
              </w:rPr>
            </w:pPr>
            <w:r w:rsidRPr="006005CD">
              <w:rPr>
                <w:sz w:val="22"/>
                <w:szCs w:val="22"/>
              </w:rPr>
              <w:t>52.</w:t>
            </w:r>
          </w:p>
        </w:tc>
        <w:tc>
          <w:tcPr>
            <w:tcW w:w="1491" w:type="pct"/>
          </w:tcPr>
          <w:p w:rsidR="00493218" w:rsidRPr="006005CD" w:rsidRDefault="00493218" w:rsidP="008C086A">
            <w:pPr>
              <w:pStyle w:val="Default"/>
              <w:rPr>
                <w:sz w:val="22"/>
                <w:szCs w:val="22"/>
              </w:rPr>
            </w:pPr>
            <w:r w:rsidRPr="006005CD">
              <w:rPr>
                <w:sz w:val="22"/>
                <w:szCs w:val="22"/>
              </w:rPr>
              <w:t>Rumunjska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63,5</w:t>
            </w:r>
          </w:p>
        </w:tc>
      </w:tr>
      <w:tr w:rsidR="00493218" w:rsidRPr="006005CD" w:rsidTr="006005CD">
        <w:trPr>
          <w:trHeight w:val="260"/>
        </w:trPr>
        <w:tc>
          <w:tcPr>
            <w:tcW w:w="421" w:type="pct"/>
            <w:tcBorders>
              <w:left w:val="single" w:sz="4" w:space="0" w:color="auto"/>
            </w:tcBorders>
          </w:tcPr>
          <w:p w:rsidR="00493218" w:rsidRPr="006005CD" w:rsidRDefault="00493218" w:rsidP="008C086A">
            <w:pPr>
              <w:pStyle w:val="Default"/>
              <w:rPr>
                <w:b/>
                <w:bCs/>
                <w:sz w:val="22"/>
                <w:szCs w:val="22"/>
              </w:rPr>
            </w:pPr>
            <w:r w:rsidRPr="006005CD">
              <w:rPr>
                <w:b/>
                <w:bCs/>
                <w:sz w:val="22"/>
                <w:szCs w:val="22"/>
              </w:rPr>
              <w:t>29.</w:t>
            </w:r>
          </w:p>
        </w:tc>
        <w:tc>
          <w:tcPr>
            <w:tcW w:w="1376" w:type="pct"/>
          </w:tcPr>
          <w:p w:rsidR="00493218" w:rsidRPr="006005CD" w:rsidRDefault="00493218" w:rsidP="008C086A">
            <w:pPr>
              <w:pStyle w:val="Default"/>
              <w:rPr>
                <w:sz w:val="22"/>
                <w:szCs w:val="22"/>
              </w:rPr>
            </w:pPr>
            <w:r w:rsidRPr="006005CD">
              <w:rPr>
                <w:sz w:val="22"/>
                <w:szCs w:val="22"/>
              </w:rPr>
              <w:t>Češka</w:t>
            </w:r>
          </w:p>
        </w:tc>
        <w:tc>
          <w:tcPr>
            <w:tcW w:w="686" w:type="pct"/>
          </w:tcPr>
          <w:p w:rsidR="00493218" w:rsidRPr="006005CD" w:rsidRDefault="00493218" w:rsidP="008C086A">
            <w:pPr>
              <w:pStyle w:val="Default"/>
              <w:rPr>
                <w:sz w:val="22"/>
                <w:szCs w:val="22"/>
              </w:rPr>
            </w:pPr>
            <w:r w:rsidRPr="006005CD">
              <w:rPr>
                <w:sz w:val="22"/>
                <w:szCs w:val="22"/>
              </w:rPr>
              <w:t>71,2</w:t>
            </w:r>
          </w:p>
        </w:tc>
        <w:tc>
          <w:tcPr>
            <w:tcW w:w="421" w:type="pct"/>
          </w:tcPr>
          <w:p w:rsidR="00493218" w:rsidRPr="006005CD" w:rsidRDefault="00493218" w:rsidP="008C086A">
            <w:pPr>
              <w:pStyle w:val="Default"/>
              <w:rPr>
                <w:sz w:val="22"/>
                <w:szCs w:val="22"/>
              </w:rPr>
            </w:pPr>
            <w:r w:rsidRPr="006005CD">
              <w:rPr>
                <w:sz w:val="22"/>
                <w:szCs w:val="22"/>
              </w:rPr>
              <w:t>57.</w:t>
            </w:r>
          </w:p>
        </w:tc>
        <w:tc>
          <w:tcPr>
            <w:tcW w:w="1491" w:type="pct"/>
          </w:tcPr>
          <w:p w:rsidR="00493218" w:rsidRPr="006005CD" w:rsidRDefault="00493218" w:rsidP="008C086A">
            <w:pPr>
              <w:pStyle w:val="Default"/>
              <w:rPr>
                <w:sz w:val="22"/>
                <w:szCs w:val="22"/>
              </w:rPr>
            </w:pPr>
            <w:r w:rsidRPr="006005CD">
              <w:rPr>
                <w:sz w:val="22"/>
                <w:szCs w:val="22"/>
              </w:rPr>
              <w:t>Grčka</w:t>
            </w:r>
          </w:p>
        </w:tc>
        <w:tc>
          <w:tcPr>
            <w:tcW w:w="605" w:type="pct"/>
            <w:tcBorders>
              <w:right w:val="single" w:sz="4" w:space="0" w:color="auto"/>
            </w:tcBorders>
          </w:tcPr>
          <w:p w:rsidR="00493218" w:rsidRPr="006005CD" w:rsidRDefault="00493218" w:rsidP="008C086A">
            <w:pPr>
              <w:pStyle w:val="Default"/>
              <w:rPr>
                <w:sz w:val="22"/>
                <w:szCs w:val="22"/>
              </w:rPr>
            </w:pPr>
            <w:r w:rsidRPr="006005CD">
              <w:rPr>
                <w:sz w:val="22"/>
                <w:szCs w:val="22"/>
              </w:rPr>
              <w:t>62,1</w:t>
            </w:r>
          </w:p>
        </w:tc>
      </w:tr>
      <w:tr w:rsidR="00493218" w:rsidRPr="006005CD" w:rsidTr="006005CD">
        <w:trPr>
          <w:trHeight w:val="260"/>
        </w:trPr>
        <w:tc>
          <w:tcPr>
            <w:tcW w:w="421" w:type="pct"/>
            <w:tcBorders>
              <w:left w:val="single" w:sz="4" w:space="0" w:color="auto"/>
              <w:bottom w:val="single" w:sz="4" w:space="0" w:color="auto"/>
            </w:tcBorders>
          </w:tcPr>
          <w:p w:rsidR="00493218" w:rsidRPr="006005CD" w:rsidRDefault="00493218" w:rsidP="008C086A">
            <w:pPr>
              <w:pStyle w:val="Default"/>
              <w:rPr>
                <w:b/>
                <w:bCs/>
                <w:sz w:val="22"/>
                <w:szCs w:val="22"/>
              </w:rPr>
            </w:pPr>
            <w:r w:rsidRPr="006005CD">
              <w:rPr>
                <w:b/>
                <w:bCs/>
                <w:sz w:val="22"/>
                <w:szCs w:val="22"/>
              </w:rPr>
              <w:t>31.</w:t>
            </w:r>
          </w:p>
        </w:tc>
        <w:tc>
          <w:tcPr>
            <w:tcW w:w="1376" w:type="pct"/>
            <w:tcBorders>
              <w:bottom w:val="single" w:sz="4" w:space="0" w:color="auto"/>
            </w:tcBorders>
          </w:tcPr>
          <w:p w:rsidR="00493218" w:rsidRPr="006005CD" w:rsidRDefault="00493218" w:rsidP="008C086A">
            <w:pPr>
              <w:pStyle w:val="Default"/>
              <w:rPr>
                <w:sz w:val="22"/>
                <w:szCs w:val="22"/>
              </w:rPr>
            </w:pPr>
            <w:r w:rsidRPr="006005CD">
              <w:rPr>
                <w:sz w:val="22"/>
                <w:szCs w:val="22"/>
              </w:rPr>
              <w:t>Italija</w:t>
            </w:r>
          </w:p>
        </w:tc>
        <w:tc>
          <w:tcPr>
            <w:tcW w:w="686" w:type="pct"/>
            <w:tcBorders>
              <w:bottom w:val="single" w:sz="4" w:space="0" w:color="auto"/>
            </w:tcBorders>
          </w:tcPr>
          <w:p w:rsidR="00493218" w:rsidRPr="006005CD" w:rsidRDefault="00493218" w:rsidP="008C086A">
            <w:pPr>
              <w:pStyle w:val="Default"/>
              <w:rPr>
                <w:sz w:val="22"/>
                <w:szCs w:val="22"/>
              </w:rPr>
            </w:pPr>
            <w:r w:rsidRPr="006005CD">
              <w:rPr>
                <w:sz w:val="22"/>
                <w:szCs w:val="22"/>
              </w:rPr>
              <w:t>70,8</w:t>
            </w:r>
          </w:p>
        </w:tc>
        <w:tc>
          <w:tcPr>
            <w:tcW w:w="421" w:type="pct"/>
            <w:tcBorders>
              <w:bottom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68.</w:t>
            </w:r>
          </w:p>
        </w:tc>
        <w:tc>
          <w:tcPr>
            <w:tcW w:w="1491" w:type="pct"/>
            <w:tcBorders>
              <w:bottom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Hrvatska</w:t>
            </w:r>
          </w:p>
        </w:tc>
        <w:tc>
          <w:tcPr>
            <w:tcW w:w="605" w:type="pct"/>
            <w:tcBorders>
              <w:bottom w:val="single" w:sz="4" w:space="0" w:color="auto"/>
              <w:right w:val="single" w:sz="4" w:space="0" w:color="auto"/>
            </w:tcBorders>
          </w:tcPr>
          <w:p w:rsidR="00493218" w:rsidRPr="006005CD" w:rsidRDefault="00493218" w:rsidP="008C086A">
            <w:pPr>
              <w:pStyle w:val="Default"/>
              <w:rPr>
                <w:b/>
                <w:color w:val="auto"/>
                <w:sz w:val="22"/>
                <w:szCs w:val="22"/>
              </w:rPr>
            </w:pPr>
            <w:r w:rsidRPr="006005CD">
              <w:rPr>
                <w:b/>
                <w:color w:val="auto"/>
                <w:sz w:val="22"/>
                <w:szCs w:val="22"/>
              </w:rPr>
              <w:t>60,1</w:t>
            </w:r>
          </w:p>
        </w:tc>
      </w:tr>
    </w:tbl>
    <w:p w:rsidR="00493218" w:rsidRPr="00904544" w:rsidRDefault="00493218" w:rsidP="008C086A">
      <w:pPr>
        <w:pStyle w:val="Default"/>
        <w:rPr>
          <w:i/>
          <w:sz w:val="20"/>
        </w:rPr>
      </w:pPr>
      <w:r w:rsidRPr="00904544">
        <w:rPr>
          <w:i/>
          <w:sz w:val="20"/>
        </w:rPr>
        <w:t>Izvor: World Economic Forum (2018.)</w:t>
      </w:r>
    </w:p>
    <w:p w:rsidR="00493218" w:rsidRPr="009A3D74" w:rsidRDefault="00493218" w:rsidP="003502B0">
      <w:pPr>
        <w:ind w:firstLine="709"/>
        <w:rPr>
          <w:lang w:val="hr-HR"/>
        </w:rPr>
      </w:pPr>
      <w:r w:rsidRPr="009A3D74">
        <w:rPr>
          <w:lang w:val="hr-HR"/>
        </w:rPr>
        <w:t xml:space="preserve">Nadalje, iako je Njemačka ukupnim rezultatom najkonkurentnija zemlja Europske unije, prema Izvješću globalne konkurentnosti (2018.), Finska je članica Europske unije koja je najkonkurentnija zemlja na svijetu u najvećem broju pojedinačnih pokazatelja indeksa globalne konkurentnosti, poput organiziranog kriminala, pouzdanosti policijskih usluga, pravosudne neovisnosti i drugih pokazatelja indeksa u okviru stupa institucija, zatim u stupu vještina te pokazatelju bankovne stabilnosti u okviru stupa financijskog sustava i drugih. Nadalje, Danska je najkonkurentnija zemlja na svijetu u okviru pokazatelja spremnosti delegiranja ovlasti u stupu poslovna dinamika, dok je Švedska najkonkurentnija zemlja prema pokazatelju digitalnih vještina populacije u okviru stupa vještine. S druge strane, Italija se nalazi na 31. mjestu globalne konkurentnosti te na 17. mjestu u Europi, odnosno 14. mjestu u Europskoj uniji od ukupno 28 zemalja. Iako joj BDP bilježi rast od 2008. godine, Italija i dalje ostaje razvijena zemlja koja najsporije napreduje. U usporedbi s Njemačkom i drugim visoko razvijenim članicama EU, Italija ima vrlo nisku razinu makroekonomske stabilnosti (58. mjesto). </w:t>
      </w:r>
      <w:r w:rsidRPr="009A3D74">
        <w:rPr>
          <w:lang w:val="hr-HR"/>
        </w:rPr>
        <w:tab/>
      </w:r>
      <w:r w:rsidRPr="009A3D74">
        <w:rPr>
          <w:lang w:val="hr-HR"/>
        </w:rPr>
        <w:tab/>
      </w:r>
      <w:r w:rsidRPr="009A3D74">
        <w:rPr>
          <w:lang w:val="hr-HR"/>
        </w:rPr>
        <w:tab/>
      </w:r>
      <w:r w:rsidRPr="009A3D74">
        <w:rPr>
          <w:lang w:val="hr-HR"/>
        </w:rPr>
        <w:tab/>
      </w:r>
      <w:r w:rsidRPr="009A3D74">
        <w:rPr>
          <w:lang w:val="hr-HR"/>
        </w:rPr>
        <w:tab/>
        <w:t xml:space="preserve">Hrvatska se nalazi na 68. mjestu na svjetskoj razini konkurentnosti, što ju čini zemljom s najnižom razinom konkurentnosti od svih članica Europske unije. Hrvatska vrlo nisko kotira na svjetskoj ljestvici konkurentnosti te napreduje sporo poput Italije, što je svakako alarmantno stanje koje zahtijeva pažnju i disciplinarnije napore za ispunjavanje nacionalnih strateških ciljeva. Od ukupno 12 stupova, Hrvatska najbolju izvedbu ima u području infrastrukture (36. mjesto) te zdravlja (51. mjesto). Sljedeće snažno područje Hrvatske je primjena IKT-a (53. mjesto) te financijski sustav (62. mjesto). U svim područjima koja za Hrvatsku predstavljaju njezina najjača područja, gotovo sve članice EU prednjače u odnosu na Hrvatsku. Tako primjerice u stupu zdravlja, koji je za Hrvatsku njezino najjače područje s najvišim rezultatom (36. mjesto), Italija zauzima čak 6. mjesto. Nadalje, dok je razlika u napretku između Hrvatske i Njemačke u svim segmentima drastična, Italija i Hrvatska u pojedinim segmentima imaju jednak stupanj razvoja. Tako, primjerice, Hrvatska i Italija najmanju razliku u napretku imaju u području primjene IKT-a, u kojem Hrvatska stoji na 53, mjestu, dok Italija u ovom segmentu vodi za samo jedno mjesto, zauzimajući 52. mjesto. Najveće slabosti Hrvatske su makroekonomska stabilnost (106. mjesto), tržište rada (96. mjesto) i poslovna dinamika (81. mjesto). Po pitanju makroekonomske stabilnosti, Italija je gotovo duplo bolja od Hrvatske, zauzimajući čak 58. mjesto u tom segmentu. Nadalje, dok je u području učinkovitosti postupka carinske obrade u stupu institucija u usporedbi s Hrvatskom i Italijom najbolje rangirana Njemačka, Hrvatska je u ovom segmentu tek na 40. mjestu. </w:t>
      </w:r>
    </w:p>
    <w:p w:rsidR="00493218" w:rsidRPr="009A3D74" w:rsidRDefault="00493218" w:rsidP="003502B0">
      <w:pPr>
        <w:pStyle w:val="Heading1"/>
        <w:spacing w:before="0" w:after="0"/>
        <w:ind w:firstLine="0"/>
        <w:rPr>
          <w:rFonts w:ascii="Times New Roman" w:hAnsi="Times New Roman"/>
          <w:b w:val="0"/>
          <w:lang w:val="hr-HR"/>
        </w:rPr>
      </w:pPr>
    </w:p>
    <w:p w:rsidR="00493218" w:rsidRPr="009A3D74" w:rsidRDefault="00493218" w:rsidP="004F0DD0">
      <w:pPr>
        <w:pStyle w:val="Heading1"/>
        <w:numPr>
          <w:ilvl w:val="0"/>
          <w:numId w:val="26"/>
        </w:numPr>
        <w:spacing w:before="0" w:after="0"/>
        <w:rPr>
          <w:rFonts w:ascii="Times New Roman" w:hAnsi="Times New Roman"/>
          <w:b w:val="0"/>
          <w:lang w:val="de-DE"/>
        </w:rPr>
      </w:pPr>
      <w:r w:rsidRPr="009A3D74">
        <w:rPr>
          <w:rFonts w:ascii="Times New Roman" w:hAnsi="Times New Roman"/>
          <w:lang w:val="de-DE"/>
        </w:rPr>
        <w:t xml:space="preserve">Izazovi i perspektive rasta konkurentnosti zemalja Europske unije </w:t>
      </w:r>
    </w:p>
    <w:p w:rsidR="00493218" w:rsidRPr="00521841" w:rsidRDefault="00493218" w:rsidP="003502B0">
      <w:pPr>
        <w:ind w:firstLine="709"/>
        <w:rPr>
          <w:lang w:val="pl-PL"/>
        </w:rPr>
      </w:pPr>
      <w:r w:rsidRPr="009A3D74">
        <w:rPr>
          <w:lang w:val="de-DE"/>
        </w:rPr>
        <w:t xml:space="preserve">Kako bi se uspješno integrirale na nova tržišta, zemlje su ustanovile da je nužna reevaluacija vlastitih komparativnih prednosti i nedostataka, kao i dosadašnjih strategija pozicioniranja. Pametna specijalizacija je jedna od perspektiva, ako ne i sam ključ, za rast konkurentnosti. Unatoč mnogim različitim izazovima, većina zemalja svijeta ostvarila je značajan napredak u poboljšanju svog institucionalnog i makroekonomskog okvira te se sada novi naglasci stavljaju na ostale čimbenike produktivnosti, na čelu s tehnologijom i inovacijama (Bilas i Franc, 2018.). Sposobnost zemlje ili poduzeća za stvaranje novih proizvoda i usluga važna je ne samo za konkurentnost, već i za opstanak na tržištu, a poticanjem vlastitog poslovanja razvija se i cjelokupno gospodarstvo zemlje (Bilas i Franc, 2018.). Jedan od dosad najznačajnijih i najučinkovitijih alata za poboljšanje konkurentnosti i kamen temeljac reformi regionalne politike Europske unije upravo je pametna specijalizacija. Pametna specijalizacija pomaže u promjeni kulture regionalne politike iz potrošnje resursa i troškovne odgovornosti u oblik političke odgovornosti usidrene u razvoju politika potaknutih ciljevima, misijama i strategijama (McCann i Ortega-Argiles, 2014.). Kako bi osigurala da se financijski poticaji koriste ciljano, Europska unija inzistira na uvođenju i provedbi pristupa pametne specijalizacije kroz dizajniranje i implementiranje regionalnih i nacionalnih strategija pametne specijalizacije (Panori et al, 2017.). </w:t>
      </w:r>
      <w:r w:rsidRPr="009A3D74">
        <w:rPr>
          <w:lang w:val="de-DE"/>
        </w:rPr>
        <w:tab/>
      </w:r>
      <w:r w:rsidRPr="009A3D74">
        <w:rPr>
          <w:lang w:val="de-DE"/>
        </w:rPr>
        <w:tab/>
      </w:r>
      <w:r w:rsidRPr="009A3D74">
        <w:rPr>
          <w:lang w:val="de-DE"/>
        </w:rPr>
        <w:tab/>
      </w:r>
      <w:r w:rsidRPr="009A3D74">
        <w:rPr>
          <w:lang w:val="de-DE"/>
        </w:rPr>
        <w:tab/>
      </w:r>
      <w:r w:rsidRPr="009A3D74">
        <w:rPr>
          <w:lang w:val="de-DE"/>
        </w:rPr>
        <w:tab/>
      </w:r>
      <w:r w:rsidRPr="009A3D74">
        <w:rPr>
          <w:lang w:val="de-DE"/>
        </w:rPr>
        <w:tab/>
      </w:r>
      <w:r w:rsidRPr="009A3D74">
        <w:rPr>
          <w:lang w:val="de-DE"/>
        </w:rPr>
        <w:tab/>
      </w:r>
      <w:r w:rsidRPr="009A3D74">
        <w:rPr>
          <w:lang w:val="de-DE"/>
        </w:rPr>
        <w:tab/>
      </w:r>
      <w:r w:rsidRPr="009A3D74">
        <w:rPr>
          <w:lang w:val="de-DE"/>
        </w:rPr>
        <w:tab/>
        <w:t xml:space="preserve">Pametna specijalizacija je lokalno i regionalno orijentiran pristup usmjeren na identificiranje konkretnih, strateških područja koja je potrebno ciljano poticati kako bi se podigla razina ekonomskog razvoja te povećala razina konkurentnosti. Ovaj strateški pristup temeljen je na analizi snaga i potencijala gospodarstva, poput SWOT analize (eng. </w:t>
      </w:r>
      <w:r w:rsidRPr="009A3D74">
        <w:rPr>
          <w:i/>
          <w:lang w:val="de-DE"/>
        </w:rPr>
        <w:t>strengths</w:t>
      </w:r>
      <w:r w:rsidRPr="009A3D74">
        <w:rPr>
          <w:lang w:val="de-DE"/>
        </w:rPr>
        <w:t xml:space="preserve">, </w:t>
      </w:r>
      <w:r w:rsidRPr="009A3D74">
        <w:rPr>
          <w:i/>
          <w:lang w:val="de-DE"/>
        </w:rPr>
        <w:t>weaknesses</w:t>
      </w:r>
      <w:r w:rsidRPr="009A3D74">
        <w:rPr>
          <w:lang w:val="de-DE"/>
        </w:rPr>
        <w:t xml:space="preserve">, </w:t>
      </w:r>
      <w:r w:rsidRPr="009A3D74">
        <w:rPr>
          <w:i/>
          <w:lang w:val="de-DE"/>
        </w:rPr>
        <w:t>opportunities</w:t>
      </w:r>
      <w:r w:rsidRPr="009A3D74">
        <w:rPr>
          <w:lang w:val="de-DE"/>
        </w:rPr>
        <w:t xml:space="preserve">, </w:t>
      </w:r>
      <w:r w:rsidRPr="009A3D74">
        <w:rPr>
          <w:i/>
          <w:lang w:val="de-DE"/>
        </w:rPr>
        <w:t>threats</w:t>
      </w:r>
      <w:r w:rsidRPr="009A3D74">
        <w:rPr>
          <w:lang w:val="de-DE"/>
        </w:rPr>
        <w:t xml:space="preserve"> – SWOT) na nacionalnoj razini, koji uključuje proces poduzetničkog otkrivanja (eng. </w:t>
      </w:r>
      <w:r w:rsidRPr="00521841">
        <w:rPr>
          <w:i/>
          <w:lang w:val="de-DE"/>
        </w:rPr>
        <w:t>Entrepreneurial Discovery Process</w:t>
      </w:r>
      <w:r w:rsidRPr="00521841">
        <w:rPr>
          <w:lang w:val="de-DE"/>
        </w:rPr>
        <w:t xml:space="preserve"> - EDP) i širok dijapazon interesnih dionika (Badii et al., 2018.). Pametna specijalizacija je inicijalno začeta kao akademska ideja, no ubrzo je postala politički okvir koji kombinira industrijske inovacije s obrazovnim politikama (uključujući njihovo dizajniranje, implementaciju i evaluaciju) kako bi se poticalo stvaranje novih prilika za ekonomski rast baziranih na inovacijama i transferu znanja (Badii et al., 2018.). Drugim riječima.srž pametne specijalizacije je zapravo identificiranje jedinstvenih karakteristika i prednosti svake zemlje ili regije, s naglaskom na komparativne prednosti te okupljanje regionalnih sudionika i drugih ključnih stručnjaka oko zajedničke vizije o izvrsnoj budućnosti. Pametna specijalizacija u praktičnom smislu također pomaže pri identificiranju nacionalnih i regionalnih prioriteta te aktivnosti koje treba poduzeti u smjeru ostvarivanja ciljeva u svrhu poboljšanja konkurentnosti.</w:t>
      </w:r>
      <w:r w:rsidRPr="00521841">
        <w:rPr>
          <w:lang w:val="de-DE"/>
        </w:rPr>
        <w:tab/>
      </w:r>
      <w:r w:rsidRPr="00521841">
        <w:rPr>
          <w:lang w:val="de-DE"/>
        </w:rPr>
        <w:tab/>
      </w:r>
      <w:r w:rsidRPr="00521841">
        <w:rPr>
          <w:lang w:val="de-DE"/>
        </w:rPr>
        <w:tab/>
      </w:r>
      <w:r w:rsidRPr="00521841">
        <w:rPr>
          <w:lang w:val="de-DE"/>
        </w:rPr>
        <w:tab/>
      </w:r>
      <w:r w:rsidRPr="00521841">
        <w:rPr>
          <w:lang w:val="de-DE"/>
        </w:rPr>
        <w:tab/>
      </w:r>
      <w:r w:rsidRPr="00521841">
        <w:rPr>
          <w:lang w:val="de-DE"/>
        </w:rPr>
        <w:tab/>
      </w:r>
      <w:r w:rsidRPr="00521841">
        <w:rPr>
          <w:lang w:val="de-DE"/>
        </w:rPr>
        <w:tab/>
      </w:r>
      <w:r w:rsidRPr="00521841">
        <w:rPr>
          <w:lang w:val="de-DE"/>
        </w:rPr>
        <w:tab/>
        <w:t xml:space="preserve">Takav visoko fokusirani pristup Europske unije na provedbu pametne specijalizacije potaknuo je interes i drugih zemalja izvan granica europske zajednice na implementiranje sličnih strategija istog pristupa te su primjer Europske unije u implementiranju strategija pametne specijalizacije slijedile i druge zemlje (Kotnik i Petrin, 2017.). Dosad je razvijeno 120 strategija pametne specijalizacije, s alociranim budžetom od više od 67 milijardi EUR za poticanje S3 strategija u okviru Europskih strukturnih i investicijskih fondova i drugih nacionalnih poticaja. Europska komisija predviđa da će ovim ciljanim aktivnostima do 2020. godine dostići razvoj i komercijalizaciju 15.000 novih proizvoda na tržište, stvoriti 140.000 novih poduzeća (eng. </w:t>
      </w:r>
      <w:r w:rsidRPr="00521841">
        <w:rPr>
          <w:i/>
          <w:lang w:val="de-DE"/>
        </w:rPr>
        <w:t>start-up</w:t>
      </w:r>
      <w:r w:rsidRPr="00521841">
        <w:rPr>
          <w:lang w:val="de-DE"/>
        </w:rPr>
        <w:t>) te 350.000 novih radnih mjesta (Smart Specialization Platform, 2018.).</w:t>
      </w:r>
      <w:r w:rsidRPr="00521841">
        <w:rPr>
          <w:lang w:val="de-DE"/>
        </w:rPr>
        <w:tab/>
        <w:t>Primjerice, Njemačka je kao ključna područja prioritizirala digitalnu ekonomiju i društvo, inteligentnu mobilnost, zdrav život, inovativno radno okruženje, održivu ekonomiju i okoliš te civilnu sigurnost (Europska komisija, 2018.), što je zasigurno odigralo ključnu ulogu u pozicioniranju Njemačke kao najkonkurentnije zemlje članice EU na svjetskoj ljestvici konkurentnosti.</w:t>
      </w:r>
      <w:r w:rsidRPr="00521841">
        <w:rPr>
          <w:lang w:val="de-DE"/>
        </w:rPr>
        <w:tab/>
      </w:r>
      <w:r w:rsidRPr="00521841">
        <w:rPr>
          <w:lang w:val="de-DE"/>
        </w:rPr>
        <w:tab/>
      </w:r>
      <w:r w:rsidRPr="00521841">
        <w:rPr>
          <w:lang w:val="de-DE"/>
        </w:rPr>
        <w:tab/>
      </w:r>
      <w:r w:rsidRPr="00521841">
        <w:rPr>
          <w:lang w:val="de-DE"/>
        </w:rPr>
        <w:tab/>
      </w:r>
      <w:r w:rsidRPr="00521841">
        <w:rPr>
          <w:lang w:val="de-DE"/>
        </w:rPr>
        <w:tab/>
      </w:r>
      <w:r w:rsidRPr="00521841">
        <w:rPr>
          <w:lang w:val="de-DE"/>
        </w:rPr>
        <w:tab/>
      </w:r>
      <w:r w:rsidRPr="00521841">
        <w:rPr>
          <w:lang w:val="de-DE"/>
        </w:rPr>
        <w:tab/>
      </w:r>
      <w:r w:rsidRPr="00521841">
        <w:rPr>
          <w:lang w:val="pl-PL"/>
        </w:rPr>
        <w:t xml:space="preserve">Drugi primjer učinka pametne specijalizacije je u slučaju Kine koja je pokazala rapidan napredak i uspinjanjena ljestvici konkurentnosti. Naime, od 2006. godine Kina i Europa su razmjenjujući mišljenja o aktualnim problemima kroz mehanizme dijaloga u okviru regionalne politike postigle konsenzus sa svrhom unapređenja njihovog pojedinačnog, ali i međusobnog regionalnog razvoja (Haberleithner et al., 2018.). </w:t>
      </w:r>
      <w:r w:rsidRPr="009A3D74">
        <w:rPr>
          <w:lang w:val="de-DE"/>
        </w:rPr>
        <w:t xml:space="preserve">S tim je ciljem 2017. godine u okviru bilateralnog ugovora RFA (eng. </w:t>
      </w:r>
      <w:r w:rsidRPr="00521841">
        <w:rPr>
          <w:i/>
          <w:lang w:val="de-DE"/>
        </w:rPr>
        <w:t>Research Framework Arrangement</w:t>
      </w:r>
      <w:r w:rsidRPr="00521841">
        <w:rPr>
          <w:lang w:val="de-DE"/>
        </w:rPr>
        <w:t xml:space="preserve">) između Zajedničkog istraživačkog centra (eng. </w:t>
      </w:r>
      <w:r w:rsidRPr="00521841">
        <w:rPr>
          <w:i/>
          <w:lang w:val="de-DE"/>
        </w:rPr>
        <w:t>Joint Research Centre</w:t>
      </w:r>
      <w:r w:rsidRPr="00521841">
        <w:rPr>
          <w:lang w:val="de-DE"/>
        </w:rPr>
        <w:t xml:space="preserve"> – JRC) i Kineske akademije znanosti (eng. </w:t>
      </w:r>
      <w:r w:rsidRPr="00521841">
        <w:rPr>
          <w:i/>
          <w:lang w:val="de-DE"/>
        </w:rPr>
        <w:t>Chinese Academy of Sciences</w:t>
      </w:r>
      <w:r w:rsidRPr="00521841">
        <w:rPr>
          <w:lang w:val="de-DE"/>
        </w:rPr>
        <w:t>) pametna specijalizacija predstavljena kao ključna tema u okviru bilateralne suradnje Kine i Europe. Postignuti bilateralni sporazumi i zajednički budući i prijašnji napori Kine i Europe uloženi u provedbu pametne specijalizacije te pripadajućih politika i strategija, jasan je pokazatelj značaja i dokazane učinkovitosti pametne specijalizacije u perspektivi rasta konkurentnosti zemalja. Uspješno ostvarene aktivnosti i rezultati pametne specijalizacije Kine svakako su primjer dobre prakse za ostatak svijeta.</w:t>
      </w:r>
      <w:r w:rsidRPr="00521841">
        <w:rPr>
          <w:lang w:val="de-DE"/>
        </w:rPr>
        <w:tab/>
      </w:r>
      <w:r w:rsidRPr="00521841">
        <w:rPr>
          <w:lang w:val="de-DE"/>
        </w:rPr>
        <w:tab/>
      </w:r>
      <w:r w:rsidRPr="00521841">
        <w:rPr>
          <w:lang w:val="de-DE"/>
        </w:rPr>
        <w:tab/>
      </w:r>
      <w:r w:rsidRPr="00521841">
        <w:rPr>
          <w:lang w:val="pl-PL"/>
        </w:rPr>
        <w:t>Za razliku od Njemačke koja je usvojila regionalne strategije pametne specijalizacije (Polverari, 2016.), pristup pametne specijalizacije je u Hrvatskoj usvojen na nacionalnoj razini te za cilj ima poboljšati inovacijsku izvedbu, a posljedično i uspinjanje na ljestvici konkurentnosti na regionalnoj i globalnoj razini. Hrvatska je usvojila Strategiju pametne specijalizacije Republike Hrvatske za razdoblje od 2016. do 2020. godine, a ključna prioritetna područja u okviru strategije pametne specijalizacije su zdravlje i kvaliteta života, energija i održivi okoliš, promet i mobilnost, sigurnost te hrana i bioekonomija.</w:t>
      </w:r>
    </w:p>
    <w:p w:rsidR="00493218" w:rsidRPr="00521841" w:rsidRDefault="00493218" w:rsidP="004F0DD0">
      <w:pPr>
        <w:pStyle w:val="Heading1"/>
        <w:spacing w:before="0"/>
        <w:rPr>
          <w:rFonts w:ascii="Times New Roman" w:hAnsi="Times New Roman"/>
          <w:lang w:val="pl-PL"/>
        </w:rPr>
      </w:pPr>
    </w:p>
    <w:p w:rsidR="00493218" w:rsidRPr="00521841" w:rsidRDefault="00493218" w:rsidP="004F0DD0">
      <w:pPr>
        <w:pStyle w:val="Heading1"/>
        <w:spacing w:before="0"/>
        <w:rPr>
          <w:rFonts w:ascii="Times New Roman" w:hAnsi="Times New Roman"/>
          <w:b w:val="0"/>
          <w:lang w:val="pl-PL"/>
        </w:rPr>
      </w:pPr>
      <w:r w:rsidRPr="00521841">
        <w:rPr>
          <w:rFonts w:ascii="Times New Roman" w:hAnsi="Times New Roman"/>
          <w:lang w:val="pl-PL"/>
        </w:rPr>
        <w:t>ZAKLJUČAK</w:t>
      </w:r>
    </w:p>
    <w:p w:rsidR="00493218" w:rsidRPr="009A3D74" w:rsidRDefault="00493218" w:rsidP="003502B0">
      <w:pPr>
        <w:ind w:firstLine="709"/>
        <w:rPr>
          <w:lang w:val="de-DE"/>
        </w:rPr>
      </w:pPr>
      <w:r w:rsidRPr="00521841">
        <w:rPr>
          <w:lang w:val="pl-PL"/>
        </w:rPr>
        <w:t xml:space="preserve">Izvješće o globalnoj konkurentnosti za 2018. godinu predstavlja prekretnicu u četrdesetogodišnjoj povijesti izdavanja izvješća, jer je u 2018. godini uveden novi Indeks globalne konkurentnosti 4.0. Zahvaljujući novom konceptu, indeks otkriva najnovije identificirane izvore produktivnosti i dugoročnog ekonomskog rasta u vrijeme trenutne industrijske revolucije, Industrije 4.0. Indeks integrira prijašnje aspekte s novo identificiranim katalizatorima produktivnosti i ekonomskog rasta, stavljajući naglasak na ulogu ljudskih resursa, inovacija, otpornosti i agilnosti, kao čimbenika koji u Industriji 4.0 definiraju obilježja konkurentnosti. Unatoč tome što zbog promjene u načinu mjerenja novi podaci nisu u usporedivi s prijašnjim podacima o globalnoj konkurentnosti, novi indeks predstavlja početak novog razdoblja i promjenu u načinu razumijevanja čimbenika koji utječu na konkurentnost. </w:t>
      </w:r>
      <w:r w:rsidRPr="00521841">
        <w:rPr>
          <w:lang w:val="pl-PL"/>
        </w:rPr>
        <w:tab/>
      </w:r>
      <w:r w:rsidRPr="00521841">
        <w:rPr>
          <w:lang w:val="pl-PL"/>
        </w:rPr>
        <w:tab/>
      </w:r>
      <w:r w:rsidRPr="00521841">
        <w:rPr>
          <w:lang w:val="pl-PL"/>
        </w:rPr>
        <w:tab/>
      </w:r>
      <w:r w:rsidRPr="00521841">
        <w:rPr>
          <w:lang w:val="pl-PL"/>
        </w:rPr>
        <w:tab/>
      </w:r>
      <w:r w:rsidRPr="00521841">
        <w:rPr>
          <w:lang w:val="pl-PL"/>
        </w:rPr>
        <w:tab/>
      </w:r>
      <w:r w:rsidRPr="00521841">
        <w:rPr>
          <w:lang w:val="pl-PL"/>
        </w:rPr>
        <w:tab/>
      </w:r>
      <w:r w:rsidRPr="00521841">
        <w:rPr>
          <w:lang w:val="pl-PL"/>
        </w:rPr>
        <w:tab/>
      </w:r>
      <w:r w:rsidRPr="00521841">
        <w:rPr>
          <w:lang w:val="pl-PL"/>
        </w:rPr>
        <w:tab/>
      </w:r>
      <w:r w:rsidRPr="00521841">
        <w:rPr>
          <w:lang w:val="pl-PL"/>
        </w:rPr>
        <w:tab/>
        <w:t xml:space="preserve">Prema navedenom Izvješću za 2018. godinu, najbolju ekonomsku izvedbu, odnosno najvišu razinu konkurentnosti na svijetu imaju Sjedinjene Američke Države, zatim Singapur na drugom mjestu, potom Njemačka, Švicarska, Japan, Nizozemska, Hong Kong, Ujedinjeno Kraljevstvo, Švedska te Danska na desetom mjestu. Na razini Europske unije, istraživanje je pokazalo da je Njemačka najkonkurentnija zemlja članica EU na svijetu. </w:t>
      </w:r>
      <w:r w:rsidRPr="009A3D74">
        <w:rPr>
          <w:lang w:val="de-DE"/>
        </w:rPr>
        <w:t xml:space="preserve">S druge strane, Hrvatska je najmanje konkurentna članica EU na ljestvici svjetske konkurentnosti. </w:t>
      </w:r>
      <w:r w:rsidRPr="009A3D74">
        <w:rPr>
          <w:lang w:val="de-DE"/>
        </w:rPr>
        <w:tab/>
      </w:r>
      <w:r w:rsidRPr="009A3D74">
        <w:rPr>
          <w:lang w:val="de-DE"/>
        </w:rPr>
        <w:tab/>
      </w:r>
      <w:r w:rsidRPr="009A3D74">
        <w:rPr>
          <w:lang w:val="de-DE"/>
        </w:rPr>
        <w:tab/>
      </w:r>
      <w:r w:rsidRPr="009A3D74">
        <w:rPr>
          <w:lang w:val="de-DE"/>
        </w:rPr>
        <w:tab/>
      </w:r>
      <w:r w:rsidRPr="009A3D74">
        <w:rPr>
          <w:lang w:val="de-DE"/>
        </w:rPr>
        <w:tab/>
      </w:r>
      <w:r w:rsidRPr="009A3D74">
        <w:rPr>
          <w:lang w:val="de-DE"/>
        </w:rPr>
        <w:tab/>
      </w:r>
      <w:r w:rsidRPr="009A3D74">
        <w:rPr>
          <w:lang w:val="de-DE"/>
        </w:rPr>
        <w:tab/>
      </w:r>
      <w:r w:rsidRPr="009A3D74">
        <w:rPr>
          <w:lang w:val="de-DE"/>
        </w:rPr>
        <w:tab/>
      </w:r>
      <w:r w:rsidRPr="009A3D74">
        <w:rPr>
          <w:lang w:val="de-DE"/>
        </w:rPr>
        <w:tab/>
        <w:t>Kako bi se uspješno integrirale na nova tržišta, ali se istovremeno istaknule i nastavile ekonomski razvoj, zemlje su ustanovile da je nužna reevaluacija vlastitih komparativnih prednosti i nedostataka, kao i dosadašnjih strategija pozicioniranja. Kako bi se poboljšale konkurentnost i inovacijska izvedba, važno je sagledati u kojim segmentima zemlja napreduje, a u kojima zaostaje, kako bi se uspješno primijenio pristup pametne specijalizacije. U konačnici, pametna specijalizacija je jedna od perspektiva, ako ne i sam ključ, za jačanje inovacijskog potencijala koji ultimativno vodi do poboljšanja ekonomske izvedbe i posljedično konkurentnosti. Jedan od dosad najznačajnijih i najučinkovitijih alata za poboljšanje konkurentnosti te kamen temeljac reformi regionalne politike Europske unije, upravo je pametna specijalizacija. Pametna specijalizacija je svakako jedan od razloga za impresivne rezultate u pozicioniranju Njemačke na vrh svjetske ljestvice konkurentnosti, jednako kao što je značajno doprinijela poboljšanju rezultata Hrvatske i njenom sporom, ali kontinuiranom napretku usvajanjem Strategije pametne specijalizacije Republike Hrvatske za razdoblje od 2016. do 2020. godine. Zbog prepoznate visoke učinkovitosti pristupa pametne specijalizacije u poboljšanju konkurentnosti, primjer Europske unije u implementiranju strategija pametne specijalizacije slijedile su i druge zemlje (Kotnik i Petrin, 2017.). Sukladno tome, očekuje se da će sve više zemalja preuzeti pristup pametne specijalizacije, kao i da će se primjenom ovog pristupa značajno poboljšati rezultati konkurentnosti u budućnosti. Pristup pametne specijalizacije omogućit će identificiranje komparativnih prednosti i nedostataka zemalja, kao i ciljano i strateško jačanje istih u svrhu postizanja što više razine konkurentnosti.</w:t>
      </w:r>
    </w:p>
    <w:p w:rsidR="00493218" w:rsidRPr="009A3D74" w:rsidRDefault="00493218" w:rsidP="004F0DD0">
      <w:pPr>
        <w:ind w:firstLine="709"/>
        <w:rPr>
          <w:lang w:val="de-DE"/>
        </w:rPr>
      </w:pPr>
    </w:p>
    <w:p w:rsidR="00493218" w:rsidRPr="0058157A" w:rsidRDefault="00493218" w:rsidP="004F0DD0">
      <w:pPr>
        <w:pStyle w:val="Heading1"/>
        <w:spacing w:before="0"/>
        <w:rPr>
          <w:rFonts w:ascii="Times New Roman" w:hAnsi="Times New Roman"/>
          <w:b w:val="0"/>
        </w:rPr>
      </w:pPr>
      <w:r>
        <w:rPr>
          <w:rFonts w:ascii="Times New Roman" w:hAnsi="Times New Roman"/>
        </w:rPr>
        <w:t>LITERATURA</w:t>
      </w:r>
    </w:p>
    <w:p w:rsidR="00493218" w:rsidRPr="0058157A" w:rsidRDefault="00493218" w:rsidP="004F0DD0"/>
    <w:p w:rsidR="00493218" w:rsidRPr="008C086A" w:rsidRDefault="00493218" w:rsidP="008C086A">
      <w:pPr>
        <w:pStyle w:val="ListParagraph"/>
        <w:numPr>
          <w:ilvl w:val="0"/>
          <w:numId w:val="28"/>
        </w:numPr>
        <w:spacing w:before="0"/>
      </w:pPr>
      <w:r w:rsidRPr="008C086A">
        <w:t xml:space="preserve">Badii, L., Tiemann, M., Faulkner, R. &amp; Hartley, N. (2018.), </w:t>
      </w:r>
      <w:r w:rsidRPr="008C086A">
        <w:rPr>
          <w:i/>
        </w:rPr>
        <w:t>Smart Specialization – A Collective Awareness Platform and Toolset for RIS3 Strategy Implementation. Economic and Social Development</w:t>
      </w:r>
      <w:r w:rsidRPr="008C086A">
        <w:t>; 27th International Scientific Conference on Economic and Social Development - Zbornik radova konferencija Rim, str. 700-709</w:t>
      </w:r>
    </w:p>
    <w:p w:rsidR="00493218" w:rsidRPr="00521841" w:rsidRDefault="00493218" w:rsidP="004F0DD0">
      <w:pPr>
        <w:pStyle w:val="ListParagraph"/>
        <w:numPr>
          <w:ilvl w:val="0"/>
          <w:numId w:val="28"/>
        </w:numPr>
        <w:spacing w:before="0"/>
        <w:jc w:val="both"/>
        <w:rPr>
          <w:lang w:val="pl-PL"/>
        </w:rPr>
      </w:pPr>
      <w:r w:rsidRPr="00521841">
        <w:rPr>
          <w:lang w:val="pl-PL"/>
        </w:rPr>
        <w:t>Bilas, V. i Franc, S. (2018.),</w:t>
      </w:r>
      <w:r w:rsidRPr="00521841">
        <w:rPr>
          <w:i/>
          <w:lang w:val="pl-PL"/>
        </w:rPr>
        <w:t>Inovacije i razvoj</w:t>
      </w:r>
      <w:r w:rsidRPr="00521841">
        <w:rPr>
          <w:lang w:val="pl-PL"/>
        </w:rPr>
        <w:t>, Notitia d.o.o., Zagreb.</w:t>
      </w:r>
    </w:p>
    <w:p w:rsidR="00493218" w:rsidRPr="00521841" w:rsidRDefault="00493218" w:rsidP="004F0DD0">
      <w:pPr>
        <w:pStyle w:val="ListParagraph"/>
        <w:numPr>
          <w:ilvl w:val="0"/>
          <w:numId w:val="28"/>
        </w:numPr>
        <w:spacing w:before="0"/>
        <w:jc w:val="both"/>
        <w:rPr>
          <w:lang w:val="pl-PL"/>
        </w:rPr>
      </w:pPr>
      <w:r w:rsidRPr="00521841">
        <w:rPr>
          <w:lang w:val="pl-PL"/>
        </w:rPr>
        <w:t xml:space="preserve">Bilas, V., Franc, S. i Ostojić, R. (2017.), </w:t>
      </w:r>
      <w:r w:rsidRPr="00521841">
        <w:rPr>
          <w:i/>
          <w:lang w:val="pl-PL"/>
        </w:rPr>
        <w:t>Višedimenzionalnost održivog razvoja</w:t>
      </w:r>
      <w:r w:rsidRPr="00521841">
        <w:rPr>
          <w:lang w:val="pl-PL"/>
        </w:rPr>
        <w:t>, Notitia d.o.o., Zagreb</w:t>
      </w:r>
    </w:p>
    <w:p w:rsidR="00493218" w:rsidRPr="00521841" w:rsidRDefault="00493218" w:rsidP="004F0DD0">
      <w:pPr>
        <w:pStyle w:val="ListParagraph"/>
        <w:numPr>
          <w:ilvl w:val="0"/>
          <w:numId w:val="28"/>
        </w:numPr>
        <w:spacing w:before="0"/>
        <w:jc w:val="both"/>
        <w:rPr>
          <w:lang w:val="pl-PL"/>
        </w:rPr>
      </w:pPr>
      <w:r w:rsidRPr="00521841">
        <w:rPr>
          <w:lang w:val="pl-PL"/>
        </w:rPr>
        <w:t xml:space="preserve">Bilas, V., Franc, S. i Radoš, T. (2016.), </w:t>
      </w:r>
      <w:r w:rsidRPr="00521841">
        <w:rPr>
          <w:i/>
          <w:lang w:val="pl-PL"/>
        </w:rPr>
        <w:t>Europska unija: ujedinjena u raznolikosti?</w:t>
      </w:r>
      <w:r w:rsidRPr="00521841">
        <w:rPr>
          <w:lang w:val="pl-PL"/>
        </w:rPr>
        <w:t>, Notitia d.o.o., Zagreb</w:t>
      </w:r>
    </w:p>
    <w:p w:rsidR="00493218" w:rsidRPr="009A3D74" w:rsidRDefault="00493218" w:rsidP="00904544">
      <w:pPr>
        <w:pStyle w:val="ListParagraph"/>
        <w:numPr>
          <w:ilvl w:val="0"/>
          <w:numId w:val="28"/>
        </w:numPr>
        <w:spacing w:before="0"/>
        <w:rPr>
          <w:lang w:val="de-DE"/>
        </w:rPr>
      </w:pPr>
      <w:r w:rsidRPr="009A3D74">
        <w:rPr>
          <w:lang w:val="de-DE"/>
        </w:rPr>
        <w:t xml:space="preserve">Europska komisija, (2018.) Dostupno na: </w:t>
      </w:r>
      <w:hyperlink r:id="rId7" w:history="1">
        <w:r w:rsidRPr="009A3D74">
          <w:rPr>
            <w:rStyle w:val="Hyperlink"/>
            <w:lang w:val="de-DE"/>
          </w:rPr>
          <w:t>https://ec.europa.eu/regional_policy/hr/policy/what/history/</w:t>
        </w:r>
      </w:hyperlink>
      <w:r w:rsidRPr="009A3D74">
        <w:rPr>
          <w:lang w:val="de-DE"/>
        </w:rPr>
        <w:t xml:space="preserve"> (05.12.2018.)</w:t>
      </w:r>
    </w:p>
    <w:p w:rsidR="00493218" w:rsidRPr="000365F5" w:rsidRDefault="00493218" w:rsidP="004F0DD0">
      <w:pPr>
        <w:pStyle w:val="ListParagraph"/>
        <w:numPr>
          <w:ilvl w:val="0"/>
          <w:numId w:val="28"/>
        </w:numPr>
        <w:spacing w:before="0"/>
        <w:jc w:val="both"/>
      </w:pPr>
      <w:r w:rsidRPr="000365F5">
        <w:t xml:space="preserve">Europska komisija, </w:t>
      </w:r>
      <w:r>
        <w:t>(</w:t>
      </w:r>
      <w:r w:rsidRPr="000365F5">
        <w:t>2017.</w:t>
      </w:r>
      <w:r>
        <w:t>),</w:t>
      </w:r>
      <w:r w:rsidRPr="004D7D67">
        <w:rPr>
          <w:i/>
          <w:lang w:val="en-GB"/>
        </w:rPr>
        <w:t>Regional Innovation Scoreboard</w:t>
      </w:r>
    </w:p>
    <w:p w:rsidR="00493218" w:rsidRPr="000365F5" w:rsidRDefault="00493218" w:rsidP="00904544">
      <w:pPr>
        <w:pStyle w:val="ListParagraph"/>
        <w:numPr>
          <w:ilvl w:val="0"/>
          <w:numId w:val="28"/>
        </w:numPr>
        <w:spacing w:before="0"/>
      </w:pPr>
      <w:r w:rsidRPr="000365F5">
        <w:t xml:space="preserve">Europska komisija, </w:t>
      </w:r>
      <w:r>
        <w:t>(</w:t>
      </w:r>
      <w:r w:rsidRPr="000365F5">
        <w:t>2018.</w:t>
      </w:r>
      <w:r>
        <w:t>),</w:t>
      </w:r>
      <w:r w:rsidRPr="004D7D67">
        <w:rPr>
          <w:i/>
          <w:lang w:val="en-GB"/>
        </w:rPr>
        <w:t>Smart Specialization – Strengthening Innovation in Europe's Regions</w:t>
      </w:r>
      <w:r w:rsidRPr="000365F5">
        <w:rPr>
          <w:lang w:val="en-GB"/>
        </w:rPr>
        <w:t>.</w:t>
      </w:r>
      <w:r w:rsidRPr="000365F5">
        <w:t xml:space="preserve"> Dostupno na: </w:t>
      </w:r>
      <w:hyperlink r:id="rId8" w:history="1">
        <w:r w:rsidRPr="000365F5">
          <w:rPr>
            <w:rStyle w:val="Hyperlink"/>
          </w:rPr>
          <w:t>https://ec.europa.eu/regional_policy/sources/docgener/guides/smart_spec/strength_innov_regions_en.pdf</w:t>
        </w:r>
      </w:hyperlink>
      <w:r w:rsidRPr="000365F5">
        <w:t xml:space="preserve"> (05.12.2018.)</w:t>
      </w:r>
    </w:p>
    <w:p w:rsidR="00493218" w:rsidRPr="000365F5" w:rsidRDefault="00493218" w:rsidP="00904544">
      <w:pPr>
        <w:pStyle w:val="ListParagraph"/>
        <w:numPr>
          <w:ilvl w:val="0"/>
          <w:numId w:val="28"/>
        </w:numPr>
        <w:spacing w:before="0"/>
      </w:pPr>
      <w:r w:rsidRPr="000365F5">
        <w:t xml:space="preserve">Europska komisija, </w:t>
      </w:r>
      <w:r>
        <w:t>(</w:t>
      </w:r>
      <w:r w:rsidRPr="000365F5">
        <w:t>2017.</w:t>
      </w:r>
      <w:r>
        <w:t>),</w:t>
      </w:r>
      <w:r w:rsidRPr="004D7D67">
        <w:rPr>
          <w:i/>
          <w:lang w:val="en-GB"/>
        </w:rPr>
        <w:t>Smart Specialisation – Strengthening Innovation in Croatia</w:t>
      </w:r>
      <w:r w:rsidRPr="000365F5">
        <w:t xml:space="preserve">. Dostupno na: </w:t>
      </w:r>
      <w:hyperlink r:id="rId9" w:history="1">
        <w:r w:rsidRPr="000365F5">
          <w:rPr>
            <w:rStyle w:val="Hyperlink"/>
          </w:rPr>
          <w:t>https://ec.europa.eu/regional_policy/sources/docgener/guides/smart_spec/strength_innov_hr_en.pdf</w:t>
        </w:r>
      </w:hyperlink>
      <w:r w:rsidRPr="000365F5">
        <w:t xml:space="preserve"> (09.12.2018.)</w:t>
      </w:r>
    </w:p>
    <w:p w:rsidR="00493218" w:rsidRPr="00521841" w:rsidRDefault="00493218" w:rsidP="00904544">
      <w:pPr>
        <w:pStyle w:val="ListParagraph"/>
        <w:numPr>
          <w:ilvl w:val="0"/>
          <w:numId w:val="28"/>
        </w:numPr>
        <w:spacing w:before="0"/>
        <w:rPr>
          <w:lang w:val="pl-PL"/>
        </w:rPr>
      </w:pPr>
      <w:r w:rsidRPr="00521841">
        <w:rPr>
          <w:lang w:val="sv-SE"/>
        </w:rPr>
        <w:t>Europska komisija, (2017.),</w:t>
      </w:r>
      <w:r w:rsidRPr="00521841">
        <w:rPr>
          <w:i/>
          <w:lang w:val="sv-SE"/>
        </w:rPr>
        <w:t>Smart Specialisation – Strengthening Innovation in Germany</w:t>
      </w:r>
      <w:r w:rsidRPr="00521841">
        <w:rPr>
          <w:lang w:val="sv-SE"/>
        </w:rPr>
        <w:t xml:space="preserve">. </w:t>
      </w:r>
      <w:r w:rsidRPr="00521841">
        <w:rPr>
          <w:lang w:val="pl-PL"/>
        </w:rPr>
        <w:t xml:space="preserve">Dostupno na: </w:t>
      </w:r>
      <w:hyperlink r:id="rId10" w:history="1">
        <w:r w:rsidRPr="00521841">
          <w:rPr>
            <w:rStyle w:val="Hyperlink"/>
            <w:lang w:val="pl-PL"/>
          </w:rPr>
          <w:t>https://ec.europa.eu/regional_policy/sources/docgener/guides/smart_spec/strength_innov_de_en.pdf</w:t>
        </w:r>
      </w:hyperlink>
      <w:r w:rsidRPr="00521841">
        <w:rPr>
          <w:lang w:val="pl-PL"/>
        </w:rPr>
        <w:t xml:space="preserve"> (09.12.2018.)</w:t>
      </w:r>
    </w:p>
    <w:p w:rsidR="00493218" w:rsidRPr="00521841" w:rsidRDefault="00493218" w:rsidP="00904544">
      <w:pPr>
        <w:pStyle w:val="ListParagraph"/>
        <w:numPr>
          <w:ilvl w:val="0"/>
          <w:numId w:val="28"/>
        </w:numPr>
        <w:spacing w:before="0"/>
        <w:rPr>
          <w:lang w:val="pl-PL"/>
        </w:rPr>
      </w:pPr>
      <w:r w:rsidRPr="00521841">
        <w:rPr>
          <w:lang w:val="sv-SE"/>
        </w:rPr>
        <w:t>Europska komisija, (2017.),</w:t>
      </w:r>
      <w:r w:rsidRPr="00521841">
        <w:rPr>
          <w:i/>
          <w:lang w:val="sv-SE"/>
        </w:rPr>
        <w:t>Smart Specialisation – Strengthening Innovation in Italy</w:t>
      </w:r>
      <w:r w:rsidRPr="00521841">
        <w:rPr>
          <w:lang w:val="sv-SE"/>
        </w:rPr>
        <w:t xml:space="preserve">. </w:t>
      </w:r>
      <w:r w:rsidRPr="00521841">
        <w:rPr>
          <w:lang w:val="pl-PL"/>
        </w:rPr>
        <w:t xml:space="preserve">Dostupno na: </w:t>
      </w:r>
      <w:hyperlink r:id="rId11" w:history="1">
        <w:r w:rsidRPr="00521841">
          <w:rPr>
            <w:rStyle w:val="Hyperlink"/>
            <w:lang w:val="pl-PL"/>
          </w:rPr>
          <w:t>https://ec.europa.eu/regional_policy/sources/docgener/guides/smart_spec/strength_innov_it_en.pdf</w:t>
        </w:r>
      </w:hyperlink>
      <w:r w:rsidRPr="00521841">
        <w:rPr>
          <w:lang w:val="pl-PL"/>
        </w:rPr>
        <w:t xml:space="preserve">  (09.12.2018.)</w:t>
      </w:r>
    </w:p>
    <w:p w:rsidR="00493218" w:rsidRPr="00521841" w:rsidRDefault="00493218" w:rsidP="00904544">
      <w:pPr>
        <w:pStyle w:val="ListParagraph"/>
        <w:numPr>
          <w:ilvl w:val="0"/>
          <w:numId w:val="28"/>
        </w:numPr>
        <w:spacing w:before="0"/>
        <w:rPr>
          <w:lang w:val="pl-PL"/>
        </w:rPr>
      </w:pPr>
      <w:r w:rsidRPr="009A3D74">
        <w:rPr>
          <w:lang w:val="de-DE"/>
        </w:rPr>
        <w:t xml:space="preserve">Haberleithner, J., Demblans, A., Gomez, J. i Palazuelos, M. (2018.) </w:t>
      </w:r>
      <w:r w:rsidRPr="004D7D67">
        <w:rPr>
          <w:i/>
          <w:lang w:val="en-GB"/>
        </w:rPr>
        <w:t>Smart Specialisation Worldwide - People's Republic of China. Smart Specialisation Platform</w:t>
      </w:r>
      <w:r w:rsidRPr="000365F5">
        <w:t xml:space="preserve">. </w:t>
      </w:r>
      <w:r w:rsidRPr="00521841">
        <w:rPr>
          <w:lang w:val="pl-PL"/>
        </w:rPr>
        <w:t xml:space="preserve">Dostupno na: </w:t>
      </w:r>
      <w:hyperlink r:id="rId12" w:history="1">
        <w:r w:rsidRPr="00521841">
          <w:rPr>
            <w:rStyle w:val="Hyperlink"/>
            <w:lang w:val="pl-PL"/>
          </w:rPr>
          <w:t>http://s3platform.jrc.ec.europa.eu/documents/20182/201464/Smart+Specialisation+WorldWide+-+People%27s+Republic+of+China/767d9531-a622-4cf0-b6c3-c01db3328511</w:t>
        </w:r>
      </w:hyperlink>
      <w:r w:rsidRPr="00521841">
        <w:rPr>
          <w:lang w:val="pl-PL"/>
        </w:rPr>
        <w:t xml:space="preserve"> (09.12.2018.)</w:t>
      </w:r>
    </w:p>
    <w:p w:rsidR="00493218" w:rsidRPr="009A3D74" w:rsidRDefault="00493218" w:rsidP="00904544">
      <w:pPr>
        <w:pStyle w:val="ListParagraph"/>
        <w:numPr>
          <w:ilvl w:val="0"/>
          <w:numId w:val="28"/>
        </w:numPr>
        <w:spacing w:before="0"/>
        <w:rPr>
          <w:lang w:val="de-DE"/>
        </w:rPr>
      </w:pPr>
      <w:r w:rsidRPr="009A3D74">
        <w:rPr>
          <w:lang w:val="de-DE"/>
        </w:rPr>
        <w:t xml:space="preserve">Hrvatska gospodarska komora (2018.), </w:t>
      </w:r>
      <w:r w:rsidRPr="009A3D74">
        <w:rPr>
          <w:i/>
          <w:lang w:val="de-DE"/>
        </w:rPr>
        <w:t>Industrija 4.0</w:t>
      </w:r>
      <w:r w:rsidRPr="009A3D74">
        <w:rPr>
          <w:lang w:val="de-DE"/>
        </w:rPr>
        <w:t xml:space="preserve">. Dostupno na: </w:t>
      </w:r>
      <w:hyperlink r:id="rId13" w:history="1">
        <w:r w:rsidRPr="009A3D74">
          <w:rPr>
            <w:rStyle w:val="Hyperlink"/>
            <w:lang w:val="de-DE"/>
          </w:rPr>
          <w:t>https://www.hgk.hr/documents/hgk-industrija-4058d8c59722f1e.pdf</w:t>
        </w:r>
      </w:hyperlink>
      <w:r w:rsidRPr="009A3D74">
        <w:rPr>
          <w:lang w:val="de-DE"/>
        </w:rPr>
        <w:t xml:space="preserve"> (10.12.2018.)</w:t>
      </w:r>
    </w:p>
    <w:p w:rsidR="00493218" w:rsidRPr="004D7D67" w:rsidRDefault="00493218" w:rsidP="004F0DD0">
      <w:pPr>
        <w:pStyle w:val="ListParagraph"/>
        <w:numPr>
          <w:ilvl w:val="0"/>
          <w:numId w:val="28"/>
        </w:numPr>
        <w:spacing w:before="0"/>
        <w:jc w:val="both"/>
        <w:rPr>
          <w:lang w:val="en-GB"/>
        </w:rPr>
      </w:pPr>
      <w:r w:rsidRPr="004D7D67">
        <w:rPr>
          <w:lang w:val="en-GB"/>
        </w:rPr>
        <w:t xml:space="preserve">Kotnik, P. i Petrin, T. </w:t>
      </w:r>
      <w:r>
        <w:rPr>
          <w:lang w:val="en-GB"/>
        </w:rPr>
        <w:t>(</w:t>
      </w:r>
      <w:r w:rsidRPr="004D7D67">
        <w:rPr>
          <w:lang w:val="en-GB"/>
        </w:rPr>
        <w:t>2017.</w:t>
      </w:r>
      <w:r>
        <w:rPr>
          <w:lang w:val="en-GB"/>
        </w:rPr>
        <w:t>),</w:t>
      </w:r>
      <w:r w:rsidRPr="004D7D67">
        <w:rPr>
          <w:i/>
          <w:lang w:val="en-GB"/>
        </w:rPr>
        <w:t>Implementing a smart specialization strategy: an evidence-based approach</w:t>
      </w:r>
      <w:r w:rsidRPr="004D7D67">
        <w:rPr>
          <w:lang w:val="en-GB"/>
        </w:rPr>
        <w:t>. International Review of Administrative Sciences, Vol 83 (1), str. 85-105</w:t>
      </w:r>
    </w:p>
    <w:p w:rsidR="00493218" w:rsidRPr="004D7D67" w:rsidRDefault="00493218" w:rsidP="004F0DD0">
      <w:pPr>
        <w:pStyle w:val="ListParagraph"/>
        <w:numPr>
          <w:ilvl w:val="0"/>
          <w:numId w:val="28"/>
        </w:numPr>
        <w:spacing w:before="0"/>
        <w:jc w:val="both"/>
        <w:rPr>
          <w:lang w:val="en-GB"/>
        </w:rPr>
      </w:pPr>
      <w:r w:rsidRPr="004D7D67">
        <w:rPr>
          <w:lang w:val="en-GB"/>
        </w:rPr>
        <w:t xml:space="preserve">McCann, P. i Ortega-Argiles, R. </w:t>
      </w:r>
      <w:r>
        <w:rPr>
          <w:lang w:val="en-GB"/>
        </w:rPr>
        <w:t>(</w:t>
      </w:r>
      <w:r w:rsidRPr="004D7D67">
        <w:rPr>
          <w:lang w:val="en-GB"/>
        </w:rPr>
        <w:t>2014.</w:t>
      </w:r>
      <w:r>
        <w:rPr>
          <w:lang w:val="en-GB"/>
        </w:rPr>
        <w:t>),</w:t>
      </w:r>
      <w:r w:rsidRPr="004D7D67">
        <w:rPr>
          <w:i/>
          <w:lang w:val="en-GB"/>
        </w:rPr>
        <w:t>Smart Specialization in European regions: issues of strategy, institutions and implementation</w:t>
      </w:r>
      <w:r w:rsidRPr="004D7D67">
        <w:rPr>
          <w:lang w:val="en-GB"/>
        </w:rPr>
        <w:t>. European Journal of Innovation Management, Vol. 17, No. 4, str. 409-427</w:t>
      </w:r>
    </w:p>
    <w:p w:rsidR="00493218" w:rsidRPr="004D7D67" w:rsidRDefault="00493218" w:rsidP="004F0DD0">
      <w:pPr>
        <w:pStyle w:val="ListParagraph"/>
        <w:numPr>
          <w:ilvl w:val="0"/>
          <w:numId w:val="28"/>
        </w:numPr>
        <w:spacing w:before="0"/>
        <w:jc w:val="both"/>
        <w:rPr>
          <w:lang w:val="en-GB"/>
        </w:rPr>
      </w:pPr>
      <w:r w:rsidRPr="004D7D67">
        <w:rPr>
          <w:lang w:val="en-GB"/>
        </w:rPr>
        <w:t>Panori, A., Komninos, N., Kakderi, C</w:t>
      </w:r>
      <w:r>
        <w:rPr>
          <w:lang w:val="en-GB"/>
        </w:rPr>
        <w:t>i</w:t>
      </w:r>
      <w:r w:rsidRPr="004D7D67">
        <w:rPr>
          <w:lang w:val="en-GB"/>
        </w:rPr>
        <w:t xml:space="preserve"> Fellnhofer, K. (2017</w:t>
      </w:r>
      <w:r>
        <w:rPr>
          <w:lang w:val="en-GB"/>
        </w:rPr>
        <w:t>.</w:t>
      </w:r>
      <w:r w:rsidRPr="004D7D67">
        <w:rPr>
          <w:lang w:val="en-GB"/>
        </w:rPr>
        <w:t>)</w:t>
      </w:r>
      <w:r>
        <w:rPr>
          <w:lang w:val="en-GB"/>
        </w:rPr>
        <w:t>,</w:t>
      </w:r>
      <w:r w:rsidRPr="004D7D67">
        <w:rPr>
          <w:i/>
          <w:lang w:val="en-GB"/>
        </w:rPr>
        <w:t>Smart Specialisation Strategies: An online platform for strategy design and assessment</w:t>
      </w:r>
      <w:r w:rsidRPr="004D7D67">
        <w:rPr>
          <w:lang w:val="en-GB"/>
        </w:rPr>
        <w:t>. RelStat 2017. Springer Lecture Notes in Networks and Systems</w:t>
      </w:r>
    </w:p>
    <w:p w:rsidR="00493218" w:rsidRPr="004D7D67" w:rsidRDefault="00493218" w:rsidP="004F0DD0">
      <w:pPr>
        <w:pStyle w:val="ListParagraph"/>
        <w:numPr>
          <w:ilvl w:val="0"/>
          <w:numId w:val="28"/>
        </w:numPr>
        <w:spacing w:before="0"/>
        <w:jc w:val="both"/>
        <w:rPr>
          <w:lang w:val="en-GB"/>
        </w:rPr>
      </w:pPr>
      <w:r w:rsidRPr="004D7D67">
        <w:rPr>
          <w:lang w:val="en-GB"/>
        </w:rPr>
        <w:t xml:space="preserve">Polverari, L. </w:t>
      </w:r>
      <w:r>
        <w:rPr>
          <w:lang w:val="en-GB"/>
        </w:rPr>
        <w:t>(</w:t>
      </w:r>
      <w:r w:rsidRPr="004D7D67">
        <w:rPr>
          <w:lang w:val="en-GB"/>
        </w:rPr>
        <w:t>2016.</w:t>
      </w:r>
      <w:r>
        <w:rPr>
          <w:lang w:val="en-GB"/>
        </w:rPr>
        <w:t>),</w:t>
      </w:r>
      <w:r w:rsidRPr="004D7D67">
        <w:rPr>
          <w:i/>
          <w:lang w:val="en-GB"/>
        </w:rPr>
        <w:t>The implementation of Smart Specialisation Strategies in 2014-2020 ESIF programmes: turning intelligence into performance</w:t>
      </w:r>
      <w:r w:rsidRPr="004D7D67">
        <w:rPr>
          <w:lang w:val="en-GB"/>
        </w:rPr>
        <w:t>. European Policies Research Centre, University of StrathClyde Glasgow, IQ-NET Thematic Paper 39(2)</w:t>
      </w:r>
    </w:p>
    <w:p w:rsidR="00493218" w:rsidRDefault="00493218" w:rsidP="00904544">
      <w:pPr>
        <w:pStyle w:val="ListParagraph"/>
        <w:numPr>
          <w:ilvl w:val="0"/>
          <w:numId w:val="28"/>
        </w:numPr>
        <w:spacing w:before="0"/>
      </w:pPr>
      <w:r w:rsidRPr="000365F5">
        <w:t xml:space="preserve">Smart Specialization Platform, </w:t>
      </w:r>
      <w:r>
        <w:t>(</w:t>
      </w:r>
      <w:r w:rsidRPr="000365F5">
        <w:t>2018.</w:t>
      </w:r>
      <w:r>
        <w:t>).</w:t>
      </w:r>
      <w:r w:rsidRPr="000365F5">
        <w:t xml:space="preserve"> Dostupno na: </w:t>
      </w:r>
      <w:hyperlink r:id="rId14" w:history="1">
        <w:r w:rsidRPr="000365F5">
          <w:rPr>
            <w:rStyle w:val="Hyperlink"/>
          </w:rPr>
          <w:t>http://s3platform.jrc.ec.europa.eu/what-is-smart-specialisation-</w:t>
        </w:r>
      </w:hyperlink>
      <w:r w:rsidRPr="000365F5">
        <w:t xml:space="preserve"> (05.12.2018.)</w:t>
      </w:r>
    </w:p>
    <w:p w:rsidR="00493218" w:rsidRPr="000365F5" w:rsidRDefault="00493218" w:rsidP="00904544">
      <w:pPr>
        <w:pStyle w:val="ListParagraph"/>
        <w:numPr>
          <w:ilvl w:val="0"/>
          <w:numId w:val="28"/>
        </w:numPr>
        <w:spacing w:before="0"/>
      </w:pPr>
      <w:r w:rsidRPr="000365F5">
        <w:t xml:space="preserve">Smart Specialization Platform, </w:t>
      </w:r>
      <w:r>
        <w:t>(</w:t>
      </w:r>
      <w:r w:rsidRPr="000365F5">
        <w:t>2018.</w:t>
      </w:r>
      <w:r>
        <w:t>).</w:t>
      </w:r>
      <w:r w:rsidRPr="000365F5">
        <w:t xml:space="preserve"> Dostupno na: </w:t>
      </w:r>
      <w:hyperlink r:id="rId15" w:history="1">
        <w:r w:rsidRPr="00E12F31">
          <w:rPr>
            <w:rStyle w:val="Hyperlink"/>
          </w:rPr>
          <w:t>http://s3platform.jrc.ec.europa.eu/regions/de</w:t>
        </w:r>
      </w:hyperlink>
      <w:r>
        <w:t xml:space="preserve"> (13.12.2018.)</w:t>
      </w:r>
    </w:p>
    <w:p w:rsidR="00493218" w:rsidRPr="00521841" w:rsidRDefault="00493218" w:rsidP="00904544">
      <w:pPr>
        <w:pStyle w:val="ListParagraph"/>
        <w:numPr>
          <w:ilvl w:val="0"/>
          <w:numId w:val="28"/>
        </w:numPr>
        <w:spacing w:before="0"/>
        <w:rPr>
          <w:lang w:val="pl-PL"/>
        </w:rPr>
      </w:pPr>
      <w:r w:rsidRPr="00521841">
        <w:rPr>
          <w:lang w:val="pl-PL"/>
        </w:rPr>
        <w:t>Strategija pametne specijalizacije Republike Hrvatske za razdoblje od 2016. do 2020. godine. Dostupno na:</w:t>
      </w:r>
      <w:hyperlink r:id="rId16" w:history="1">
        <w:r w:rsidRPr="00521841">
          <w:rPr>
            <w:rStyle w:val="Hyperlink"/>
            <w:lang w:val="pl-PL"/>
          </w:rPr>
          <w:t>http://www.obzor2020.hr/userfiles/obzor2020/pdfs/Strategija_pametne_specijalizacije_RH_2016_2020.pdf</w:t>
        </w:r>
      </w:hyperlink>
      <w:r w:rsidRPr="00521841">
        <w:rPr>
          <w:lang w:val="pl-PL"/>
        </w:rPr>
        <w:t>(12.12.2018.)</w:t>
      </w:r>
    </w:p>
    <w:p w:rsidR="00493218" w:rsidRPr="004D7D67" w:rsidRDefault="00493218" w:rsidP="004F0DD0">
      <w:pPr>
        <w:pStyle w:val="ListParagraph"/>
        <w:numPr>
          <w:ilvl w:val="0"/>
          <w:numId w:val="28"/>
        </w:numPr>
        <w:spacing w:before="0"/>
        <w:jc w:val="both"/>
        <w:rPr>
          <w:lang w:val="en-GB"/>
        </w:rPr>
      </w:pPr>
      <w:r w:rsidRPr="004D7D67">
        <w:rPr>
          <w:lang w:val="en-GB"/>
        </w:rPr>
        <w:t xml:space="preserve">World Economic Forum, </w:t>
      </w:r>
      <w:r>
        <w:rPr>
          <w:lang w:val="en-GB"/>
        </w:rPr>
        <w:t>(</w:t>
      </w:r>
      <w:r w:rsidRPr="004D7D67">
        <w:rPr>
          <w:lang w:val="en-GB"/>
        </w:rPr>
        <w:t>201</w:t>
      </w:r>
      <w:r>
        <w:rPr>
          <w:lang w:val="en-GB"/>
        </w:rPr>
        <w:t>7</w:t>
      </w:r>
      <w:r w:rsidRPr="004D7D67">
        <w:rPr>
          <w:lang w:val="en-GB"/>
        </w:rPr>
        <w:t>.</w:t>
      </w:r>
      <w:r>
        <w:rPr>
          <w:lang w:val="en-GB"/>
        </w:rPr>
        <w:t>),</w:t>
      </w:r>
      <w:r w:rsidRPr="004D7D67">
        <w:rPr>
          <w:i/>
          <w:lang w:val="en-GB"/>
        </w:rPr>
        <w:t xml:space="preserve">The Global Competitiveness Report </w:t>
      </w:r>
      <w:r>
        <w:rPr>
          <w:i/>
          <w:lang w:val="en-GB"/>
        </w:rPr>
        <w:t>2017-</w:t>
      </w:r>
      <w:r w:rsidRPr="004D7D67">
        <w:rPr>
          <w:i/>
          <w:lang w:val="en-GB"/>
        </w:rPr>
        <w:t>2018</w:t>
      </w:r>
      <w:r w:rsidRPr="004D7D67">
        <w:rPr>
          <w:lang w:val="en-GB"/>
        </w:rPr>
        <w:t xml:space="preserve">. </w:t>
      </w:r>
    </w:p>
    <w:p w:rsidR="00493218" w:rsidRPr="004D7D67" w:rsidRDefault="00493218" w:rsidP="004F0DD0">
      <w:pPr>
        <w:pStyle w:val="ListParagraph"/>
        <w:numPr>
          <w:ilvl w:val="0"/>
          <w:numId w:val="28"/>
        </w:numPr>
        <w:spacing w:before="0"/>
        <w:jc w:val="both"/>
        <w:rPr>
          <w:lang w:val="en-GB"/>
        </w:rPr>
      </w:pPr>
      <w:r w:rsidRPr="004D7D67">
        <w:rPr>
          <w:lang w:val="en-GB"/>
        </w:rPr>
        <w:t xml:space="preserve">World Economic Forum, </w:t>
      </w:r>
      <w:r>
        <w:rPr>
          <w:lang w:val="en-GB"/>
        </w:rPr>
        <w:t>(</w:t>
      </w:r>
      <w:r w:rsidRPr="004D7D67">
        <w:rPr>
          <w:lang w:val="en-GB"/>
        </w:rPr>
        <w:t>2018.</w:t>
      </w:r>
      <w:r>
        <w:rPr>
          <w:lang w:val="en-GB"/>
        </w:rPr>
        <w:t>),</w:t>
      </w:r>
      <w:r w:rsidRPr="004D7D67">
        <w:rPr>
          <w:i/>
          <w:lang w:val="en-GB"/>
        </w:rPr>
        <w:t>The Global Competitiveness Report 2018</w:t>
      </w:r>
      <w:r w:rsidRPr="004D7D67">
        <w:rPr>
          <w:lang w:val="en-GB"/>
        </w:rPr>
        <w:t xml:space="preserve">. </w:t>
      </w:r>
    </w:p>
    <w:p w:rsidR="00493218" w:rsidRPr="000365F5" w:rsidRDefault="00493218" w:rsidP="004F0DD0">
      <w:pPr>
        <w:pStyle w:val="ListParagraph"/>
        <w:jc w:val="both"/>
      </w:pPr>
    </w:p>
    <w:bookmarkEnd w:id="0"/>
    <w:p w:rsidR="00493218" w:rsidRPr="003F78D2" w:rsidRDefault="00493218" w:rsidP="004F0DD0">
      <w:pPr>
        <w:pStyle w:val="Title"/>
        <w:rPr>
          <w:rFonts w:ascii="Times New Roman" w:hAnsi="Times New Roman"/>
        </w:rPr>
      </w:pPr>
    </w:p>
    <w:sectPr w:rsidR="00493218" w:rsidRPr="003F78D2" w:rsidSect="008B2625">
      <w:headerReference w:type="even" r:id="rId17"/>
      <w:headerReference w:type="default" r:id="rId1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218" w:rsidRDefault="00493218" w:rsidP="00D3231E">
      <w:pPr>
        <w:spacing w:before="0"/>
      </w:pPr>
      <w:r>
        <w:separator/>
      </w:r>
    </w:p>
  </w:endnote>
  <w:endnote w:type="continuationSeparator" w:id="1">
    <w:p w:rsidR="00493218" w:rsidRDefault="00493218"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218" w:rsidRDefault="00493218" w:rsidP="00D3231E">
      <w:pPr>
        <w:spacing w:before="0"/>
      </w:pPr>
      <w:r>
        <w:separator/>
      </w:r>
    </w:p>
  </w:footnote>
  <w:footnote w:type="continuationSeparator" w:id="1">
    <w:p w:rsidR="00493218" w:rsidRDefault="00493218" w:rsidP="00D3231E">
      <w:pPr>
        <w:spacing w:before="0"/>
      </w:pPr>
      <w:r>
        <w:continuationSeparator/>
      </w:r>
    </w:p>
  </w:footnote>
  <w:footnote w:id="2">
    <w:p w:rsidR="00493218" w:rsidRDefault="00493218" w:rsidP="00757B16">
      <w:pPr>
        <w:pStyle w:val="Heading3"/>
        <w:jc w:val="left"/>
        <w:rPr>
          <w:rFonts w:ascii="Times New Roman" w:hAnsi="Times New Roman"/>
          <w:color w:val="auto"/>
          <w:sz w:val="22"/>
          <w:szCs w:val="22"/>
        </w:rPr>
      </w:pPr>
    </w:p>
    <w:p w:rsidR="00493218" w:rsidRPr="00904544" w:rsidRDefault="00493218" w:rsidP="00757B16">
      <w:pPr>
        <w:pStyle w:val="Heading3"/>
        <w:jc w:val="left"/>
        <w:rPr>
          <w:rFonts w:ascii="Times New Roman" w:hAnsi="Times New Roman"/>
          <w:color w:val="auto"/>
          <w:sz w:val="22"/>
          <w:szCs w:val="22"/>
        </w:rPr>
      </w:pPr>
      <w:r>
        <w:rPr>
          <w:rFonts w:ascii="Times New Roman" w:hAnsi="Times New Roman"/>
          <w:color w:val="auto"/>
          <w:sz w:val="22"/>
          <w:szCs w:val="22"/>
        </w:rPr>
        <w:t>Primljeno: 13.02.2018; Prihvaćeno:12.02</w:t>
      </w:r>
      <w:r w:rsidRPr="00904544">
        <w:rPr>
          <w:rFonts w:ascii="Times New Roman" w:hAnsi="Times New Roman"/>
          <w:color w:val="auto"/>
          <w:sz w:val="22"/>
          <w:szCs w:val="22"/>
        </w:rPr>
        <w:t xml:space="preserve">.2019.                                                             </w:t>
      </w:r>
      <w:r>
        <w:rPr>
          <w:rFonts w:ascii="Times New Roman" w:hAnsi="Times New Roman"/>
          <w:color w:val="auto"/>
          <w:sz w:val="22"/>
          <w:szCs w:val="22"/>
        </w:rPr>
        <w:t xml:space="preserve">                   Submitted: 13-02-2018</w:t>
      </w:r>
      <w:r w:rsidRPr="00904544">
        <w:rPr>
          <w:rFonts w:ascii="Times New Roman" w:hAnsi="Times New Roman"/>
          <w:color w:val="auto"/>
          <w:sz w:val="22"/>
          <w:szCs w:val="22"/>
        </w:rPr>
        <w:t>;</w:t>
      </w:r>
      <w:r>
        <w:rPr>
          <w:rFonts w:ascii="Times New Roman" w:hAnsi="Times New Roman"/>
          <w:color w:val="auto"/>
          <w:sz w:val="22"/>
          <w:szCs w:val="22"/>
        </w:rPr>
        <w:t xml:space="preserve"> Accepted: 12-02</w:t>
      </w:r>
      <w:r w:rsidRPr="00904544">
        <w:rPr>
          <w:rFonts w:ascii="Times New Roman" w:hAnsi="Times New Roman"/>
          <w:color w:val="auto"/>
          <w:sz w:val="22"/>
          <w:szCs w:val="22"/>
        </w:rPr>
        <w:t>-2019</w:t>
      </w:r>
    </w:p>
    <w:p w:rsidR="00493218" w:rsidRDefault="00493218" w:rsidP="00757B16">
      <w:pPr>
        <w:pStyle w:val="Heading3"/>
        <w:rPr>
          <w:rFonts w:ascii="Times New Roman" w:hAnsi="Times New Roman"/>
          <w:b/>
          <w:color w:val="auto"/>
          <w:sz w:val="22"/>
          <w:szCs w:val="22"/>
        </w:rPr>
      </w:pPr>
    </w:p>
    <w:p w:rsidR="00493218" w:rsidRPr="00521841" w:rsidRDefault="00493218" w:rsidP="00757B16">
      <w:pPr>
        <w:pStyle w:val="Heading3"/>
        <w:rPr>
          <w:rFonts w:ascii="Times New Roman" w:hAnsi="Times New Roman"/>
          <w:b/>
          <w:color w:val="auto"/>
          <w:sz w:val="22"/>
          <w:szCs w:val="22"/>
          <w:lang w:val="sv-SE"/>
        </w:rPr>
      </w:pPr>
      <w:r w:rsidRPr="00DC3FFC">
        <w:rPr>
          <w:rStyle w:val="FootnoteReference"/>
          <w:rFonts w:ascii="Times New Roman" w:hAnsi="Times New Roman"/>
          <w:b/>
          <w:color w:val="auto"/>
          <w:sz w:val="22"/>
          <w:szCs w:val="22"/>
        </w:rPr>
        <w:t>*</w:t>
      </w:r>
      <w:r w:rsidRPr="00DC3FFC">
        <w:rPr>
          <w:rFonts w:ascii="Times New Roman" w:hAnsi="Times New Roman"/>
          <w:b/>
          <w:color w:val="auto"/>
          <w:sz w:val="22"/>
          <w:szCs w:val="22"/>
        </w:rPr>
        <w:t xml:space="preserve">Prof. dr. sc. </w:t>
      </w:r>
      <w:r w:rsidRPr="00521841">
        <w:rPr>
          <w:rFonts w:ascii="Times New Roman" w:hAnsi="Times New Roman"/>
          <w:b/>
          <w:color w:val="auto"/>
          <w:sz w:val="22"/>
          <w:szCs w:val="22"/>
          <w:lang w:val="sv-SE"/>
        </w:rPr>
        <w:t>Vlatka Bilas, Ekonomski fakultet Sveučilišta u Zagrebu</w:t>
      </w:r>
      <w:r w:rsidRPr="00521841">
        <w:rPr>
          <w:rFonts w:ascii="Times New Roman" w:hAnsi="Times New Roman"/>
          <w:color w:val="auto"/>
          <w:sz w:val="22"/>
          <w:szCs w:val="22"/>
          <w:lang w:val="sv-SE"/>
        </w:rPr>
        <w:t>;</w:t>
      </w:r>
    </w:p>
    <w:p w:rsidR="00493218" w:rsidRDefault="00493218" w:rsidP="00757B16">
      <w:pPr>
        <w:pStyle w:val="Heading3"/>
      </w:pPr>
      <w:hyperlink r:id="rId1" w:history="1">
        <w:r w:rsidRPr="00680500">
          <w:rPr>
            <w:rStyle w:val="Hyperlink"/>
            <w:rFonts w:ascii="Times New Roman" w:hAnsi="Times New Roman"/>
            <w:color w:val="auto"/>
            <w:sz w:val="22"/>
            <w:szCs w:val="22"/>
            <w:u w:val="none"/>
            <w:lang w:val="de-DE"/>
          </w:rPr>
          <w:t>bilas.vlatka@gmail.com</w:t>
        </w:r>
      </w:hyperlink>
    </w:p>
  </w:footnote>
  <w:footnote w:id="3">
    <w:p w:rsidR="00493218" w:rsidRPr="004C29A9" w:rsidRDefault="00493218" w:rsidP="00757B16">
      <w:pPr>
        <w:pStyle w:val="Heading3"/>
        <w:rPr>
          <w:rFonts w:ascii="Times New Roman" w:hAnsi="Times New Roman"/>
          <w:color w:val="auto"/>
          <w:sz w:val="22"/>
          <w:szCs w:val="22"/>
          <w:lang w:val="de-DE"/>
        </w:rPr>
      </w:pPr>
      <w:r w:rsidRPr="00680500">
        <w:rPr>
          <w:rStyle w:val="FootnoteReference"/>
          <w:rFonts w:ascii="Times New Roman" w:hAnsi="Times New Roman"/>
          <w:b/>
          <w:color w:val="auto"/>
          <w:sz w:val="22"/>
          <w:szCs w:val="22"/>
          <w:lang w:val="de-DE"/>
        </w:rPr>
        <w:t>*</w:t>
      </w:r>
      <w:r w:rsidRPr="00680500">
        <w:rPr>
          <w:rStyle w:val="FootnoteReference"/>
          <w:rFonts w:ascii="Times New Roman" w:hAnsi="Times New Roman"/>
          <w:color w:val="auto"/>
          <w:sz w:val="22"/>
          <w:szCs w:val="22"/>
          <w:lang w:val="de-DE"/>
        </w:rPr>
        <w:t>*</w:t>
      </w:r>
      <w:r w:rsidRPr="00680500">
        <w:rPr>
          <w:rFonts w:ascii="Times New Roman" w:hAnsi="Times New Roman"/>
          <w:b/>
          <w:color w:val="auto"/>
          <w:sz w:val="22"/>
          <w:szCs w:val="22"/>
          <w:lang w:val="de-DE"/>
        </w:rPr>
        <w:t xml:space="preserve">Doc. dr. sc. </w:t>
      </w:r>
      <w:r w:rsidRPr="004C29A9">
        <w:rPr>
          <w:rFonts w:ascii="Times New Roman" w:hAnsi="Times New Roman"/>
          <w:b/>
          <w:color w:val="auto"/>
          <w:sz w:val="22"/>
          <w:szCs w:val="22"/>
          <w:lang w:val="de-DE"/>
        </w:rPr>
        <w:t>Mile Bošnjak, Ekonomski fakultet Sveučilišta u Zagrebu</w:t>
      </w:r>
      <w:r w:rsidRPr="004C29A9">
        <w:rPr>
          <w:rFonts w:ascii="Times New Roman" w:hAnsi="Times New Roman"/>
          <w:color w:val="auto"/>
          <w:sz w:val="22"/>
          <w:szCs w:val="22"/>
          <w:lang w:val="de-DE"/>
        </w:rPr>
        <w:t>;</w:t>
      </w:r>
    </w:p>
    <w:p w:rsidR="00493218" w:rsidRDefault="00493218" w:rsidP="00757B16">
      <w:pPr>
        <w:pStyle w:val="Heading3"/>
      </w:pPr>
      <w:hyperlink r:id="rId2" w:history="1">
        <w:r w:rsidRPr="004C29A9">
          <w:rPr>
            <w:rStyle w:val="Hyperlink"/>
            <w:rFonts w:ascii="Times New Roman" w:hAnsi="Times New Roman"/>
            <w:color w:val="auto"/>
            <w:sz w:val="22"/>
            <w:szCs w:val="22"/>
            <w:u w:val="none"/>
            <w:lang w:val="de-DE"/>
          </w:rPr>
          <w:t>mile.bosnjak76@gmail.com</w:t>
        </w:r>
      </w:hyperlink>
    </w:p>
  </w:footnote>
  <w:footnote w:id="4">
    <w:p w:rsidR="00493218" w:rsidRDefault="00493218" w:rsidP="004A632E">
      <w:pPr>
        <w:pStyle w:val="Heading3"/>
      </w:pPr>
      <w:r w:rsidRPr="004C29A9">
        <w:rPr>
          <w:rStyle w:val="FootnoteReference"/>
          <w:rFonts w:ascii="Times New Roman" w:hAnsi="Times New Roman"/>
          <w:b/>
          <w:color w:val="auto"/>
          <w:sz w:val="22"/>
          <w:szCs w:val="22"/>
          <w:lang w:val="de-DE"/>
        </w:rPr>
        <w:t>***</w:t>
      </w:r>
      <w:r w:rsidRPr="004C29A9">
        <w:rPr>
          <w:rFonts w:ascii="Times New Roman" w:hAnsi="Times New Roman"/>
          <w:b/>
          <w:color w:val="auto"/>
          <w:sz w:val="22"/>
          <w:szCs w:val="22"/>
          <w:lang w:val="de-DE"/>
        </w:rPr>
        <w:t>Doc. dr. sc. Ivan Novak, Ekonomski fakultet Sveučilišta u Zagrebu</w:t>
      </w:r>
      <w:r>
        <w:rPr>
          <w:rFonts w:ascii="Times New Roman" w:hAnsi="Times New Roman"/>
          <w:color w:val="auto"/>
          <w:sz w:val="22"/>
          <w:szCs w:val="22"/>
          <w:lang w:val="de-DE"/>
        </w:rPr>
        <w:t>;</w:t>
      </w:r>
      <w:hyperlink r:id="rId3" w:history="1">
        <w:r w:rsidRPr="004C29A9">
          <w:rPr>
            <w:rStyle w:val="Hyperlink"/>
            <w:rFonts w:ascii="Times New Roman" w:hAnsi="Times New Roman"/>
            <w:color w:val="auto"/>
            <w:sz w:val="22"/>
            <w:szCs w:val="22"/>
            <w:lang w:val="de-DE"/>
          </w:rPr>
          <w:t>inovak@efzg.hr</w:t>
        </w:r>
      </w:hyperlink>
    </w:p>
  </w:footnote>
  <w:footnote w:id="5">
    <w:p w:rsidR="00493218" w:rsidRDefault="00493218" w:rsidP="00757B16">
      <w:pPr>
        <w:pStyle w:val="Heading3"/>
      </w:pPr>
    </w:p>
  </w:footnote>
  <w:footnote w:id="6">
    <w:p w:rsidR="00493218" w:rsidRDefault="00493218" w:rsidP="004A632E">
      <w:pPr>
        <w:pStyle w:val="Heading3"/>
      </w:pPr>
    </w:p>
  </w:footnote>
  <w:footnote w:id="7">
    <w:p w:rsidR="00493218" w:rsidRDefault="00493218" w:rsidP="004A632E">
      <w:pPr>
        <w:pStyle w:val="Heading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18" w:rsidRDefault="00493218"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3218" w:rsidRPr="00521841" w:rsidRDefault="00493218" w:rsidP="006005CD">
    <w:pPr>
      <w:pStyle w:val="Header"/>
      <w:tabs>
        <w:tab w:val="clear" w:pos="8640"/>
        <w:tab w:val="right" w:pos="8646"/>
      </w:tabs>
      <w:ind w:right="360"/>
      <w:rPr>
        <w:lang w:val="sv-SE"/>
      </w:rPr>
    </w:pPr>
    <w:r>
      <w:rPr>
        <w:lang w:val="sr-Cyrl-CS"/>
      </w:rPr>
      <w:t>[Tip teksta]</w:t>
    </w:r>
    <w:r w:rsidRPr="00521841">
      <w:rPr>
        <w:lang w:val="sv-SE"/>
      </w:rPr>
      <w:tab/>
    </w:r>
    <w:r>
      <w:rPr>
        <w:lang w:val="sr-Cyrl-CS"/>
      </w:rPr>
      <w:t>[Tip teksta]</w:t>
    </w:r>
    <w:r w:rsidRPr="00521841">
      <w:rPr>
        <w:lang w:val="sv-SE"/>
      </w:rPr>
      <w:tab/>
    </w:r>
    <w:r>
      <w:rPr>
        <w:lang w:val="sr-Cyrl-CS"/>
      </w:rPr>
      <w:t>[Tip teksta]</w:t>
    </w:r>
  </w:p>
  <w:p w:rsidR="00493218" w:rsidRPr="00521841" w:rsidRDefault="00493218">
    <w:pPr>
      <w:pStyle w:val="Header"/>
      <w:rPr>
        <w:lang w:val="sv-S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18" w:rsidRDefault="00493218"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493218" w:rsidRDefault="00493218" w:rsidP="00CC0B6B">
    <w:pPr>
      <w:pStyle w:val="Header"/>
      <w:ind w:right="360"/>
      <w:rPr>
        <w:sz w:val="18"/>
        <w:szCs w:val="18"/>
        <w:lang w:val="hr-HR"/>
      </w:rPr>
    </w:pPr>
    <w:r>
      <w:rPr>
        <w:sz w:val="18"/>
        <w:szCs w:val="18"/>
        <w:lang w:val="hr-HR"/>
      </w:rPr>
      <w:t>Vlatka Bilas, Mile Bošnjak, Ivan Novak</w:t>
    </w:r>
    <w:r w:rsidRPr="00736D64">
      <w:rPr>
        <w:sz w:val="18"/>
        <w:szCs w:val="18"/>
        <w:lang w:val="hr-HR"/>
      </w:rPr>
      <w:t xml:space="preserve">: </w:t>
    </w:r>
    <w:r>
      <w:rPr>
        <w:sz w:val="18"/>
        <w:szCs w:val="18"/>
        <w:lang w:val="hr-HR"/>
      </w:rPr>
      <w:t>KONKURENTNOST ZEMALJA ČLANICA EUROPSKE UNIJE</w:t>
    </w:r>
  </w:p>
  <w:p w:rsidR="00493218" w:rsidRPr="00736D64" w:rsidRDefault="00493218" w:rsidP="00CC0B6B">
    <w:pPr>
      <w:pStyle w:val="Header"/>
      <w:ind w:right="360"/>
      <w:rPr>
        <w:sz w:val="18"/>
        <w:szCs w:val="18"/>
        <w:lang w:val="hr-HR"/>
      </w:rPr>
    </w:pP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42</w:t>
    </w:r>
  </w:p>
  <w:p w:rsidR="00493218" w:rsidRDefault="00493218"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64E1577"/>
    <w:multiLevelType w:val="hybridMultilevel"/>
    <w:tmpl w:val="41CED4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3B1722"/>
    <w:multiLevelType w:val="hybridMultilevel"/>
    <w:tmpl w:val="F5E262F8"/>
    <w:lvl w:ilvl="0" w:tplc="041A000F">
      <w:start w:val="1"/>
      <w:numFmt w:val="decimal"/>
      <w:lvlText w:val="%1."/>
      <w:lvlJc w:val="left"/>
      <w:pPr>
        <w:ind w:left="4548" w:hanging="360"/>
      </w:pPr>
      <w:rPr>
        <w:rFonts w:cs="Times New Roman" w:hint="default"/>
      </w:rPr>
    </w:lvl>
    <w:lvl w:ilvl="1" w:tplc="041A0019" w:tentative="1">
      <w:start w:val="1"/>
      <w:numFmt w:val="lowerLetter"/>
      <w:lvlText w:val="%2."/>
      <w:lvlJc w:val="left"/>
      <w:pPr>
        <w:ind w:left="5268" w:hanging="360"/>
      </w:pPr>
      <w:rPr>
        <w:rFonts w:cs="Times New Roman"/>
      </w:rPr>
    </w:lvl>
    <w:lvl w:ilvl="2" w:tplc="041A001B" w:tentative="1">
      <w:start w:val="1"/>
      <w:numFmt w:val="lowerRoman"/>
      <w:lvlText w:val="%3."/>
      <w:lvlJc w:val="right"/>
      <w:pPr>
        <w:ind w:left="5988" w:hanging="180"/>
      </w:pPr>
      <w:rPr>
        <w:rFonts w:cs="Times New Roman"/>
      </w:rPr>
    </w:lvl>
    <w:lvl w:ilvl="3" w:tplc="041A000F" w:tentative="1">
      <w:start w:val="1"/>
      <w:numFmt w:val="decimal"/>
      <w:lvlText w:val="%4."/>
      <w:lvlJc w:val="left"/>
      <w:pPr>
        <w:ind w:left="6708" w:hanging="360"/>
      </w:pPr>
      <w:rPr>
        <w:rFonts w:cs="Times New Roman"/>
      </w:rPr>
    </w:lvl>
    <w:lvl w:ilvl="4" w:tplc="041A0019" w:tentative="1">
      <w:start w:val="1"/>
      <w:numFmt w:val="lowerLetter"/>
      <w:lvlText w:val="%5."/>
      <w:lvlJc w:val="left"/>
      <w:pPr>
        <w:ind w:left="7428" w:hanging="360"/>
      </w:pPr>
      <w:rPr>
        <w:rFonts w:cs="Times New Roman"/>
      </w:rPr>
    </w:lvl>
    <w:lvl w:ilvl="5" w:tplc="041A001B" w:tentative="1">
      <w:start w:val="1"/>
      <w:numFmt w:val="lowerRoman"/>
      <w:lvlText w:val="%6."/>
      <w:lvlJc w:val="right"/>
      <w:pPr>
        <w:ind w:left="8148" w:hanging="180"/>
      </w:pPr>
      <w:rPr>
        <w:rFonts w:cs="Times New Roman"/>
      </w:rPr>
    </w:lvl>
    <w:lvl w:ilvl="6" w:tplc="041A000F" w:tentative="1">
      <w:start w:val="1"/>
      <w:numFmt w:val="decimal"/>
      <w:lvlText w:val="%7."/>
      <w:lvlJc w:val="left"/>
      <w:pPr>
        <w:ind w:left="8868" w:hanging="360"/>
      </w:pPr>
      <w:rPr>
        <w:rFonts w:cs="Times New Roman"/>
      </w:rPr>
    </w:lvl>
    <w:lvl w:ilvl="7" w:tplc="041A0019" w:tentative="1">
      <w:start w:val="1"/>
      <w:numFmt w:val="lowerLetter"/>
      <w:lvlText w:val="%8."/>
      <w:lvlJc w:val="left"/>
      <w:pPr>
        <w:ind w:left="9588" w:hanging="360"/>
      </w:pPr>
      <w:rPr>
        <w:rFonts w:cs="Times New Roman"/>
      </w:rPr>
    </w:lvl>
    <w:lvl w:ilvl="8" w:tplc="041A001B" w:tentative="1">
      <w:start w:val="1"/>
      <w:numFmt w:val="lowerRoman"/>
      <w:lvlText w:val="%9."/>
      <w:lvlJc w:val="right"/>
      <w:pPr>
        <w:ind w:left="10308" w:hanging="180"/>
      </w:pPr>
      <w:rPr>
        <w:rFonts w:cs="Times New Roman"/>
      </w:rPr>
    </w:lvl>
  </w:abstractNum>
  <w:abstractNum w:abstractNumId="4">
    <w:nsid w:val="0D9378E2"/>
    <w:multiLevelType w:val="hybridMultilevel"/>
    <w:tmpl w:val="99A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9223D"/>
    <w:multiLevelType w:val="hybridMultilevel"/>
    <w:tmpl w:val="5668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35DAD"/>
    <w:multiLevelType w:val="hybridMultilevel"/>
    <w:tmpl w:val="6EB8E48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0FA30F79"/>
    <w:multiLevelType w:val="hybridMultilevel"/>
    <w:tmpl w:val="FF46CE50"/>
    <w:lvl w:ilvl="0" w:tplc="6BEEE0A2">
      <w:start w:val="1"/>
      <w:numFmt w:val="decimal"/>
      <w:lvlText w:val="%1."/>
      <w:lvlJc w:val="left"/>
      <w:pPr>
        <w:ind w:left="360" w:hanging="360"/>
      </w:pPr>
      <w:rPr>
        <w:rFonts w:ascii="Times New Roman" w:eastAsia="Times New Roman" w:hAnsi="Times New Roman" w:cs="Times New Roman"/>
        <w:b/>
      </w:rPr>
    </w:lvl>
    <w:lvl w:ilvl="1" w:tplc="041A0019">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8">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172C3996"/>
    <w:multiLevelType w:val="hybridMultilevel"/>
    <w:tmpl w:val="E8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1DDA6CDC"/>
    <w:multiLevelType w:val="multilevel"/>
    <w:tmpl w:val="F8AC6E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692427"/>
    <w:multiLevelType w:val="hybridMultilevel"/>
    <w:tmpl w:val="A052DE04"/>
    <w:lvl w:ilvl="0" w:tplc="3FF03AAE">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nsid w:val="447E63F7"/>
    <w:multiLevelType w:val="hybridMultilevel"/>
    <w:tmpl w:val="F26CA684"/>
    <w:lvl w:ilvl="0" w:tplc="0C6A9156">
      <w:start w:val="2"/>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4CE0003D"/>
    <w:multiLevelType w:val="hybridMultilevel"/>
    <w:tmpl w:val="A3A0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BD03C8"/>
    <w:multiLevelType w:val="hybridMultilevel"/>
    <w:tmpl w:val="09D23092"/>
    <w:lvl w:ilvl="0" w:tplc="A1F4994C">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1">
    <w:nsid w:val="52D918A5"/>
    <w:multiLevelType w:val="hybridMultilevel"/>
    <w:tmpl w:val="E48EAE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3">
    <w:nsid w:val="58D22ED6"/>
    <w:multiLevelType w:val="hybridMultilevel"/>
    <w:tmpl w:val="28605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nsid w:val="63BC72EA"/>
    <w:multiLevelType w:val="multilevel"/>
    <w:tmpl w:val="8132D2D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D787643"/>
    <w:multiLevelType w:val="hybridMultilevel"/>
    <w:tmpl w:val="12EEA5F0"/>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8">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9">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0">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31">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22"/>
  </w:num>
  <w:num w:numId="4">
    <w:abstractNumId w:val="8"/>
  </w:num>
  <w:num w:numId="5">
    <w:abstractNumId w:val="31"/>
  </w:num>
  <w:num w:numId="6">
    <w:abstractNumId w:val="9"/>
  </w:num>
  <w:num w:numId="7">
    <w:abstractNumId w:val="11"/>
  </w:num>
  <w:num w:numId="8">
    <w:abstractNumId w:val="14"/>
  </w:num>
  <w:num w:numId="9">
    <w:abstractNumId w:val="24"/>
  </w:num>
  <w:num w:numId="10">
    <w:abstractNumId w:val="1"/>
  </w:num>
  <w:num w:numId="11">
    <w:abstractNumId w:val="16"/>
  </w:num>
  <w:num w:numId="12">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2"/>
  </w:num>
  <w:num w:numId="15">
    <w:abstractNumId w:val="1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8"/>
    <w:lvlOverride w:ilvl="0">
      <w:startOverride w:val="1"/>
    </w:lvlOverride>
  </w:num>
  <w:num w:numId="19">
    <w:abstractNumId w:val="19"/>
  </w:num>
  <w:num w:numId="20">
    <w:abstractNumId w:val="10"/>
  </w:num>
  <w:num w:numId="21">
    <w:abstractNumId w:val="4"/>
  </w:num>
  <w:num w:numId="22">
    <w:abstractNumId w:val="5"/>
  </w:num>
  <w:num w:numId="23">
    <w:abstractNumId w:val="23"/>
  </w:num>
  <w:num w:numId="24">
    <w:abstractNumId w:val="2"/>
  </w:num>
  <w:num w:numId="25">
    <w:abstractNumId w:val="18"/>
  </w:num>
  <w:num w:numId="26">
    <w:abstractNumId w:val="7"/>
  </w:num>
  <w:num w:numId="27">
    <w:abstractNumId w:val="3"/>
  </w:num>
  <w:num w:numId="28">
    <w:abstractNumId w:val="20"/>
  </w:num>
  <w:num w:numId="29">
    <w:abstractNumId w:val="6"/>
  </w:num>
  <w:num w:numId="30">
    <w:abstractNumId w:val="15"/>
  </w:num>
  <w:num w:numId="31">
    <w:abstractNumId w:val="21"/>
  </w:num>
  <w:num w:numId="32">
    <w:abstractNumId w:val="13"/>
  </w:num>
  <w:num w:numId="33">
    <w:abstractNumId w:val="26"/>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1A19"/>
    <w:rsid w:val="00034090"/>
    <w:rsid w:val="000365F5"/>
    <w:rsid w:val="00054B1E"/>
    <w:rsid w:val="00065702"/>
    <w:rsid w:val="00066381"/>
    <w:rsid w:val="000740DF"/>
    <w:rsid w:val="00082480"/>
    <w:rsid w:val="00087AAF"/>
    <w:rsid w:val="0009154C"/>
    <w:rsid w:val="00095750"/>
    <w:rsid w:val="000A722A"/>
    <w:rsid w:val="000D5D7C"/>
    <w:rsid w:val="000E0D53"/>
    <w:rsid w:val="000F0A75"/>
    <w:rsid w:val="000F28FD"/>
    <w:rsid w:val="000F4448"/>
    <w:rsid w:val="000F7BB1"/>
    <w:rsid w:val="00101117"/>
    <w:rsid w:val="00102BC8"/>
    <w:rsid w:val="00106CC7"/>
    <w:rsid w:val="00107A51"/>
    <w:rsid w:val="001154EE"/>
    <w:rsid w:val="001158A4"/>
    <w:rsid w:val="00122C71"/>
    <w:rsid w:val="00135F40"/>
    <w:rsid w:val="00143E4D"/>
    <w:rsid w:val="00152A0A"/>
    <w:rsid w:val="00155E30"/>
    <w:rsid w:val="00163A30"/>
    <w:rsid w:val="00163B34"/>
    <w:rsid w:val="001653EA"/>
    <w:rsid w:val="0016647B"/>
    <w:rsid w:val="001703AC"/>
    <w:rsid w:val="00170A47"/>
    <w:rsid w:val="00172985"/>
    <w:rsid w:val="0019677B"/>
    <w:rsid w:val="001A04D5"/>
    <w:rsid w:val="001A2966"/>
    <w:rsid w:val="001B383D"/>
    <w:rsid w:val="001C562A"/>
    <w:rsid w:val="001C6961"/>
    <w:rsid w:val="001D5B76"/>
    <w:rsid w:val="001D7ADD"/>
    <w:rsid w:val="001E00CF"/>
    <w:rsid w:val="001E32DC"/>
    <w:rsid w:val="002015E9"/>
    <w:rsid w:val="00201A80"/>
    <w:rsid w:val="00215D37"/>
    <w:rsid w:val="002223FF"/>
    <w:rsid w:val="00224F4B"/>
    <w:rsid w:val="0023309B"/>
    <w:rsid w:val="00241240"/>
    <w:rsid w:val="00243A5B"/>
    <w:rsid w:val="00246D56"/>
    <w:rsid w:val="00250ED2"/>
    <w:rsid w:val="0026510A"/>
    <w:rsid w:val="002662CD"/>
    <w:rsid w:val="00267AD3"/>
    <w:rsid w:val="00272307"/>
    <w:rsid w:val="00277681"/>
    <w:rsid w:val="002815D3"/>
    <w:rsid w:val="002844E1"/>
    <w:rsid w:val="0028562E"/>
    <w:rsid w:val="00294CBC"/>
    <w:rsid w:val="002962D2"/>
    <w:rsid w:val="002A0B82"/>
    <w:rsid w:val="002B105D"/>
    <w:rsid w:val="002C2A0F"/>
    <w:rsid w:val="002E5E01"/>
    <w:rsid w:val="002F020C"/>
    <w:rsid w:val="00301183"/>
    <w:rsid w:val="00301969"/>
    <w:rsid w:val="00314BEF"/>
    <w:rsid w:val="00320BCB"/>
    <w:rsid w:val="00321752"/>
    <w:rsid w:val="00322ED3"/>
    <w:rsid w:val="00323796"/>
    <w:rsid w:val="00326CFA"/>
    <w:rsid w:val="0034089C"/>
    <w:rsid w:val="003459BC"/>
    <w:rsid w:val="003502B0"/>
    <w:rsid w:val="00350D5A"/>
    <w:rsid w:val="00370FE1"/>
    <w:rsid w:val="00371515"/>
    <w:rsid w:val="00381B59"/>
    <w:rsid w:val="00395D43"/>
    <w:rsid w:val="003A3685"/>
    <w:rsid w:val="003B5F79"/>
    <w:rsid w:val="003B6218"/>
    <w:rsid w:val="003C38DB"/>
    <w:rsid w:val="003D0620"/>
    <w:rsid w:val="003D2629"/>
    <w:rsid w:val="003E0BC9"/>
    <w:rsid w:val="003E1192"/>
    <w:rsid w:val="003E3B8A"/>
    <w:rsid w:val="003F78D2"/>
    <w:rsid w:val="00400F6A"/>
    <w:rsid w:val="00427C29"/>
    <w:rsid w:val="00430955"/>
    <w:rsid w:val="00446CA3"/>
    <w:rsid w:val="00451C87"/>
    <w:rsid w:val="004553C1"/>
    <w:rsid w:val="004560BB"/>
    <w:rsid w:val="0045798B"/>
    <w:rsid w:val="004744FD"/>
    <w:rsid w:val="00474FF6"/>
    <w:rsid w:val="00475139"/>
    <w:rsid w:val="0048382D"/>
    <w:rsid w:val="00493218"/>
    <w:rsid w:val="004956C5"/>
    <w:rsid w:val="004A632E"/>
    <w:rsid w:val="004A6511"/>
    <w:rsid w:val="004A6B6A"/>
    <w:rsid w:val="004B0AFF"/>
    <w:rsid w:val="004C29A9"/>
    <w:rsid w:val="004D1E5D"/>
    <w:rsid w:val="004D334D"/>
    <w:rsid w:val="004D3AB0"/>
    <w:rsid w:val="004D5178"/>
    <w:rsid w:val="004D707D"/>
    <w:rsid w:val="004D7D67"/>
    <w:rsid w:val="004F0DD0"/>
    <w:rsid w:val="004F6DBB"/>
    <w:rsid w:val="004F6E72"/>
    <w:rsid w:val="00505513"/>
    <w:rsid w:val="00510FF3"/>
    <w:rsid w:val="00520B39"/>
    <w:rsid w:val="00521841"/>
    <w:rsid w:val="0052276F"/>
    <w:rsid w:val="00537797"/>
    <w:rsid w:val="005441C4"/>
    <w:rsid w:val="00547EF1"/>
    <w:rsid w:val="00554C3D"/>
    <w:rsid w:val="0055799A"/>
    <w:rsid w:val="0058157A"/>
    <w:rsid w:val="005836E1"/>
    <w:rsid w:val="005A1685"/>
    <w:rsid w:val="005A3295"/>
    <w:rsid w:val="005A66D5"/>
    <w:rsid w:val="005A7E10"/>
    <w:rsid w:val="005C0A8A"/>
    <w:rsid w:val="005D01DA"/>
    <w:rsid w:val="005D12C5"/>
    <w:rsid w:val="005D236A"/>
    <w:rsid w:val="005D329E"/>
    <w:rsid w:val="005E35C0"/>
    <w:rsid w:val="006005CD"/>
    <w:rsid w:val="006139FB"/>
    <w:rsid w:val="00625640"/>
    <w:rsid w:val="0063040A"/>
    <w:rsid w:val="006369D2"/>
    <w:rsid w:val="00644BA4"/>
    <w:rsid w:val="00647B13"/>
    <w:rsid w:val="00655178"/>
    <w:rsid w:val="00665A3D"/>
    <w:rsid w:val="0067290A"/>
    <w:rsid w:val="006735AC"/>
    <w:rsid w:val="00680500"/>
    <w:rsid w:val="006809C1"/>
    <w:rsid w:val="00687D90"/>
    <w:rsid w:val="006A0F21"/>
    <w:rsid w:val="006A689F"/>
    <w:rsid w:val="006B3E95"/>
    <w:rsid w:val="006B5952"/>
    <w:rsid w:val="006B6CDD"/>
    <w:rsid w:val="006D797B"/>
    <w:rsid w:val="006E7C83"/>
    <w:rsid w:val="00703769"/>
    <w:rsid w:val="00705F2F"/>
    <w:rsid w:val="00713AF4"/>
    <w:rsid w:val="00727969"/>
    <w:rsid w:val="00736D64"/>
    <w:rsid w:val="0074164D"/>
    <w:rsid w:val="007509C7"/>
    <w:rsid w:val="00754C14"/>
    <w:rsid w:val="00757B16"/>
    <w:rsid w:val="00766F1F"/>
    <w:rsid w:val="00774D88"/>
    <w:rsid w:val="007753A2"/>
    <w:rsid w:val="00775A75"/>
    <w:rsid w:val="00787665"/>
    <w:rsid w:val="0079481A"/>
    <w:rsid w:val="00796CEF"/>
    <w:rsid w:val="007A04DD"/>
    <w:rsid w:val="007A3EFC"/>
    <w:rsid w:val="007A7198"/>
    <w:rsid w:val="007A79A5"/>
    <w:rsid w:val="007D7C29"/>
    <w:rsid w:val="007E6C67"/>
    <w:rsid w:val="007F4074"/>
    <w:rsid w:val="007F449C"/>
    <w:rsid w:val="008013F5"/>
    <w:rsid w:val="00804BA9"/>
    <w:rsid w:val="00835637"/>
    <w:rsid w:val="0083709C"/>
    <w:rsid w:val="0084264E"/>
    <w:rsid w:val="00843D1E"/>
    <w:rsid w:val="008734B5"/>
    <w:rsid w:val="0088076D"/>
    <w:rsid w:val="00886FDA"/>
    <w:rsid w:val="008A3B9A"/>
    <w:rsid w:val="008A451D"/>
    <w:rsid w:val="008A518F"/>
    <w:rsid w:val="008B2625"/>
    <w:rsid w:val="008B2D30"/>
    <w:rsid w:val="008B3196"/>
    <w:rsid w:val="008B4EC6"/>
    <w:rsid w:val="008B7B75"/>
    <w:rsid w:val="008C086A"/>
    <w:rsid w:val="008C7EF3"/>
    <w:rsid w:val="008E5F6A"/>
    <w:rsid w:val="008E678F"/>
    <w:rsid w:val="008F126B"/>
    <w:rsid w:val="00904544"/>
    <w:rsid w:val="00905873"/>
    <w:rsid w:val="00923202"/>
    <w:rsid w:val="0092447D"/>
    <w:rsid w:val="0094511E"/>
    <w:rsid w:val="00963A44"/>
    <w:rsid w:val="00965224"/>
    <w:rsid w:val="0096748B"/>
    <w:rsid w:val="0097015E"/>
    <w:rsid w:val="00974032"/>
    <w:rsid w:val="0098672C"/>
    <w:rsid w:val="00996813"/>
    <w:rsid w:val="009975BA"/>
    <w:rsid w:val="009A14AE"/>
    <w:rsid w:val="009A3D74"/>
    <w:rsid w:val="009B18A4"/>
    <w:rsid w:val="009B443B"/>
    <w:rsid w:val="009B453C"/>
    <w:rsid w:val="009C0ED5"/>
    <w:rsid w:val="009D0CD5"/>
    <w:rsid w:val="009E7DD5"/>
    <w:rsid w:val="00A346C6"/>
    <w:rsid w:val="00A47DB2"/>
    <w:rsid w:val="00A5168D"/>
    <w:rsid w:val="00A5560D"/>
    <w:rsid w:val="00A55DED"/>
    <w:rsid w:val="00A60DAC"/>
    <w:rsid w:val="00A71D82"/>
    <w:rsid w:val="00A732CB"/>
    <w:rsid w:val="00A91470"/>
    <w:rsid w:val="00AA322D"/>
    <w:rsid w:val="00AB3C48"/>
    <w:rsid w:val="00AB4D64"/>
    <w:rsid w:val="00AB5508"/>
    <w:rsid w:val="00AB6B4A"/>
    <w:rsid w:val="00AB6D00"/>
    <w:rsid w:val="00AC2355"/>
    <w:rsid w:val="00AC323C"/>
    <w:rsid w:val="00AC4683"/>
    <w:rsid w:val="00AC4C47"/>
    <w:rsid w:val="00AD1B65"/>
    <w:rsid w:val="00AD3283"/>
    <w:rsid w:val="00AE0170"/>
    <w:rsid w:val="00AE7EE3"/>
    <w:rsid w:val="00AF14AD"/>
    <w:rsid w:val="00AF50F6"/>
    <w:rsid w:val="00B2529C"/>
    <w:rsid w:val="00B259C9"/>
    <w:rsid w:val="00B31EE0"/>
    <w:rsid w:val="00B32AB3"/>
    <w:rsid w:val="00B45292"/>
    <w:rsid w:val="00B53F42"/>
    <w:rsid w:val="00B5471D"/>
    <w:rsid w:val="00B656D6"/>
    <w:rsid w:val="00B65CFE"/>
    <w:rsid w:val="00B730DD"/>
    <w:rsid w:val="00B8023E"/>
    <w:rsid w:val="00B80524"/>
    <w:rsid w:val="00B82C22"/>
    <w:rsid w:val="00B8440A"/>
    <w:rsid w:val="00B85EFA"/>
    <w:rsid w:val="00BA5DC1"/>
    <w:rsid w:val="00BB1875"/>
    <w:rsid w:val="00BC0214"/>
    <w:rsid w:val="00BC4477"/>
    <w:rsid w:val="00BD1833"/>
    <w:rsid w:val="00BE3E3D"/>
    <w:rsid w:val="00BE6EF9"/>
    <w:rsid w:val="00BE7E04"/>
    <w:rsid w:val="00C049CC"/>
    <w:rsid w:val="00C078DE"/>
    <w:rsid w:val="00C21AF9"/>
    <w:rsid w:val="00C316FD"/>
    <w:rsid w:val="00C3763D"/>
    <w:rsid w:val="00C50233"/>
    <w:rsid w:val="00C53457"/>
    <w:rsid w:val="00C6633F"/>
    <w:rsid w:val="00C90135"/>
    <w:rsid w:val="00C93474"/>
    <w:rsid w:val="00CB0F32"/>
    <w:rsid w:val="00CB7248"/>
    <w:rsid w:val="00CC0169"/>
    <w:rsid w:val="00CC0313"/>
    <w:rsid w:val="00CC0B6B"/>
    <w:rsid w:val="00CD57C2"/>
    <w:rsid w:val="00CD5909"/>
    <w:rsid w:val="00CD5DCB"/>
    <w:rsid w:val="00CD6F9C"/>
    <w:rsid w:val="00CE4788"/>
    <w:rsid w:val="00D03A44"/>
    <w:rsid w:val="00D3231E"/>
    <w:rsid w:val="00D36B2E"/>
    <w:rsid w:val="00D5245D"/>
    <w:rsid w:val="00D5778A"/>
    <w:rsid w:val="00D778A3"/>
    <w:rsid w:val="00D83768"/>
    <w:rsid w:val="00D85BE4"/>
    <w:rsid w:val="00D87B4D"/>
    <w:rsid w:val="00D91956"/>
    <w:rsid w:val="00D93F82"/>
    <w:rsid w:val="00DA0E8D"/>
    <w:rsid w:val="00DA101E"/>
    <w:rsid w:val="00DA5B93"/>
    <w:rsid w:val="00DA635F"/>
    <w:rsid w:val="00DB5700"/>
    <w:rsid w:val="00DC0189"/>
    <w:rsid w:val="00DC3FFC"/>
    <w:rsid w:val="00DC51DD"/>
    <w:rsid w:val="00DD47B0"/>
    <w:rsid w:val="00DD6216"/>
    <w:rsid w:val="00DF27D4"/>
    <w:rsid w:val="00E05ED5"/>
    <w:rsid w:val="00E12F31"/>
    <w:rsid w:val="00E2479B"/>
    <w:rsid w:val="00E248F4"/>
    <w:rsid w:val="00E41C65"/>
    <w:rsid w:val="00E43CC3"/>
    <w:rsid w:val="00E445C2"/>
    <w:rsid w:val="00E44938"/>
    <w:rsid w:val="00E625A8"/>
    <w:rsid w:val="00E64819"/>
    <w:rsid w:val="00E6559C"/>
    <w:rsid w:val="00E704A1"/>
    <w:rsid w:val="00E709EC"/>
    <w:rsid w:val="00E866CA"/>
    <w:rsid w:val="00E90F14"/>
    <w:rsid w:val="00E9465B"/>
    <w:rsid w:val="00E952C2"/>
    <w:rsid w:val="00E97EEE"/>
    <w:rsid w:val="00EA1F1F"/>
    <w:rsid w:val="00EA30CD"/>
    <w:rsid w:val="00EC05B0"/>
    <w:rsid w:val="00EC0F7B"/>
    <w:rsid w:val="00EC1921"/>
    <w:rsid w:val="00EC3DD1"/>
    <w:rsid w:val="00EC5E2F"/>
    <w:rsid w:val="00ED0E05"/>
    <w:rsid w:val="00EE3017"/>
    <w:rsid w:val="00EE5F56"/>
    <w:rsid w:val="00EF4F79"/>
    <w:rsid w:val="00EF71D7"/>
    <w:rsid w:val="00F073D3"/>
    <w:rsid w:val="00F14EF2"/>
    <w:rsid w:val="00F164AE"/>
    <w:rsid w:val="00F16B26"/>
    <w:rsid w:val="00F176C2"/>
    <w:rsid w:val="00F428FB"/>
    <w:rsid w:val="00F439F9"/>
    <w:rsid w:val="00F5082C"/>
    <w:rsid w:val="00F60C59"/>
    <w:rsid w:val="00F62BEE"/>
    <w:rsid w:val="00F71316"/>
    <w:rsid w:val="00F75B01"/>
    <w:rsid w:val="00F84344"/>
    <w:rsid w:val="00F94F67"/>
    <w:rsid w:val="00F9552F"/>
    <w:rsid w:val="00FA4CB2"/>
    <w:rsid w:val="00FB427A"/>
    <w:rsid w:val="00FB451C"/>
    <w:rsid w:val="00FC2D5C"/>
    <w:rsid w:val="00FC675F"/>
    <w:rsid w:val="00FD24B8"/>
    <w:rsid w:val="00FF019E"/>
    <w:rsid w:val="00FF2C69"/>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79"/>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3B5F79"/>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AB4D64"/>
    <w:pPr>
      <w:keepNext/>
      <w:keepLines/>
      <w:spacing w:before="40"/>
      <w:outlineLvl w:val="3"/>
    </w:pPr>
    <w:rPr>
      <w:rFonts w:ascii="Calibri" w:hAnsi="Calibri"/>
      <w:i/>
      <w:iCs/>
      <w:color w:val="365F91"/>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5F79"/>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4Char">
    <w:name w:val="Heading 4 Char"/>
    <w:basedOn w:val="DefaultParagraphFont"/>
    <w:link w:val="Heading4"/>
    <w:uiPriority w:val="99"/>
    <w:locked/>
    <w:rsid w:val="00AB4D64"/>
    <w:rPr>
      <w:rFonts w:ascii="Calibri" w:hAnsi="Calibri" w:cs="Times New Roman"/>
      <w:i/>
      <w:iCs/>
      <w:color w:val="365F91"/>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sid w:val="003B5F79"/>
    <w:rPr>
      <w:lang w:val="en-US"/>
    </w:rPr>
  </w:style>
  <w:style w:type="paragraph" w:customStyle="1" w:styleId="IndentedQuote">
    <w:name w:val="Indented Quote"/>
    <w:basedOn w:val="Normal"/>
    <w:uiPriority w:val="99"/>
    <w:rsid w:val="003B5F79"/>
    <w:pPr>
      <w:widowControl w:val="0"/>
      <w:autoSpaceDE w:val="0"/>
      <w:autoSpaceDN w:val="0"/>
      <w:adjustRightInd w:val="0"/>
      <w:ind w:left="720"/>
      <w:jc w:val="left"/>
    </w:pPr>
    <w:rPr>
      <w:lang w:val="en-US"/>
    </w:rPr>
  </w:style>
  <w:style w:type="paragraph" w:styleId="ListParagraph">
    <w:name w:val="List Paragraph"/>
    <w:basedOn w:val="Normal"/>
    <w:uiPriority w:val="99"/>
    <w:qFormat/>
    <w:rsid w:val="003B5F79"/>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rsid w:val="003B5F79"/>
    <w:pPr>
      <w:tabs>
        <w:tab w:val="center" w:pos="4320"/>
        <w:tab w:val="right" w:pos="8640"/>
      </w:tabs>
      <w:spacing w:before="0"/>
    </w:pPr>
  </w:style>
  <w:style w:type="character" w:customStyle="1" w:styleId="HeaderChar">
    <w:name w:val="Header Char"/>
    <w:basedOn w:val="DefaultParagraphFont"/>
    <w:link w:val="Header"/>
    <w:uiPriority w:val="99"/>
    <w:locked/>
    <w:rsid w:val="003B5F79"/>
    <w:rPr>
      <w:rFonts w:ascii="Times New Roman" w:hAnsi="Times New Roman" w:cs="Times New Roman"/>
      <w:lang w:val="en-GB"/>
    </w:rPr>
  </w:style>
  <w:style w:type="paragraph" w:styleId="Footer">
    <w:name w:val="footer"/>
    <w:basedOn w:val="Normal"/>
    <w:link w:val="FooterChar"/>
    <w:uiPriority w:val="99"/>
    <w:rsid w:val="003B5F79"/>
    <w:pPr>
      <w:tabs>
        <w:tab w:val="center" w:pos="4320"/>
        <w:tab w:val="right" w:pos="8640"/>
      </w:tabs>
      <w:spacing w:before="0"/>
    </w:pPr>
  </w:style>
  <w:style w:type="character" w:customStyle="1" w:styleId="FooterChar">
    <w:name w:val="Footer Char"/>
    <w:basedOn w:val="DefaultParagraphFont"/>
    <w:link w:val="Footer"/>
    <w:uiPriority w:val="99"/>
    <w:locked/>
    <w:rsid w:val="003B5F79"/>
    <w:rPr>
      <w:rFonts w:ascii="Times New Roman" w:hAnsi="Times New Roman" w:cs="Times New Roman"/>
      <w:lang w:val="en-GB"/>
    </w:rPr>
  </w:style>
  <w:style w:type="character" w:styleId="PageNumber">
    <w:name w:val="page number"/>
    <w:basedOn w:val="DefaultParagraphFont"/>
    <w:uiPriority w:val="99"/>
    <w:semiHidden/>
    <w:rsid w:val="003B5F79"/>
    <w:rPr>
      <w:rFonts w:cs="Times New Roman"/>
    </w:rPr>
  </w:style>
  <w:style w:type="paragraph" w:styleId="TOC1">
    <w:name w:val="toc 1"/>
    <w:basedOn w:val="Normal"/>
    <w:next w:val="Normal"/>
    <w:autoRedefine/>
    <w:uiPriority w:val="99"/>
    <w:rsid w:val="003B5F79"/>
  </w:style>
  <w:style w:type="paragraph" w:styleId="TOC2">
    <w:name w:val="toc 2"/>
    <w:basedOn w:val="Normal"/>
    <w:next w:val="Normal"/>
    <w:autoRedefine/>
    <w:uiPriority w:val="99"/>
    <w:rsid w:val="003B5F79"/>
    <w:pPr>
      <w:ind w:left="240"/>
    </w:pPr>
  </w:style>
  <w:style w:type="paragraph" w:styleId="TOC3">
    <w:name w:val="toc 3"/>
    <w:basedOn w:val="Normal"/>
    <w:next w:val="Normal"/>
    <w:autoRedefine/>
    <w:uiPriority w:val="99"/>
    <w:rsid w:val="003B5F79"/>
    <w:pPr>
      <w:ind w:left="480"/>
    </w:pPr>
  </w:style>
  <w:style w:type="paragraph" w:styleId="TOC4">
    <w:name w:val="toc 4"/>
    <w:basedOn w:val="Normal"/>
    <w:next w:val="Normal"/>
    <w:autoRedefine/>
    <w:uiPriority w:val="99"/>
    <w:rsid w:val="003B5F79"/>
    <w:pPr>
      <w:ind w:left="720"/>
    </w:pPr>
  </w:style>
  <w:style w:type="paragraph" w:styleId="TOC5">
    <w:name w:val="toc 5"/>
    <w:basedOn w:val="Normal"/>
    <w:next w:val="Normal"/>
    <w:autoRedefine/>
    <w:uiPriority w:val="99"/>
    <w:rsid w:val="003B5F79"/>
    <w:pPr>
      <w:ind w:left="960"/>
    </w:pPr>
  </w:style>
  <w:style w:type="paragraph" w:styleId="TOC6">
    <w:name w:val="toc 6"/>
    <w:basedOn w:val="Normal"/>
    <w:next w:val="Normal"/>
    <w:autoRedefine/>
    <w:uiPriority w:val="99"/>
    <w:rsid w:val="003B5F79"/>
    <w:pPr>
      <w:ind w:left="1200"/>
    </w:pPr>
  </w:style>
  <w:style w:type="paragraph" w:styleId="TOC7">
    <w:name w:val="toc 7"/>
    <w:basedOn w:val="Normal"/>
    <w:next w:val="Normal"/>
    <w:autoRedefine/>
    <w:uiPriority w:val="99"/>
    <w:rsid w:val="003B5F79"/>
    <w:pPr>
      <w:ind w:left="1440"/>
    </w:pPr>
  </w:style>
  <w:style w:type="paragraph" w:styleId="TOC8">
    <w:name w:val="toc 8"/>
    <w:basedOn w:val="Normal"/>
    <w:next w:val="Normal"/>
    <w:autoRedefine/>
    <w:uiPriority w:val="99"/>
    <w:rsid w:val="003B5F79"/>
    <w:pPr>
      <w:ind w:left="1680"/>
    </w:pPr>
  </w:style>
  <w:style w:type="paragraph" w:styleId="TOC9">
    <w:name w:val="toc 9"/>
    <w:basedOn w:val="Normal"/>
    <w:next w:val="Normal"/>
    <w:autoRedefine/>
    <w:uiPriority w:val="99"/>
    <w:rsid w:val="003B5F7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rsid w:val="00267AD3"/>
    <w:rPr>
      <w:rFonts w:cs="Times New Roman"/>
      <w:vertAlign w:val="superscript"/>
    </w:rPr>
  </w:style>
  <w:style w:type="paragraph" w:styleId="NoSpacing">
    <w:name w:val="No Spacing"/>
    <w:aliases w:val="Spacing"/>
    <w:basedOn w:val="Heading1"/>
    <w:link w:val="NoSpacingChar"/>
    <w:uiPriority w:val="99"/>
    <w:qFormat/>
    <w:rsid w:val="002E5E01"/>
    <w:rPr>
      <w:bCs w:val="0"/>
      <w:sz w:val="20"/>
      <w:szCs w:val="20"/>
      <w:lang w:val="bs-Latn-BA" w:eastAsia="bs-Latn-BA"/>
    </w:rPr>
  </w:style>
  <w:style w:type="paragraph" w:styleId="FootnoteText">
    <w:name w:val="footnote text"/>
    <w:aliases w:val="Char Char Char,Char 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locked/>
    <w:rsid w:val="004D3AB0"/>
    <w:rPr>
      <w:rFonts w:ascii="Times New Roman" w:hAnsi="Times New Roman" w:cs="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locked/>
    <w:rsid w:val="004D3AB0"/>
    <w:rPr>
      <w:rFonts w:ascii="Times New Roman" w:hAnsi="Times New Roman" w:cs="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locked/>
    <w:rsid w:val="004D3AB0"/>
    <w:rPr>
      <w:rFonts w:ascii="Times New Roman" w:hAnsi="Times New Roman" w:cs="Times New Roman"/>
      <w:sz w:val="2"/>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rsid w:val="004F0DD0"/>
    <w:rPr>
      <w:rFonts w:cs="Times New Roman"/>
      <w:color w:val="605E5C"/>
      <w:shd w:val="clear" w:color="auto" w:fill="E1DFDD"/>
    </w:rPr>
  </w:style>
  <w:style w:type="character" w:styleId="FollowedHyperlink">
    <w:name w:val="FollowedHyperlink"/>
    <w:basedOn w:val="DefaultParagraphFont"/>
    <w:uiPriority w:val="99"/>
    <w:semiHidden/>
    <w:rsid w:val="004F0DD0"/>
    <w:rPr>
      <w:rFonts w:cs="Times New Roman"/>
      <w:color w:val="800080"/>
      <w:u w:val="single"/>
    </w:rPr>
  </w:style>
  <w:style w:type="paragraph" w:styleId="HTMLPreformatted">
    <w:name w:val="HTML Preformatted"/>
    <w:basedOn w:val="Normal"/>
    <w:link w:val="HTMLPreformattedChar"/>
    <w:uiPriority w:val="99"/>
    <w:semiHidden/>
    <w:rsid w:val="004F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semiHidden/>
    <w:locked/>
    <w:rsid w:val="004F0DD0"/>
    <w:rPr>
      <w:rFonts w:ascii="Courier New" w:hAnsi="Courier New" w:cs="Courier New"/>
      <w:sz w:val="20"/>
      <w:szCs w:val="20"/>
      <w:lang w:val="hr-HR" w:eastAsia="hr-HR"/>
    </w:rPr>
  </w:style>
  <w:style w:type="paragraph" w:styleId="Subtitle">
    <w:name w:val="Subtitle"/>
    <w:basedOn w:val="Normal"/>
    <w:next w:val="Normal"/>
    <w:link w:val="SubtitleChar"/>
    <w:uiPriority w:val="99"/>
    <w:qFormat/>
    <w:rsid w:val="004F0DD0"/>
    <w:pPr>
      <w:numPr>
        <w:ilvl w:val="1"/>
      </w:numPr>
      <w:spacing w:before="0" w:after="160" w:line="259" w:lineRule="auto"/>
      <w:jc w:val="left"/>
    </w:pPr>
    <w:rPr>
      <w:rFonts w:ascii="Cambria" w:hAnsi="Cambria"/>
      <w:color w:val="5A5A5A"/>
      <w:spacing w:val="15"/>
      <w:sz w:val="22"/>
      <w:szCs w:val="22"/>
      <w:lang w:val="hr-HR"/>
    </w:rPr>
  </w:style>
  <w:style w:type="character" w:customStyle="1" w:styleId="SubtitleChar">
    <w:name w:val="Subtitle Char"/>
    <w:basedOn w:val="DefaultParagraphFont"/>
    <w:link w:val="Subtitle"/>
    <w:uiPriority w:val="99"/>
    <w:locked/>
    <w:rsid w:val="004F0DD0"/>
    <w:rPr>
      <w:rFonts w:cs="Times New Roman"/>
      <w:color w:val="5A5A5A"/>
      <w:spacing w:val="15"/>
      <w:sz w:val="22"/>
      <w:szCs w:val="22"/>
      <w:lang w:val="hr-HR"/>
    </w:rPr>
  </w:style>
  <w:style w:type="character" w:styleId="CommentReference">
    <w:name w:val="annotation reference"/>
    <w:basedOn w:val="DefaultParagraphFont"/>
    <w:uiPriority w:val="99"/>
    <w:semiHidden/>
    <w:rsid w:val="004F0DD0"/>
    <w:rPr>
      <w:rFonts w:cs="Times New Roman"/>
      <w:sz w:val="16"/>
      <w:szCs w:val="16"/>
    </w:rPr>
  </w:style>
  <w:style w:type="paragraph" w:styleId="CommentText">
    <w:name w:val="annotation text"/>
    <w:basedOn w:val="Normal"/>
    <w:link w:val="CommentTextChar"/>
    <w:uiPriority w:val="99"/>
    <w:semiHidden/>
    <w:rsid w:val="004F0DD0"/>
    <w:pPr>
      <w:spacing w:before="0" w:after="160"/>
      <w:jc w:val="left"/>
    </w:pPr>
    <w:rPr>
      <w:rFonts w:ascii="Cambria" w:hAnsi="Cambria"/>
      <w:sz w:val="20"/>
      <w:szCs w:val="20"/>
      <w:lang w:val="hr-HR"/>
    </w:rPr>
  </w:style>
  <w:style w:type="character" w:customStyle="1" w:styleId="CommentTextChar">
    <w:name w:val="Comment Text Char"/>
    <w:basedOn w:val="DefaultParagraphFont"/>
    <w:link w:val="CommentText"/>
    <w:uiPriority w:val="99"/>
    <w:semiHidden/>
    <w:locked/>
    <w:rsid w:val="004F0DD0"/>
    <w:rPr>
      <w:rFonts w:eastAsia="Times New Roman" w:cs="Times New Roman"/>
      <w:sz w:val="20"/>
      <w:szCs w:val="20"/>
      <w:lang w:val="hr-HR"/>
    </w:rPr>
  </w:style>
  <w:style w:type="paragraph" w:styleId="CommentSubject">
    <w:name w:val="annotation subject"/>
    <w:basedOn w:val="CommentText"/>
    <w:next w:val="CommentText"/>
    <w:link w:val="CommentSubjectChar"/>
    <w:uiPriority w:val="99"/>
    <w:semiHidden/>
    <w:rsid w:val="004F0DD0"/>
    <w:rPr>
      <w:b/>
      <w:bCs/>
    </w:rPr>
  </w:style>
  <w:style w:type="character" w:customStyle="1" w:styleId="CommentSubjectChar">
    <w:name w:val="Comment Subject Char"/>
    <w:basedOn w:val="CommentTextChar"/>
    <w:link w:val="CommentSubject"/>
    <w:uiPriority w:val="99"/>
    <w:semiHidden/>
    <w:locked/>
    <w:rsid w:val="004F0DD0"/>
    <w:rPr>
      <w:b/>
      <w:bCs/>
    </w:rPr>
  </w:style>
  <w:style w:type="character" w:customStyle="1" w:styleId="Nerijeenospominjanje2">
    <w:name w:val="Neriješeno spominjanje2"/>
    <w:basedOn w:val="DefaultParagraphFont"/>
    <w:uiPriority w:val="99"/>
    <w:semiHidden/>
    <w:rsid w:val="004F0DD0"/>
    <w:rPr>
      <w:rFonts w:cs="Times New Roman"/>
      <w:color w:val="605E5C"/>
      <w:shd w:val="clear" w:color="auto" w:fill="E1DFDD"/>
    </w:rPr>
  </w:style>
  <w:style w:type="table" w:customStyle="1" w:styleId="GridTable1LightAccent5">
    <w:name w:val="Grid Table 1 Light Accent 5"/>
    <w:uiPriority w:val="99"/>
    <w:rsid w:val="004F0DD0"/>
    <w:rPr>
      <w:sz w:val="20"/>
      <w:szCs w:val="20"/>
      <w:lang w:val="hr-HR"/>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1">
    <w:name w:val="Grid Table 1 Light Accent 1"/>
    <w:uiPriority w:val="99"/>
    <w:rsid w:val="004F0DD0"/>
    <w:rPr>
      <w:sz w:val="20"/>
      <w:szCs w:val="20"/>
      <w:lang w:val="hr-HR"/>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4F0DD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93968319">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093968325">
      <w:marLeft w:val="0"/>
      <w:marRight w:val="0"/>
      <w:marTop w:val="0"/>
      <w:marBottom w:val="0"/>
      <w:divBdr>
        <w:top w:val="none" w:sz="0" w:space="0" w:color="auto"/>
        <w:left w:val="none" w:sz="0" w:space="0" w:color="auto"/>
        <w:bottom w:val="none" w:sz="0" w:space="0" w:color="auto"/>
        <w:right w:val="none" w:sz="0" w:space="0" w:color="auto"/>
      </w:divBdr>
    </w:div>
    <w:div w:id="2093968326">
      <w:marLeft w:val="0"/>
      <w:marRight w:val="0"/>
      <w:marTop w:val="0"/>
      <w:marBottom w:val="0"/>
      <w:divBdr>
        <w:top w:val="none" w:sz="0" w:space="0" w:color="auto"/>
        <w:left w:val="none" w:sz="0" w:space="0" w:color="auto"/>
        <w:bottom w:val="none" w:sz="0" w:space="0" w:color="auto"/>
        <w:right w:val="none" w:sz="0" w:space="0" w:color="auto"/>
      </w:divBdr>
      <w:divsChild>
        <w:div w:id="2093968330">
          <w:marLeft w:val="0"/>
          <w:marRight w:val="0"/>
          <w:marTop w:val="0"/>
          <w:marBottom w:val="0"/>
          <w:divBdr>
            <w:top w:val="none" w:sz="0" w:space="0" w:color="auto"/>
            <w:left w:val="none" w:sz="0" w:space="0" w:color="auto"/>
            <w:bottom w:val="none" w:sz="0" w:space="0" w:color="auto"/>
            <w:right w:val="none" w:sz="0" w:space="0" w:color="auto"/>
          </w:divBdr>
          <w:divsChild>
            <w:div w:id="2093968322">
              <w:marLeft w:val="0"/>
              <w:marRight w:val="0"/>
              <w:marTop w:val="0"/>
              <w:marBottom w:val="0"/>
              <w:divBdr>
                <w:top w:val="none" w:sz="0" w:space="0" w:color="auto"/>
                <w:left w:val="none" w:sz="0" w:space="0" w:color="auto"/>
                <w:bottom w:val="none" w:sz="0" w:space="0" w:color="auto"/>
                <w:right w:val="none" w:sz="0" w:space="0" w:color="auto"/>
              </w:divBdr>
              <w:divsChild>
                <w:div w:id="20939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8327">
      <w:marLeft w:val="0"/>
      <w:marRight w:val="0"/>
      <w:marTop w:val="0"/>
      <w:marBottom w:val="0"/>
      <w:divBdr>
        <w:top w:val="none" w:sz="0" w:space="0" w:color="auto"/>
        <w:left w:val="none" w:sz="0" w:space="0" w:color="auto"/>
        <w:bottom w:val="none" w:sz="0" w:space="0" w:color="auto"/>
        <w:right w:val="none" w:sz="0" w:space="0" w:color="auto"/>
      </w:divBdr>
    </w:div>
    <w:div w:id="2093968328">
      <w:marLeft w:val="0"/>
      <w:marRight w:val="0"/>
      <w:marTop w:val="0"/>
      <w:marBottom w:val="0"/>
      <w:divBdr>
        <w:top w:val="none" w:sz="0" w:space="0" w:color="auto"/>
        <w:left w:val="none" w:sz="0" w:space="0" w:color="auto"/>
        <w:bottom w:val="none" w:sz="0" w:space="0" w:color="auto"/>
        <w:right w:val="none" w:sz="0" w:space="0" w:color="auto"/>
      </w:divBdr>
      <w:divsChild>
        <w:div w:id="2093968321">
          <w:marLeft w:val="0"/>
          <w:marRight w:val="0"/>
          <w:marTop w:val="0"/>
          <w:marBottom w:val="0"/>
          <w:divBdr>
            <w:top w:val="none" w:sz="0" w:space="0" w:color="auto"/>
            <w:left w:val="none" w:sz="0" w:space="0" w:color="auto"/>
            <w:bottom w:val="none" w:sz="0" w:space="0" w:color="auto"/>
            <w:right w:val="none" w:sz="0" w:space="0" w:color="auto"/>
          </w:divBdr>
          <w:divsChild>
            <w:div w:id="2093968324">
              <w:marLeft w:val="0"/>
              <w:marRight w:val="0"/>
              <w:marTop w:val="0"/>
              <w:marBottom w:val="0"/>
              <w:divBdr>
                <w:top w:val="none" w:sz="0" w:space="0" w:color="auto"/>
                <w:left w:val="none" w:sz="0" w:space="0" w:color="auto"/>
                <w:bottom w:val="none" w:sz="0" w:space="0" w:color="auto"/>
                <w:right w:val="none" w:sz="0" w:space="0" w:color="auto"/>
              </w:divBdr>
              <w:divsChild>
                <w:div w:id="20939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8329">
      <w:marLeft w:val="0"/>
      <w:marRight w:val="0"/>
      <w:marTop w:val="0"/>
      <w:marBottom w:val="0"/>
      <w:divBdr>
        <w:top w:val="none" w:sz="0" w:space="0" w:color="auto"/>
        <w:left w:val="none" w:sz="0" w:space="0" w:color="auto"/>
        <w:bottom w:val="none" w:sz="0" w:space="0" w:color="auto"/>
        <w:right w:val="none" w:sz="0" w:space="0" w:color="auto"/>
      </w:divBdr>
    </w:div>
    <w:div w:id="2093968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sources/docgener/guides/smart_spec/strength_innov_regions_en.pdf" TargetMode="External"/><Relationship Id="rId13" Type="http://schemas.openxmlformats.org/officeDocument/2006/relationships/hyperlink" Target="https://www.hgk.hr/documents/hgk-industrija-4058d8c59722f1e.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c.europa.eu/regional_policy/hr/policy/what/history/" TargetMode="External"/><Relationship Id="rId12" Type="http://schemas.openxmlformats.org/officeDocument/2006/relationships/hyperlink" Target="http://s3platform.jrc.ec.europa.eu/documents/20182/201464/Smart+Specialisation+WorldWide+-+People%27s+Republic+of+China/767d9531-a622-4cf0-b6c3-c01db332851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bzor2020.hr/userfiles/obzor2020/pdfs/Strategija_pametne_specijalizacije_RH_2016_2020.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regional_policy/sources/docgener/guides/smart_spec/strength_innov_it_en.pdf" TargetMode="External"/><Relationship Id="rId5" Type="http://schemas.openxmlformats.org/officeDocument/2006/relationships/footnotes" Target="footnotes.xml"/><Relationship Id="rId15" Type="http://schemas.openxmlformats.org/officeDocument/2006/relationships/hyperlink" Target="http://s3platform.jrc.ec.europa.eu/regions/de" TargetMode="External"/><Relationship Id="rId10" Type="http://schemas.openxmlformats.org/officeDocument/2006/relationships/hyperlink" Target="https://ec.europa.eu/regional_policy/sources/docgener/guides/smart_spec/strength_innov_de_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regional_policy/sources/docgener/guides/smart_spec/strength_innov_hr_en.pdf" TargetMode="External"/><Relationship Id="rId14" Type="http://schemas.openxmlformats.org/officeDocument/2006/relationships/hyperlink" Target="http://s3platform.jrc.ec.europa.eu/what-is-smart-specialis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inovak@efzg.hr" TargetMode="External"/><Relationship Id="rId2" Type="http://schemas.openxmlformats.org/officeDocument/2006/relationships/hyperlink" Target="mailto:mile.bosnjak76@gmail.com" TargetMode="External"/><Relationship Id="rId1" Type="http://schemas.openxmlformats.org/officeDocument/2006/relationships/hyperlink" Target="mailto:bilas.vlat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12</Pages>
  <Words>5352</Words>
  <Characters>30513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6</cp:revision>
  <dcterms:created xsi:type="dcterms:W3CDTF">2019-06-25T11:07:00Z</dcterms:created>
  <dcterms:modified xsi:type="dcterms:W3CDTF">2019-07-01T12:31:00Z</dcterms:modified>
</cp:coreProperties>
</file>