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593" w:rsidRDefault="00F04593"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Časopiszaekonomijuipolitikutranzicije  /  Journal of economic and politics of Transition     </w:t>
      </w:r>
      <w:r>
        <w:rPr>
          <w:sz w:val="18"/>
          <w:szCs w:val="18"/>
          <w:bdr w:val="single" w:sz="4" w:space="0" w:color="auto"/>
        </w:rPr>
        <w:t>Godina XXI</w:t>
      </w:r>
      <w:r w:rsidRPr="00C21AF9">
        <w:rPr>
          <w:sz w:val="18"/>
          <w:szCs w:val="18"/>
          <w:bdr w:val="single" w:sz="4" w:space="0" w:color="auto"/>
        </w:rPr>
        <w:t>Vitez-Tuzla-Zagreb-Beograd-Bukurešt, 201</w:t>
      </w:r>
      <w:r>
        <w:rPr>
          <w:sz w:val="18"/>
          <w:szCs w:val="18"/>
          <w:bdr w:val="single" w:sz="4" w:space="0" w:color="auto"/>
        </w:rPr>
        <w:t>9</w:t>
      </w:r>
      <w:r w:rsidRPr="00C21AF9">
        <w:rPr>
          <w:sz w:val="18"/>
          <w:szCs w:val="18"/>
          <w:bdr w:val="single" w:sz="4" w:space="0" w:color="auto"/>
        </w:rPr>
        <w:t xml:space="preserve">.           </w:t>
      </w:r>
      <w:r>
        <w:rPr>
          <w:sz w:val="18"/>
          <w:szCs w:val="18"/>
          <w:bdr w:val="single" w:sz="4" w:space="0" w:color="auto"/>
        </w:rPr>
        <w:t xml:space="preserve">                           Br. 43</w:t>
      </w:r>
    </w:p>
    <w:p w:rsidR="00F04593" w:rsidRDefault="00F04593" w:rsidP="000F4448">
      <w:pPr>
        <w:pStyle w:val="Heading1"/>
        <w:shd w:val="clear" w:color="auto" w:fill="FFFFFF"/>
        <w:spacing w:after="84"/>
        <w:ind w:left="6480"/>
        <w:jc w:val="right"/>
        <w:textAlignment w:val="baseline"/>
        <w:rPr>
          <w:i/>
        </w:rPr>
      </w:pPr>
      <w:r w:rsidRPr="000F4448">
        <w:rPr>
          <w:rFonts w:ascii="Times New Roman" w:hAnsi="Times New Roman"/>
          <w:b w:val="0"/>
          <w:bCs w:val="0"/>
          <w:i/>
          <w:lang w:val="hr-HR"/>
        </w:rPr>
        <w:t>Pregledni rad</w:t>
      </w:r>
      <w:r w:rsidRPr="000F4448">
        <w:rPr>
          <w:rFonts w:ascii="Times New Roman" w:hAnsi="Times New Roman"/>
          <w:b w:val="0"/>
          <w:i/>
        </w:rPr>
        <w:tab/>
        <w:t xml:space="preserve">                                                                                                       Review paper</w:t>
      </w:r>
    </w:p>
    <w:p w:rsidR="00F04593" w:rsidRPr="00CD57C2" w:rsidRDefault="00F04593" w:rsidP="002015E9">
      <w:pPr>
        <w:pStyle w:val="NoSpacing"/>
        <w:jc w:val="right"/>
        <w:rPr>
          <w:b w:val="0"/>
          <w:i/>
        </w:rPr>
      </w:pPr>
      <w:r w:rsidRPr="00BD1833">
        <w:rPr>
          <w:rFonts w:ascii="Times New Roman" w:hAnsi="Times New Roman"/>
          <w:i/>
        </w:rPr>
        <w:t>JEL Clas</w:t>
      </w:r>
      <w:r>
        <w:rPr>
          <w:rFonts w:ascii="Times New Roman" w:hAnsi="Times New Roman"/>
          <w:i/>
        </w:rPr>
        <w:t>s</w:t>
      </w:r>
      <w:r w:rsidRPr="00BD1833">
        <w:rPr>
          <w:rFonts w:ascii="Times New Roman" w:hAnsi="Times New Roman"/>
          <w:i/>
        </w:rPr>
        <w:t>ification</w:t>
      </w:r>
      <w:r w:rsidRPr="009018BE">
        <w:rPr>
          <w:rFonts w:ascii="Times New Roman" w:hAnsi="Times New Roman"/>
          <w:b w:val="0"/>
          <w:i/>
        </w:rPr>
        <w:t>: R11, R58</w:t>
      </w:r>
    </w:p>
    <w:p w:rsidR="00F04593" w:rsidRDefault="00F04593" w:rsidP="002C4E5F">
      <w:pPr>
        <w:rPr>
          <w:b/>
          <w:lang w:val="en-US"/>
        </w:rPr>
      </w:pPr>
      <w:bookmarkStart w:id="0" w:name="_Toc462440602"/>
    </w:p>
    <w:p w:rsidR="00F04593" w:rsidRDefault="00F04593" w:rsidP="002C4E5F">
      <w:pPr>
        <w:rPr>
          <w:b/>
          <w:bCs/>
          <w:lang w:val="en-US"/>
        </w:rPr>
      </w:pPr>
      <w:r>
        <w:rPr>
          <w:b/>
          <w:lang w:val="en-US"/>
        </w:rPr>
        <w:t>DamirDžafić</w:t>
      </w:r>
      <w:r w:rsidRPr="00C50233">
        <w:rPr>
          <w:rStyle w:val="FootnoteReference"/>
        </w:rPr>
        <w:footnoteReference w:customMarkFollows="1" w:id="2"/>
        <w:t>*</w:t>
      </w:r>
    </w:p>
    <w:p w:rsidR="00F04593" w:rsidRPr="00967020" w:rsidRDefault="00F04593" w:rsidP="00967020">
      <w:pPr>
        <w:jc w:val="center"/>
        <w:rPr>
          <w:b/>
          <w:sz w:val="32"/>
          <w:szCs w:val="32"/>
          <w:lang w:val="bs-Latn-BA"/>
        </w:rPr>
      </w:pPr>
      <w:r w:rsidRPr="00571228">
        <w:rPr>
          <w:b/>
          <w:sz w:val="32"/>
          <w:szCs w:val="32"/>
          <w:lang w:val="en-US"/>
        </w:rPr>
        <w:t>PROMJENE PROSTORNE STRUKTURE GRADSKIH NASELJA U SLIVU RIJEKE SPREČE U UVJETIMA TRANZICIJE</w:t>
      </w:r>
    </w:p>
    <w:p w:rsidR="00F04593" w:rsidRPr="00967020" w:rsidRDefault="00F04593" w:rsidP="00967020">
      <w:pPr>
        <w:jc w:val="center"/>
        <w:rPr>
          <w:sz w:val="32"/>
          <w:szCs w:val="32"/>
        </w:rPr>
      </w:pPr>
      <w:r w:rsidRPr="00967020">
        <w:rPr>
          <w:b/>
          <w:sz w:val="32"/>
          <w:szCs w:val="32"/>
        </w:rPr>
        <w:t>CHANGES IN THE SPATIAL STRUCTURE OF THE CITY SETTLEMENTS IN THE SPREČA RIVER BASIN UNDER CONDITIONS OF TRANSITION</w:t>
      </w:r>
    </w:p>
    <w:p w:rsidR="00F04593" w:rsidRPr="00967020" w:rsidRDefault="00F04593" w:rsidP="002C4E5F">
      <w:pPr>
        <w:jc w:val="center"/>
        <w:rPr>
          <w:b/>
          <w:bCs/>
          <w:sz w:val="32"/>
          <w:szCs w:val="32"/>
        </w:rPr>
      </w:pPr>
    </w:p>
    <w:p w:rsidR="00F04593" w:rsidRDefault="00F04593" w:rsidP="002C4E5F">
      <w:pPr>
        <w:pStyle w:val="Default"/>
        <w:jc w:val="both"/>
        <w:rPr>
          <w:b/>
          <w:bCs/>
          <w:i/>
          <w:iCs/>
        </w:rPr>
      </w:pPr>
      <w:r>
        <w:rPr>
          <w:b/>
          <w:bCs/>
          <w:i/>
          <w:iCs/>
        </w:rPr>
        <w:t xml:space="preserve"> Sažetak</w:t>
      </w:r>
    </w:p>
    <w:p w:rsidR="00F04593" w:rsidRPr="00967020" w:rsidRDefault="00F04593" w:rsidP="00967020">
      <w:pPr>
        <w:ind w:left="720"/>
        <w:rPr>
          <w:i/>
          <w:lang w:val="hr-HR"/>
        </w:rPr>
      </w:pPr>
      <w:r w:rsidRPr="00967020">
        <w:rPr>
          <w:i/>
          <w:lang w:val="hr-HR"/>
        </w:rPr>
        <w:t xml:space="preserve">Tranzicija je u zemljama bivše Jugoslavije, a i šire, dovela do promjena u svim sferama ljudskog života, a neke od tih promjena uočavaju se i u prostornoj strukturi gradskih naselja. U radu se autor bavi analizom funkcionalno-prostorne, populacijsko-demografske i morfološke strukture gradskih naselja u slivu rijeke Spreče. U šest naselja ovog tipa, od kojih je najveće Tuzla, na koncu 20. i početkom 21. stoljeća dešavaju se značajne promjene u cjelokupnoj prostornoj strukturi, a u radu se ukazuje na uzroke i posljedice tih promjena. </w:t>
      </w:r>
      <w:r w:rsidRPr="00967020">
        <w:rPr>
          <w:b/>
          <w:i/>
          <w:lang w:val="hr-HR"/>
        </w:rPr>
        <w:t>Ključne riječi:</w:t>
      </w:r>
      <w:r w:rsidRPr="00967020">
        <w:rPr>
          <w:i/>
          <w:lang w:val="hr-HR"/>
        </w:rPr>
        <w:t xml:space="preserve"> gradska naselja, struktura, funkcije, stanovništvo</w:t>
      </w:r>
      <w:r>
        <w:rPr>
          <w:i/>
          <w:lang w:val="hr-HR"/>
        </w:rPr>
        <w:t>.</w:t>
      </w:r>
    </w:p>
    <w:p w:rsidR="00F04593" w:rsidRDefault="00F04593" w:rsidP="002C4E5F">
      <w:pPr>
        <w:pStyle w:val="Default"/>
        <w:rPr>
          <w:b/>
          <w:bCs/>
        </w:rPr>
      </w:pPr>
    </w:p>
    <w:p w:rsidR="00F04593" w:rsidRDefault="00F04593" w:rsidP="002C4E5F">
      <w:pPr>
        <w:pStyle w:val="Default"/>
        <w:jc w:val="both"/>
        <w:rPr>
          <w:b/>
          <w:bCs/>
          <w:i/>
          <w:iCs/>
        </w:rPr>
      </w:pPr>
    </w:p>
    <w:p w:rsidR="00F04593" w:rsidRDefault="00F04593" w:rsidP="002C4E5F">
      <w:pPr>
        <w:pStyle w:val="Default"/>
        <w:jc w:val="both"/>
        <w:rPr>
          <w:b/>
          <w:bCs/>
          <w:i/>
          <w:iCs/>
        </w:rPr>
      </w:pPr>
    </w:p>
    <w:p w:rsidR="00F04593" w:rsidRDefault="00F04593" w:rsidP="002C4E5F">
      <w:pPr>
        <w:pStyle w:val="Default"/>
        <w:jc w:val="both"/>
        <w:rPr>
          <w:b/>
          <w:bCs/>
          <w:i/>
          <w:iCs/>
        </w:rPr>
      </w:pPr>
    </w:p>
    <w:p w:rsidR="00F04593" w:rsidRDefault="00F04593" w:rsidP="002C4E5F">
      <w:pPr>
        <w:pStyle w:val="Default"/>
        <w:jc w:val="both"/>
        <w:rPr>
          <w:b/>
          <w:bCs/>
          <w:i/>
          <w:iCs/>
        </w:rPr>
      </w:pPr>
      <w:r>
        <w:rPr>
          <w:b/>
          <w:bCs/>
          <w:i/>
          <w:iCs/>
        </w:rPr>
        <w:t xml:space="preserve">Abstract </w:t>
      </w:r>
    </w:p>
    <w:p w:rsidR="00F04593" w:rsidRPr="00B52D8A" w:rsidRDefault="00F04593" w:rsidP="006B0E63">
      <w:pPr>
        <w:ind w:left="720"/>
        <w:rPr>
          <w:i/>
          <w:lang w:val="en-US"/>
        </w:rPr>
      </w:pPr>
      <w:r w:rsidRPr="00B52D8A">
        <w:rPr>
          <w:i/>
          <w:lang w:val="en-US"/>
        </w:rPr>
        <w:t>In the former republics of Yugoslavia and wider, the transition has brought about changes in all the spheres of life. Some of the changes are noticeable in the spatial structure of city settlements.In this paper, the author deals with the analysis of functional-spatial, population-demographic and morphological structure of the city settlements in the Spreča river basin. At the end of 20</w:t>
      </w:r>
      <w:r w:rsidRPr="00B52D8A">
        <w:rPr>
          <w:i/>
          <w:vertAlign w:val="superscript"/>
          <w:lang w:val="en-US"/>
        </w:rPr>
        <w:t>th</w:t>
      </w:r>
      <w:r w:rsidRPr="00B52D8A">
        <w:rPr>
          <w:i/>
          <w:lang w:val="en-US"/>
        </w:rPr>
        <w:t xml:space="preserve"> and the beginning of the 21</w:t>
      </w:r>
      <w:r w:rsidRPr="00B52D8A">
        <w:rPr>
          <w:i/>
          <w:vertAlign w:val="superscript"/>
          <w:lang w:val="en-US"/>
        </w:rPr>
        <w:t>st</w:t>
      </w:r>
      <w:r w:rsidRPr="00B52D8A">
        <w:rPr>
          <w:i/>
          <w:lang w:val="en-US"/>
        </w:rPr>
        <w:t xml:space="preserve"> century, in six settlements of this type, of which Tuzla is the largest, significant changes in the whole spatial structure take place, and this paper points out the reasons for these chan</w:t>
      </w:r>
      <w:r>
        <w:rPr>
          <w:i/>
          <w:lang w:val="en-US"/>
        </w:rPr>
        <w:t xml:space="preserve">ges as well as the consequences.          </w:t>
      </w:r>
      <w:r w:rsidRPr="00B52D8A">
        <w:rPr>
          <w:b/>
          <w:i/>
          <w:lang w:val="en-US"/>
        </w:rPr>
        <w:t>Key words:</w:t>
      </w:r>
      <w:r w:rsidRPr="00B52D8A">
        <w:rPr>
          <w:i/>
          <w:lang w:val="en-US"/>
        </w:rPr>
        <w:t xml:space="preserve"> city settlements, structure, functions, population</w:t>
      </w:r>
      <w:r>
        <w:rPr>
          <w:i/>
          <w:lang w:val="en-US"/>
        </w:rPr>
        <w:t>.</w:t>
      </w:r>
    </w:p>
    <w:p w:rsidR="00F04593" w:rsidRPr="006B0E63" w:rsidRDefault="00F04593" w:rsidP="002C4E5F">
      <w:pPr>
        <w:pStyle w:val="Default"/>
        <w:rPr>
          <w:b/>
          <w:bCs/>
          <w:lang w:val="en-US"/>
        </w:rPr>
      </w:pPr>
    </w:p>
    <w:p w:rsidR="00F04593" w:rsidRDefault="00F04593" w:rsidP="002C4E5F">
      <w:pPr>
        <w:pStyle w:val="Default"/>
        <w:rPr>
          <w:b/>
          <w:bCs/>
        </w:rPr>
      </w:pPr>
    </w:p>
    <w:p w:rsidR="00F04593" w:rsidRDefault="00F04593" w:rsidP="002C4E5F">
      <w:pPr>
        <w:pStyle w:val="Default"/>
        <w:rPr>
          <w:b/>
          <w:bCs/>
        </w:rPr>
      </w:pPr>
      <w:r>
        <w:rPr>
          <w:b/>
          <w:bCs/>
        </w:rPr>
        <w:t>UVOD</w:t>
      </w:r>
    </w:p>
    <w:p w:rsidR="00F04593" w:rsidRPr="00A57BAE" w:rsidRDefault="00F04593" w:rsidP="00A57BAE">
      <w:pPr>
        <w:pStyle w:val="NoSpacing"/>
        <w:ind w:left="0" w:firstLine="720"/>
        <w:jc w:val="both"/>
        <w:rPr>
          <w:rFonts w:ascii="Times New Roman" w:hAnsi="Times New Roman"/>
          <w:b w:val="0"/>
        </w:rPr>
      </w:pPr>
      <w:r w:rsidRPr="00A57BAE">
        <w:rPr>
          <w:rFonts w:ascii="Times New Roman" w:hAnsi="Times New Roman"/>
          <w:b w:val="0"/>
          <w:lang/>
        </w:rPr>
        <w:t xml:space="preserve">Sliv rijeke Spreče je omeđen planinama Trebavom (692 m) na sjeverozapadu, Ozrenom (918 m) na zapadu, Konjuhom (1327 m) na jugu, Javornikom (1019 m) na jugoistoku i Majevicom (915 m) na sjeveru i sjeveroistoku. U matematičkogeografskom pogledu nalazi se između 44º 18' s.g.š. (Konjuh) i 44º 33' s.g.š. (Banj Brdo), te između 18º 06' i.g.d. (ušće Spreče) i 19º 03' i.g.d. (izvor Spreče). Sliv je nepravilnog oblika. Duža osa se pruža pravcem JI-SZ u dužini 83,6 km, a kraća osa pravcem JZ-SI u dužini od 42,6 km. </w:t>
      </w:r>
      <w:r w:rsidRPr="00A57BAE">
        <w:rPr>
          <w:rFonts w:ascii="Times New Roman" w:hAnsi="Times New Roman"/>
          <w:b w:val="0"/>
        </w:rPr>
        <w:t>Površinaslivaiznosi 1947,7 km</w:t>
      </w:r>
      <w:r w:rsidRPr="00A57BAE">
        <w:rPr>
          <w:rFonts w:ascii="Times New Roman" w:hAnsi="Times New Roman"/>
          <w:b w:val="0"/>
          <w:vertAlign w:val="superscript"/>
        </w:rPr>
        <w:t>2</w:t>
      </w:r>
      <w:r w:rsidRPr="00A57BAE">
        <w:rPr>
          <w:rFonts w:ascii="Times New Roman" w:hAnsi="Times New Roman"/>
          <w:b w:val="0"/>
        </w:rPr>
        <w:t>štočini 3,81% teritorijeBosneiHercegovine. Prema popisnimpodacimaiz 2013. godine, naovomprostoruživi 360546 stanovnika, štočini 9,5% stanovništvaBosneiHercegovine.</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sidRPr="00A57BAE">
        <w:rPr>
          <w:rFonts w:ascii="Times New Roman" w:hAnsi="Times New Roman"/>
          <w:b w:val="0"/>
        </w:rPr>
        <w:t>Na osnovukriterijaizsocijalističkogperioda (brojstanovnikaiudionepoljoprivrednogstanovništva), u slivurijekeSpreče se nalazišestnaseljakojasu u geografskojliteraturi,</w:t>
      </w:r>
      <w:r w:rsidRPr="00A57BAE">
        <w:rPr>
          <w:rStyle w:val="FootnoteReference"/>
          <w:rFonts w:ascii="Times New Roman" w:hAnsi="Times New Roman"/>
          <w:b w:val="0"/>
        </w:rPr>
        <w:footnoteReference w:id="3"/>
      </w:r>
      <w:r w:rsidRPr="00A57BAE">
        <w:rPr>
          <w:rFonts w:ascii="Times New Roman" w:hAnsi="Times New Roman"/>
          <w:b w:val="0"/>
        </w:rPr>
        <w:t xml:space="preserve">još u drugojpoloviniprošlogstoljeća, definiranakaogradskanaselja, a kaotakvasutretiranaikasnije, tj. dodanas. To su: Kalesija, Živinice, Banovići, Lukavac, Tuzla iGračanica. Ova naseljasuistovremenoiopćinskicentriistoimenihopćina (gradova) koje se nalaze u Tuzlanskomkantonu. U njima, posljednjih 30-ak godina, živioko 132000 stanovnika. </w:t>
      </w:r>
    </w:p>
    <w:p w:rsidR="00F04593" w:rsidRPr="00111255" w:rsidRDefault="00F04593" w:rsidP="00A57BAE">
      <w:pPr>
        <w:pStyle w:val="podnaslov"/>
        <w:ind w:left="0"/>
      </w:pPr>
      <w:r w:rsidRPr="00111255">
        <w:t xml:space="preserve">1. Obilježja funkcionalno-prostorne strukture </w:t>
      </w:r>
    </w:p>
    <w:p w:rsidR="00F04593" w:rsidRPr="00111255" w:rsidRDefault="00F04593" w:rsidP="00571228">
      <w:pPr>
        <w:pStyle w:val="tekst"/>
        <w:spacing w:line="240" w:lineRule="auto"/>
      </w:pPr>
      <w:r w:rsidRPr="00111255">
        <w:t>Funkcionalno-prostorna struktura grada se ispoljava diferencijacijom gradskog prostora na njegove funkcionalne dijelove ili četvrti kao što su stambene zone, poslovne zone, industrijske zone, zone rekreacije itd.</w:t>
      </w:r>
      <w:r w:rsidRPr="00111255">
        <w:rPr>
          <w:rStyle w:val="FootnoteReference"/>
        </w:rPr>
        <w:footnoteReference w:id="4"/>
      </w:r>
      <w:r w:rsidRPr="00111255">
        <w:t xml:space="preserve"> Osnovni funkcionalni dijelovi gradskih naselja u slivu rijeke Spreče formirani su u socijalističkom periodu, na šta je uticao razvoj sekundarnih djelatnosti, prije svih industrije i rudarstva, te snažna urbanizacija. Kod svih gradskih naselja prisutan je sličan funkcionalni zoning. Njega čine tri osnovne zone: središnja poslovna zona (u gradskim centrima), privredna (industrijska) zona na periferiji i stambena zona između ove dvije. Razlika između starijih gradskih naselja (Tuzla i Gračanica) i ostalih, mlađih gradskih naselja u slivu rijeke Spreče</w:t>
      </w:r>
      <w:r>
        <w:t>,</w:t>
      </w:r>
      <w:r w:rsidRPr="00111255">
        <w:t xml:space="preserve"> je u tome što se kod starijih naselja funkcionalni zoning počeo da formira još u osmanskom periodu, kada su nastajale prve čaršije kao središnje poslovne zone, a na njih su se naslanjale mahale, kao stambene zone. Na ove zone je u socijalističkom periodu samo nadovezana industrijska zona. S druge strane, u mlađim gradskim naseljima, sve zone su formirane u socijalističkom periodu.Pored ovih, osnovnih funkcionalnih zona, značajne površine u gradskim naseljima zauzimaju zone rekreacije, računajući da u njih spadaju i šumske površine koje se nalaze na rubovima svih gradskih naselja i koje mogu služiti u rekreativne svrhe, zatim poljoprivredno zemljište (u Kalesiji), eksploataciona polja (u Banovićima) i druge, manje važne.</w:t>
      </w:r>
      <w:r w:rsidRPr="00111255">
        <w:rPr>
          <w:rStyle w:val="FootnoteReference"/>
        </w:rPr>
        <w:footnoteReference w:id="5"/>
      </w:r>
      <w:r>
        <w:tab/>
      </w:r>
      <w:r>
        <w:tab/>
      </w:r>
      <w:r>
        <w:tab/>
      </w:r>
      <w:r>
        <w:tab/>
      </w:r>
      <w:r>
        <w:tab/>
      </w:r>
      <w:r>
        <w:tab/>
      </w:r>
      <w:r>
        <w:tab/>
      </w:r>
      <w:r>
        <w:tab/>
      </w:r>
      <w:r w:rsidRPr="00111255">
        <w:t>Najveću površinu u svim gradskim naseljima zauzimaju stambene zone. One se protežu od gradskih centara prema periferiji. Pored osnovne funkcije – stanovanja, koja je dominantna u ovoj zoni, tu su i brojne druge funkcije. Naime, između kolektivnih stambenih objekata, među blokovima zgrada, kao i u mahalama u kojima dominira individualna stambena izgradnja, izgrađene su škole, domovi zdravlja, apoteke, trgovine na malo, zgrade PTT-a, ugostiteljski objekti itd. zbog čega možemo reći da se ove zone odlikuju polifunkcionalnošću. Osim toga, većina urbanih sadržaja koji potiču iz socijalističkog perioda su građeni tipski, zbog čega gradska naselja „</w:t>
      </w:r>
      <w:r w:rsidRPr="00111255">
        <w:rPr>
          <w:i/>
        </w:rPr>
        <w:t>liče jedni na druge</w:t>
      </w:r>
      <w:r w:rsidRPr="00111255">
        <w:t>“.</w:t>
      </w:r>
      <w:r w:rsidRPr="00111255">
        <w:rPr>
          <w:rStyle w:val="FootnoteReference"/>
        </w:rPr>
        <w:footnoteReference w:id="6"/>
      </w:r>
      <w:r>
        <w:tab/>
      </w:r>
      <w:r>
        <w:tab/>
      </w:r>
      <w:r>
        <w:tab/>
      </w:r>
      <w:r>
        <w:tab/>
      </w:r>
      <w:r>
        <w:tab/>
      </w:r>
      <w:r>
        <w:tab/>
      </w:r>
      <w:r>
        <w:tab/>
      </w:r>
      <w:r>
        <w:tab/>
      </w:r>
      <w:r>
        <w:tab/>
      </w:r>
      <w:r>
        <w:tab/>
      </w:r>
      <w:r w:rsidRPr="00111255">
        <w:t>Središnje poslovne zone u starijim gradskim naseljima sliva Spreče odlikuje manja spratnost stambenih i drugih objekata, nego što je to slučaj u mlađim gradskim naseljima. Ovo je rezultat historijskog razvoja ovih naselja, jer u središnjim poslovnim centrima starijih gradskih naselja još uvijek postoji značajan broj objekata iz osmanskog i austrougarskog perioda, dok su objekti u mlađim gradskim naseljima iz socijalističkog perioda. Međutim, kao što u evropskim gradovima “</w:t>
      </w:r>
      <w:r w:rsidRPr="00111255">
        <w:rPr>
          <w:i/>
        </w:rPr>
        <w:t>život grada najjače pulzira u njegovu središtu, koji izgradnjom i ambijentom ostavlja najjači dojam</w:t>
      </w:r>
      <w:r w:rsidRPr="00111255">
        <w:t>”,</w:t>
      </w:r>
      <w:r w:rsidRPr="00111255">
        <w:rPr>
          <w:rStyle w:val="FootnoteReference"/>
        </w:rPr>
        <w:footnoteReference w:id="7"/>
      </w:r>
      <w:r w:rsidRPr="00111255">
        <w:t xml:space="preserve"> takav slučaj je upravo i sa gradskim naseljima u slivu rijeke Spreče. Osnovne karakteristike središnjih poslovnih zona su: najveća koncentracija ureda i specijaliziranih prodavnica, odnosno polifunkcionalnost, najveća vrijednost i iskorištenost zemljišta, u njima se uglavnom nalaze najznačajniji historijski, vjerski, školski, kulturni, sudski i dr. objekti, u njima se najviše sastaju ljudi stvarajući posebnu atmosferu, u njima dolazi do povećanja gabarita, spratnosti zgrada, pretvaranja stambenih prostora u poslovne itd. Kada je riječ o centru Tuzle, tu je situacija nešto drugačija zbog tonjenja tla, usljed čega su porušeni brojni objekti. Ipak, obnovom zgrade Baroka i drugim urbanističkim zahvatima na Trgu slobode, zatim izgradnjom kompleksa Panonika kojeg čine jezera, slapovi, sojeničko naselje i neizbježni ugostiteljski objekti, Tuzla je bar djelimično uspjela da sačuva arhitektonski kontinuitet u gradskom centru.</w:t>
      </w:r>
      <w:r>
        <w:t xml:space="preserve"> Ipak, i u samoj Tuzli postoji potreba intenziviranja već započete urbane obnove, urbane revitalizacije i džentrifikacije značajnog broja objekata.</w:t>
      </w:r>
      <w:r w:rsidRPr="00111255">
        <w:t xml:space="preserve"> U nekim gradskim naseljima, poput Gračanice i Živinica, su urađeni regulacioni planovi centara gradskih naselja, u kojima su jasno diferencirane p</w:t>
      </w:r>
      <w:r>
        <w:t xml:space="preserve">ojedine zone i njihova namjena. </w:t>
      </w:r>
      <w:r w:rsidRPr="00111255">
        <w:t>Za svaku od zona utvrđene su dopuštene, zabranjene i uslovno dopuštene namjene. Tako je</w:t>
      </w:r>
      <w:r>
        <w:t>, u Gračanici,</w:t>
      </w:r>
      <w:r w:rsidRPr="00111255">
        <w:t xml:space="preserve"> u zoni stambene namjene dopuštena gradnja stambenih objekata, te objekata koji služe za socijalne, vjerske, kulturne, zdravstvene i sportske potrebe, dok je uslovno dopuštena gradnja trgovina, malih obrtničkih, ugostiteljsko-turističkih i upravnih objekata koji služe pokriću dnevnih potreba stanovništva.U zoni poslovne namjene dopuštena je izgradnja poslovnih pogona, skladišta, javnih pogona, zanatskih objekata, poslovnih, upravnih i uredskih zgrada, a uslovno su dopušteni ugostiteljski objekti kao i objekti za zabavu. U zoni mješovite namjene zabranjene su djelatnosti koje stvaraju buku, vibracije, dim, prašinu, neugodan miris i dr. čime bi ometale primarnu namjenu zone, koja se sastoji od kolektivnih i individualnih stambenih objekata, poslovnih, ugostiteljskih, zanatskih, vjerskih, turističkih, sportskih i drugih objekata. Svi ovi objekti dozvoljeni su i u zoni središnje namjene.</w:t>
      </w:r>
      <w:r w:rsidRPr="00111255">
        <w:rPr>
          <w:rStyle w:val="FootnoteReference"/>
        </w:rPr>
        <w:footnoteReference w:id="8"/>
      </w:r>
      <w:r w:rsidRPr="00111255">
        <w:t>Slična situacija je i u Živinicama, u kojima su Regulacionim planom „Riba“ definisane sljedeće zone: zona centralnih sadržaja, zona stanovanja, zona poslovanja, poslovno-proizvodna zona i mješovita zona</w:t>
      </w:r>
      <w:r>
        <w:t>. Međutim, p</w:t>
      </w:r>
      <w:r w:rsidRPr="00111255">
        <w:t xml:space="preserve">rilikom vođenje urbanističke politike u današnje vrijeme obično se polazi od principa “ulagač je svetinja” </w:t>
      </w:r>
      <w:r>
        <w:t xml:space="preserve">zbog čegase često </w:t>
      </w:r>
      <w:r w:rsidRPr="00111255">
        <w:t>mijenjaju ili zanemaruju regulacioni planovi,  a investira se u objekte od kojih investitor ima najveću korist pri čemu se često ne vodi računa o stvarnim potrebama građana.</w:t>
      </w:r>
      <w:r w:rsidRPr="00111255">
        <w:rPr>
          <w:rStyle w:val="FootnoteReference"/>
        </w:rPr>
        <w:footnoteReference w:id="9"/>
      </w:r>
      <w:r>
        <w:t xml:space="preserve"> Tako strani, ali i domaći investitori imaju ključnu važnost</w:t>
      </w:r>
      <w:r w:rsidRPr="00111255">
        <w:t xml:space="preserve"> u promjenama prostorne </w:t>
      </w:r>
      <w:r>
        <w:t>strukture</w:t>
      </w:r>
      <w:r w:rsidRPr="00111255">
        <w:t xml:space="preserve"> gradskih naselja, jer često od njihovog kapitala zavisi izgradnja i namjena određenih prostora. </w:t>
      </w:r>
      <w:r>
        <w:t>Do ovih procesa je, prije svega, dovelo „</w:t>
      </w:r>
      <w:r w:rsidRPr="00111255">
        <w:rPr>
          <w:i/>
        </w:rPr>
        <w:t>nestajanje države kao glavnog aktera planiranja i pojava privatnih poduzetnika, komercijalnog sektora u razvoju grada.”</w:t>
      </w:r>
      <w:r w:rsidRPr="00111255">
        <w:rPr>
          <w:rStyle w:val="FootnoteReference"/>
          <w:i/>
        </w:rPr>
        <w:footnoteReference w:id="10"/>
      </w:r>
      <w:r>
        <w:tab/>
      </w:r>
      <w:r>
        <w:tab/>
      </w:r>
      <w:r>
        <w:tab/>
      </w:r>
      <w:r>
        <w:tab/>
      </w:r>
      <w:r>
        <w:tab/>
      </w:r>
      <w:r>
        <w:tab/>
      </w:r>
      <w:r>
        <w:tab/>
      </w:r>
      <w:r>
        <w:tab/>
      </w:r>
      <w:r>
        <w:tab/>
      </w:r>
      <w:r w:rsidRPr="00111255">
        <w:t>Privredne (industrijske) zone, u kojima su smještena najvažnija industrijska i druga preduzeća, nalaze se uz glavne saobraćajnice koje vode dolinama rijeka i uglavnom su izmještene iz gradskih centara. Prvobitno su ih činila uglavnom industrijska preduzeća, pa je u njima dominirala industrijska funkcija. Međutim, danas su u njima smještena i trgovačka, građevinska, saobraćajna i druga preduzeća. Naime, proces privatizacije državnog vlasništva, zasnovan na tržišnim principima, doveo je do uništenja mnogih fabrika koje su u socijalističkom periodu bile glavni faktor teritorijalnog i populacionog razvoja većine gradskih naselja. Ovim procesima došlo je do gubitka velikog broja radnih mjesta u gradskim naseljima, čime je njihova privlačna snaga oslabila. To je rezultiralo i smanjenjem broja stanovnika u industrijskim gradskim naseljima, što se vidi na primjeru Tuzle</w:t>
      </w:r>
      <w:r>
        <w:t xml:space="preserve"> i Banovića. </w:t>
      </w:r>
      <w:r w:rsidRPr="00111255">
        <w:t>Osim pada ukupnog broja stanovnika, najveće gradsko naselje u slivu rijeke Spreče – Tuzla je u ovom, relativno kratkom periodu, izgubila i dosta toga što je u sebi imalo pridjev “tuzlanska” (mljekara, banka, robna kuća itd.) koje danas ili nose drugačije nazive ili su u vlasništvu, uglavnom, stranog kapitala. Istovremeno, u Tuzli, ali i u drugim gradskim naseljima, iako u manjoj mjeri, izgrađeni su prodajni saloni svjetskih automobilskih kuća, osiguravajuće kuće, razni poslovno stambeni objekti itd. koji su često predimenzionirani u odnosu na okolne objekte</w:t>
      </w:r>
      <w:r>
        <w:t xml:space="preserve">. </w:t>
      </w:r>
      <w:r w:rsidRPr="00111255">
        <w:t>Osim toga, na rubovima ovih zona vremenom je došlo do stambene izgradnje pa su formirane čitave četvrti (Drežnik, Suljetovići, Krojčica u Tuzli, Hajdarovac u Gračanici itd.). Prema tome, i privredne zone gradova u slivu Spreče se odlikuju svojom polifunkcionalnošću. U nekim gradovima, kao npr. u Banovićima, teži se formiranju značajnih privrednih zona na seoskim područjima, što je zamišljeno sa termoelektranom i cementarom koje trebaju biti izgrađene na području između Banovići Sela, Tulovića i Podgorja</w:t>
      </w:r>
      <w:r>
        <w:t>.</w:t>
      </w:r>
      <w:r>
        <w:rPr>
          <w:rStyle w:val="FootnoteReference"/>
        </w:rPr>
        <w:footnoteReference w:id="11"/>
      </w:r>
      <w:r w:rsidRPr="00111255">
        <w:t>Sve privredne zone su do danas znatno proširene u odnosu na vrijeme njihovog formiranja. Posebno širenje doživljavaju privredne zone na području Lukavca, Tuzle i Živinica za koje se može reći da teže međusobnom spajanju</w:t>
      </w:r>
      <w:r>
        <w:t>.</w:t>
      </w:r>
      <w:r>
        <w:tab/>
      </w:r>
      <w:r>
        <w:tab/>
      </w:r>
      <w:r>
        <w:tab/>
      </w:r>
      <w:r>
        <w:tab/>
      </w:r>
      <w:r>
        <w:tab/>
      </w:r>
      <w:r>
        <w:tab/>
      </w:r>
      <w:r>
        <w:tab/>
      </w:r>
      <w:r>
        <w:tab/>
      </w:r>
      <w:r>
        <w:tab/>
      </w:r>
      <w:r w:rsidRPr="00111255">
        <w:t>Zone rekreacije zauzimaju manju površinu gradskog zemljišta nego prethodne, a u svim gradskim naseljima, osim Tuzle u kojoj je zona rekreacije u samom centru, ove zone su ili na periferiji (Terme u Gračanici) ili potpuno izvan gradskog područja (Zlaća u Banovićima, Bistarac u Lukavcu, Bašigovci u Živinicama i dr.) Međutim, ako u ove zone uvrstimo i šumske površine onda je njihova zastupljenost znatno veća. Naime, površine pod šumama okružuju sva gradska naselja u slivu rijeke Spreče, a stanovništvo ih takođe koristi za odmor i rekreaciju.</w:t>
      </w:r>
      <w:r>
        <w:tab/>
      </w:r>
      <w:r>
        <w:tab/>
      </w:r>
      <w:r>
        <w:tab/>
      </w:r>
      <w:r>
        <w:tab/>
      </w:r>
      <w:r>
        <w:tab/>
      </w:r>
      <w:r>
        <w:tab/>
      </w:r>
      <w:r>
        <w:tab/>
      </w:r>
      <w:r>
        <w:tab/>
      </w:r>
      <w:r w:rsidRPr="00111255">
        <w:t>Okolinu gradskih naselja u slivu rijeke Spreče karakterizira i značajna zastupljenost poljoprivrednog zemljišta. U najvećoj mjeri ono je zastupljeno u Kalesiji, a u manjoj mjeri u svim ostalim gradovima. Poljoprivredno zemljište je uglavnom na gradskim periferijama i vezuje se sa poljoprivrednim površinama u seoskim naseljima. U posljednjih dvadesetak godina sve više dolazi do promjene namjene ovog zemljišta, odnosno njegovog pretvaranja u građevinsko zemljište</w:t>
      </w:r>
      <w:r>
        <w:t>.</w:t>
      </w:r>
      <w:r w:rsidRPr="00111255">
        <w:rPr>
          <w:rStyle w:val="FootnoteReference"/>
        </w:rPr>
        <w:footnoteReference w:id="12"/>
      </w:r>
      <w:r>
        <w:tab/>
      </w:r>
      <w:r>
        <w:tab/>
      </w:r>
      <w:r>
        <w:tab/>
      </w:r>
      <w:r>
        <w:tab/>
      </w:r>
      <w:r>
        <w:tab/>
      </w:r>
      <w:r w:rsidRPr="00111255">
        <w:t>Što se tiče gradskih funkcija, njihovo proučavanje ima poseban naučni interes, jer rezultati do kojih se dođe mogu da služe za praktične potrebe. Zbog toga je „</w:t>
      </w:r>
      <w:r w:rsidRPr="00111255">
        <w:rPr>
          <w:i/>
        </w:rPr>
        <w:t>bez poznavanja gradskih funkcija i njihovog utjecaja teško objasniti prostorne promjene i poduzeti planske akcije prostornog uređenja i regionalnog razvoja</w:t>
      </w:r>
      <w:r w:rsidRPr="00111255">
        <w:t>.“</w:t>
      </w:r>
      <w:r w:rsidRPr="00111255">
        <w:rPr>
          <w:rStyle w:val="FootnoteReference"/>
        </w:rPr>
        <w:footnoteReference w:id="13"/>
      </w:r>
      <w:r w:rsidRPr="00111255">
        <w:t xml:space="preserve"> Gradske funkcije se mogu klasificirati na više načina, a uvijek se javlja problem izbora relevantnih varijabli i parametara.</w:t>
      </w:r>
      <w:r w:rsidRPr="00111255">
        <w:rPr>
          <w:rStyle w:val="FootnoteReference"/>
        </w:rPr>
        <w:footnoteReference w:id="14"/>
      </w:r>
      <w:r w:rsidRPr="00111255">
        <w:t xml:space="preserve"> Parametri koje ćemo koristiti ovom prilikom, kako bi predstavili funkcionalnu klasifikaciju gradskih naselja u slivu rijeke Spreče, su brojevi registrovanih pravnih subjekata prema dj</w:t>
      </w:r>
      <w:r>
        <w:t>elatnostima koje razvrstava</w:t>
      </w:r>
      <w:r w:rsidRPr="00111255">
        <w:t xml:space="preserve"> statistička služba. Ona sve djelatnosti razvrstava u 17 grupa,</w:t>
      </w:r>
      <w:r w:rsidRPr="00111255">
        <w:rPr>
          <w:rStyle w:val="FootnoteReference"/>
        </w:rPr>
        <w:footnoteReference w:id="15"/>
      </w:r>
      <w:r w:rsidRPr="00111255">
        <w:t xml:space="preserve"> a za potrebe ovog rada zadnje dvije grupe (privatna domaćinstva sa zaposlenim osobljem i eksteritorijalne organizacije i tijela) nemaju nikakav značaj, pa ih nećemo uzeti u razmatranje. </w:t>
      </w:r>
      <w:r>
        <w:tab/>
      </w:r>
      <w:r>
        <w:tab/>
      </w:r>
      <w:r>
        <w:tab/>
      </w:r>
      <w:r>
        <w:tab/>
      </w:r>
      <w:r>
        <w:tab/>
      </w:r>
      <w:r>
        <w:tab/>
      </w:r>
      <w:r w:rsidRPr="00111255">
        <w:t>Za preostalih 15 djelatnosti ćemo utvrditi broj pravnih subjekata registrovanih u svakom gradu/općini, a zatim ćemo navedene djelatnosti grupisati po ekonomskim sektorima na: primarni, sekundarni i tercijarni i utvrditi koji sektori imaju veći, a koji manji značaj u slivu rijeke Spreče, odnosno u pojedinim gradskim naselji</w:t>
      </w:r>
      <w:r>
        <w:t>ma/općinama.</w:t>
      </w:r>
    </w:p>
    <w:p w:rsidR="00F04593" w:rsidRPr="00327B6E" w:rsidRDefault="00F04593" w:rsidP="00327B6E">
      <w:pPr>
        <w:pStyle w:val="Title"/>
        <w:rPr>
          <w:rFonts w:ascii="Times New Roman" w:hAnsi="Times New Roman"/>
          <w:i/>
          <w:sz w:val="22"/>
          <w:szCs w:val="22"/>
          <w:lang w:val="hr-HR"/>
        </w:rPr>
      </w:pPr>
      <w:r w:rsidRPr="00327B6E">
        <w:rPr>
          <w:rFonts w:ascii="Times New Roman" w:hAnsi="Times New Roman"/>
          <w:i/>
          <w:sz w:val="22"/>
          <w:szCs w:val="22"/>
          <w:lang w:val="hr-HR"/>
        </w:rPr>
        <w:t xml:space="preserve">Tabela 1. Broj registrovanih pravnih subjekata po djelatnostima u slivu rijeke Spreče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9"/>
        <w:gridCol w:w="2329"/>
        <w:gridCol w:w="900"/>
        <w:gridCol w:w="1054"/>
        <w:gridCol w:w="836"/>
        <w:gridCol w:w="900"/>
        <w:gridCol w:w="720"/>
        <w:gridCol w:w="835"/>
        <w:gridCol w:w="899"/>
      </w:tblGrid>
      <w:tr w:rsidR="00F04593" w:rsidRPr="00B20562" w:rsidTr="00327B6E">
        <w:trPr>
          <w:trHeight w:val="383"/>
          <w:jc w:val="center"/>
        </w:trPr>
        <w:tc>
          <w:tcPr>
            <w:tcW w:w="2718" w:type="dxa"/>
            <w:gridSpan w:val="2"/>
            <w:shd w:val="clear" w:color="auto" w:fill="C6D9F1"/>
            <w:vAlign w:val="center"/>
          </w:tcPr>
          <w:p w:rsidR="00F04593" w:rsidRPr="00B20562" w:rsidRDefault="00F04593" w:rsidP="00327B6E">
            <w:pPr>
              <w:pStyle w:val="Title"/>
              <w:rPr>
                <w:rFonts w:ascii="Times New Roman" w:hAnsi="Times New Roman"/>
                <w:b/>
                <w:sz w:val="20"/>
                <w:szCs w:val="20"/>
              </w:rPr>
            </w:pPr>
            <w:r w:rsidRPr="00B20562">
              <w:rPr>
                <w:rFonts w:ascii="Times New Roman" w:hAnsi="Times New Roman"/>
                <w:b/>
                <w:sz w:val="20"/>
                <w:szCs w:val="20"/>
              </w:rPr>
              <w:t>Djelatnost/općina</w:t>
            </w:r>
          </w:p>
        </w:tc>
        <w:tc>
          <w:tcPr>
            <w:tcW w:w="900" w:type="dxa"/>
            <w:shd w:val="clear" w:color="auto" w:fill="C6D9F1"/>
            <w:vAlign w:val="center"/>
          </w:tcPr>
          <w:p w:rsidR="00F04593" w:rsidRPr="00B20562" w:rsidRDefault="00F04593" w:rsidP="00327B6E">
            <w:pPr>
              <w:pStyle w:val="Title"/>
              <w:rPr>
                <w:rFonts w:ascii="Times New Roman" w:hAnsi="Times New Roman"/>
                <w:b/>
                <w:sz w:val="20"/>
                <w:szCs w:val="20"/>
              </w:rPr>
            </w:pPr>
            <w:r w:rsidRPr="00B20562">
              <w:rPr>
                <w:rFonts w:ascii="Times New Roman" w:hAnsi="Times New Roman"/>
                <w:b/>
                <w:sz w:val="20"/>
                <w:szCs w:val="20"/>
              </w:rPr>
              <w:t>Banovići</w:t>
            </w:r>
          </w:p>
        </w:tc>
        <w:tc>
          <w:tcPr>
            <w:tcW w:w="1054" w:type="dxa"/>
            <w:shd w:val="clear" w:color="auto" w:fill="C6D9F1"/>
            <w:vAlign w:val="center"/>
          </w:tcPr>
          <w:p w:rsidR="00F04593" w:rsidRPr="00B20562" w:rsidRDefault="00F04593" w:rsidP="00327B6E">
            <w:pPr>
              <w:pStyle w:val="Title"/>
              <w:rPr>
                <w:rFonts w:ascii="Times New Roman" w:hAnsi="Times New Roman"/>
                <w:b/>
                <w:sz w:val="20"/>
                <w:szCs w:val="20"/>
              </w:rPr>
            </w:pPr>
            <w:r w:rsidRPr="00B20562">
              <w:rPr>
                <w:rFonts w:ascii="Times New Roman" w:hAnsi="Times New Roman"/>
                <w:b/>
                <w:sz w:val="20"/>
                <w:szCs w:val="20"/>
              </w:rPr>
              <w:t>Gračanica</w:t>
            </w:r>
          </w:p>
        </w:tc>
        <w:tc>
          <w:tcPr>
            <w:tcW w:w="836" w:type="dxa"/>
            <w:shd w:val="clear" w:color="auto" w:fill="C6D9F1"/>
            <w:vAlign w:val="center"/>
          </w:tcPr>
          <w:p w:rsidR="00F04593" w:rsidRPr="00B20562" w:rsidRDefault="00F04593" w:rsidP="00327B6E">
            <w:pPr>
              <w:pStyle w:val="Title"/>
              <w:rPr>
                <w:rFonts w:ascii="Times New Roman" w:hAnsi="Times New Roman"/>
                <w:b/>
                <w:sz w:val="20"/>
                <w:szCs w:val="20"/>
              </w:rPr>
            </w:pPr>
            <w:r w:rsidRPr="00B20562">
              <w:rPr>
                <w:rFonts w:ascii="Times New Roman" w:hAnsi="Times New Roman"/>
                <w:b/>
                <w:sz w:val="20"/>
                <w:szCs w:val="20"/>
              </w:rPr>
              <w:t>Kalesija</w:t>
            </w:r>
          </w:p>
        </w:tc>
        <w:tc>
          <w:tcPr>
            <w:tcW w:w="900" w:type="dxa"/>
            <w:shd w:val="clear" w:color="auto" w:fill="C6D9F1"/>
            <w:vAlign w:val="center"/>
          </w:tcPr>
          <w:p w:rsidR="00F04593" w:rsidRPr="00B20562" w:rsidRDefault="00F04593" w:rsidP="00327B6E">
            <w:pPr>
              <w:pStyle w:val="Title"/>
              <w:rPr>
                <w:rFonts w:ascii="Times New Roman" w:hAnsi="Times New Roman"/>
                <w:b/>
                <w:sz w:val="20"/>
                <w:szCs w:val="20"/>
              </w:rPr>
            </w:pPr>
            <w:r w:rsidRPr="00B20562">
              <w:rPr>
                <w:rFonts w:ascii="Times New Roman" w:hAnsi="Times New Roman"/>
                <w:b/>
                <w:sz w:val="20"/>
                <w:szCs w:val="20"/>
              </w:rPr>
              <w:t>Lukavac</w:t>
            </w:r>
          </w:p>
        </w:tc>
        <w:tc>
          <w:tcPr>
            <w:tcW w:w="720" w:type="dxa"/>
            <w:shd w:val="clear" w:color="auto" w:fill="C6D9F1"/>
            <w:vAlign w:val="center"/>
          </w:tcPr>
          <w:p w:rsidR="00F04593" w:rsidRPr="00B20562" w:rsidRDefault="00F04593" w:rsidP="00327B6E">
            <w:pPr>
              <w:pStyle w:val="Title"/>
              <w:rPr>
                <w:rFonts w:ascii="Times New Roman" w:hAnsi="Times New Roman"/>
                <w:b/>
                <w:sz w:val="20"/>
                <w:szCs w:val="20"/>
              </w:rPr>
            </w:pPr>
            <w:r w:rsidRPr="00B20562">
              <w:rPr>
                <w:rFonts w:ascii="Times New Roman" w:hAnsi="Times New Roman"/>
                <w:b/>
                <w:sz w:val="20"/>
                <w:szCs w:val="20"/>
              </w:rPr>
              <w:t>Tuzla</w:t>
            </w:r>
          </w:p>
        </w:tc>
        <w:tc>
          <w:tcPr>
            <w:tcW w:w="835" w:type="dxa"/>
            <w:shd w:val="clear" w:color="auto" w:fill="C6D9F1"/>
            <w:vAlign w:val="center"/>
          </w:tcPr>
          <w:p w:rsidR="00F04593" w:rsidRPr="00B20562" w:rsidRDefault="00F04593" w:rsidP="00327B6E">
            <w:pPr>
              <w:pStyle w:val="Title"/>
              <w:rPr>
                <w:rFonts w:ascii="Times New Roman" w:hAnsi="Times New Roman"/>
                <w:b/>
                <w:sz w:val="20"/>
                <w:szCs w:val="20"/>
              </w:rPr>
            </w:pPr>
            <w:r w:rsidRPr="00B20562">
              <w:rPr>
                <w:rFonts w:ascii="Times New Roman" w:hAnsi="Times New Roman"/>
                <w:b/>
                <w:sz w:val="20"/>
                <w:szCs w:val="20"/>
              </w:rPr>
              <w:t>Živinice</w:t>
            </w:r>
          </w:p>
        </w:tc>
        <w:tc>
          <w:tcPr>
            <w:tcW w:w="899" w:type="dxa"/>
            <w:shd w:val="clear" w:color="auto" w:fill="C6D9F1"/>
            <w:vAlign w:val="center"/>
          </w:tcPr>
          <w:p w:rsidR="00F04593" w:rsidRPr="00B20562" w:rsidRDefault="00F04593" w:rsidP="00327B6E">
            <w:pPr>
              <w:pStyle w:val="Title"/>
              <w:rPr>
                <w:rFonts w:ascii="Times New Roman" w:hAnsi="Times New Roman"/>
                <w:b/>
                <w:sz w:val="20"/>
                <w:szCs w:val="20"/>
              </w:rPr>
            </w:pPr>
            <w:r w:rsidRPr="00B20562">
              <w:rPr>
                <w:rFonts w:ascii="Times New Roman" w:hAnsi="Times New Roman"/>
                <w:b/>
                <w:sz w:val="20"/>
                <w:szCs w:val="20"/>
              </w:rPr>
              <w:t>Ukupno</w:t>
            </w:r>
          </w:p>
        </w:tc>
      </w:tr>
      <w:tr w:rsidR="00F04593" w:rsidRPr="00B20562" w:rsidTr="00327B6E">
        <w:trPr>
          <w:trHeight w:val="366"/>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A</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Poljoprivredaišumarstvo</w:t>
            </w:r>
          </w:p>
        </w:tc>
        <w:tc>
          <w:tcPr>
            <w:tcW w:w="90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6</w:t>
            </w:r>
          </w:p>
        </w:tc>
        <w:tc>
          <w:tcPr>
            <w:tcW w:w="1054"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33</w:t>
            </w:r>
          </w:p>
        </w:tc>
        <w:tc>
          <w:tcPr>
            <w:tcW w:w="836"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10</w:t>
            </w:r>
          </w:p>
        </w:tc>
        <w:tc>
          <w:tcPr>
            <w:tcW w:w="90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4</w:t>
            </w:r>
          </w:p>
        </w:tc>
        <w:tc>
          <w:tcPr>
            <w:tcW w:w="72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21</w:t>
            </w:r>
          </w:p>
        </w:tc>
        <w:tc>
          <w:tcPr>
            <w:tcW w:w="835"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7</w:t>
            </w:r>
          </w:p>
        </w:tc>
        <w:tc>
          <w:tcPr>
            <w:tcW w:w="899"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81</w:t>
            </w:r>
          </w:p>
        </w:tc>
      </w:tr>
      <w:tr w:rsidR="00F04593" w:rsidRPr="00B20562" w:rsidTr="00327B6E">
        <w:trPr>
          <w:trHeight w:val="366"/>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B</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Ribarstvo</w:t>
            </w:r>
          </w:p>
        </w:tc>
        <w:tc>
          <w:tcPr>
            <w:tcW w:w="90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w:t>
            </w:r>
          </w:p>
        </w:tc>
        <w:tc>
          <w:tcPr>
            <w:tcW w:w="1054"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w:t>
            </w:r>
          </w:p>
        </w:tc>
        <w:tc>
          <w:tcPr>
            <w:tcW w:w="836"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w:t>
            </w:r>
          </w:p>
        </w:tc>
        <w:tc>
          <w:tcPr>
            <w:tcW w:w="90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w:t>
            </w:r>
          </w:p>
        </w:tc>
        <w:tc>
          <w:tcPr>
            <w:tcW w:w="72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2</w:t>
            </w:r>
          </w:p>
        </w:tc>
        <w:tc>
          <w:tcPr>
            <w:tcW w:w="835"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w:t>
            </w:r>
          </w:p>
        </w:tc>
        <w:tc>
          <w:tcPr>
            <w:tcW w:w="899"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2</w:t>
            </w:r>
          </w:p>
        </w:tc>
      </w:tr>
      <w:tr w:rsidR="00F04593" w:rsidRPr="00B20562" w:rsidTr="00327B6E">
        <w:trPr>
          <w:trHeight w:val="366"/>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C</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Vađenjerudaikamena</w:t>
            </w:r>
          </w:p>
        </w:tc>
        <w:tc>
          <w:tcPr>
            <w:tcW w:w="90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3</w:t>
            </w:r>
          </w:p>
        </w:tc>
        <w:tc>
          <w:tcPr>
            <w:tcW w:w="1054"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4</w:t>
            </w:r>
          </w:p>
        </w:tc>
        <w:tc>
          <w:tcPr>
            <w:tcW w:w="836"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2</w:t>
            </w:r>
          </w:p>
        </w:tc>
        <w:tc>
          <w:tcPr>
            <w:tcW w:w="90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5</w:t>
            </w:r>
          </w:p>
        </w:tc>
        <w:tc>
          <w:tcPr>
            <w:tcW w:w="72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7</w:t>
            </w:r>
          </w:p>
        </w:tc>
        <w:tc>
          <w:tcPr>
            <w:tcW w:w="835"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4</w:t>
            </w:r>
          </w:p>
        </w:tc>
        <w:tc>
          <w:tcPr>
            <w:tcW w:w="899"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25</w:t>
            </w:r>
          </w:p>
        </w:tc>
      </w:tr>
      <w:tr w:rsidR="00F04593" w:rsidRPr="00B20562" w:rsidTr="00327B6E">
        <w:trPr>
          <w:trHeight w:val="383"/>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D</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Prerađivačkaindustrija</w:t>
            </w:r>
          </w:p>
        </w:tc>
        <w:tc>
          <w:tcPr>
            <w:tcW w:w="90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29</w:t>
            </w:r>
          </w:p>
        </w:tc>
        <w:tc>
          <w:tcPr>
            <w:tcW w:w="1054"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184</w:t>
            </w:r>
          </w:p>
        </w:tc>
        <w:tc>
          <w:tcPr>
            <w:tcW w:w="836"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49</w:t>
            </w:r>
          </w:p>
        </w:tc>
        <w:tc>
          <w:tcPr>
            <w:tcW w:w="90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84</w:t>
            </w:r>
          </w:p>
        </w:tc>
        <w:tc>
          <w:tcPr>
            <w:tcW w:w="72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291</w:t>
            </w:r>
          </w:p>
        </w:tc>
        <w:tc>
          <w:tcPr>
            <w:tcW w:w="835"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89</w:t>
            </w:r>
          </w:p>
        </w:tc>
        <w:tc>
          <w:tcPr>
            <w:tcW w:w="899"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726</w:t>
            </w:r>
          </w:p>
        </w:tc>
      </w:tr>
      <w:tr w:rsidR="00F04593" w:rsidRPr="00B20562" w:rsidTr="00327B6E">
        <w:trPr>
          <w:trHeight w:val="383"/>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E</w:t>
            </w:r>
          </w:p>
          <w:p w:rsidR="00F04593" w:rsidRPr="00B20562" w:rsidRDefault="00F04593" w:rsidP="00327B6E">
            <w:pPr>
              <w:pStyle w:val="Title"/>
              <w:rPr>
                <w:rFonts w:ascii="Times New Roman" w:hAnsi="Times New Roman"/>
                <w:sz w:val="20"/>
                <w:szCs w:val="20"/>
              </w:rPr>
            </w:pP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Proizv. snabdijevanjeelek.energijom, plinomivodom</w:t>
            </w:r>
          </w:p>
        </w:tc>
        <w:tc>
          <w:tcPr>
            <w:tcW w:w="90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2</w:t>
            </w:r>
          </w:p>
        </w:tc>
        <w:tc>
          <w:tcPr>
            <w:tcW w:w="1054"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4</w:t>
            </w:r>
          </w:p>
        </w:tc>
        <w:tc>
          <w:tcPr>
            <w:tcW w:w="836"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2</w:t>
            </w:r>
          </w:p>
        </w:tc>
        <w:tc>
          <w:tcPr>
            <w:tcW w:w="90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3</w:t>
            </w:r>
          </w:p>
        </w:tc>
        <w:tc>
          <w:tcPr>
            <w:tcW w:w="720"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8</w:t>
            </w:r>
          </w:p>
        </w:tc>
        <w:tc>
          <w:tcPr>
            <w:tcW w:w="835"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2</w:t>
            </w:r>
          </w:p>
        </w:tc>
        <w:tc>
          <w:tcPr>
            <w:tcW w:w="899" w:type="dxa"/>
            <w:vAlign w:val="center"/>
          </w:tcPr>
          <w:p w:rsidR="00F04593" w:rsidRPr="00B20562" w:rsidRDefault="00F04593" w:rsidP="00327B6E">
            <w:pPr>
              <w:pStyle w:val="Title"/>
              <w:jc w:val="right"/>
              <w:rPr>
                <w:rFonts w:ascii="Times New Roman" w:hAnsi="Times New Roman"/>
                <w:sz w:val="20"/>
                <w:szCs w:val="20"/>
              </w:rPr>
            </w:pPr>
            <w:r w:rsidRPr="00B20562">
              <w:rPr>
                <w:rFonts w:ascii="Times New Roman" w:hAnsi="Times New Roman"/>
                <w:sz w:val="20"/>
                <w:szCs w:val="20"/>
              </w:rPr>
              <w:t>21</w:t>
            </w:r>
          </w:p>
        </w:tc>
      </w:tr>
      <w:tr w:rsidR="00F04593" w:rsidRPr="00B20562" w:rsidTr="00327B6E">
        <w:trPr>
          <w:trHeight w:val="383"/>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F</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Građevinarstvo</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13</w:t>
            </w:r>
          </w:p>
        </w:tc>
        <w:tc>
          <w:tcPr>
            <w:tcW w:w="1054"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47</w:t>
            </w:r>
          </w:p>
        </w:tc>
        <w:tc>
          <w:tcPr>
            <w:tcW w:w="836"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27</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45</w:t>
            </w:r>
          </w:p>
        </w:tc>
        <w:tc>
          <w:tcPr>
            <w:tcW w:w="72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208</w:t>
            </w:r>
          </w:p>
        </w:tc>
        <w:tc>
          <w:tcPr>
            <w:tcW w:w="835"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58</w:t>
            </w:r>
          </w:p>
        </w:tc>
        <w:tc>
          <w:tcPr>
            <w:tcW w:w="899"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398</w:t>
            </w:r>
          </w:p>
        </w:tc>
      </w:tr>
      <w:tr w:rsidR="00F04593" w:rsidRPr="00B20562" w:rsidTr="00327B6E">
        <w:trPr>
          <w:trHeight w:val="383"/>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G</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Trgovina: popravakmotornihvozila, motocikala, predmetazavlastituupotrebuidomaćinstva</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56</w:t>
            </w:r>
          </w:p>
        </w:tc>
        <w:tc>
          <w:tcPr>
            <w:tcW w:w="1054"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193</w:t>
            </w:r>
          </w:p>
        </w:tc>
        <w:tc>
          <w:tcPr>
            <w:tcW w:w="836"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102</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121</w:t>
            </w:r>
          </w:p>
        </w:tc>
        <w:tc>
          <w:tcPr>
            <w:tcW w:w="72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976</w:t>
            </w:r>
          </w:p>
        </w:tc>
        <w:tc>
          <w:tcPr>
            <w:tcW w:w="835"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228</w:t>
            </w:r>
          </w:p>
        </w:tc>
        <w:tc>
          <w:tcPr>
            <w:tcW w:w="899"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1676</w:t>
            </w:r>
          </w:p>
        </w:tc>
      </w:tr>
      <w:tr w:rsidR="00F04593" w:rsidRPr="00B20562" w:rsidTr="00327B6E">
        <w:trPr>
          <w:trHeight w:val="383"/>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H</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Ugostiteljstvo</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3</w:t>
            </w:r>
          </w:p>
        </w:tc>
        <w:tc>
          <w:tcPr>
            <w:tcW w:w="1054"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6</w:t>
            </w:r>
          </w:p>
        </w:tc>
        <w:tc>
          <w:tcPr>
            <w:tcW w:w="836"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5</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13</w:t>
            </w:r>
          </w:p>
        </w:tc>
        <w:tc>
          <w:tcPr>
            <w:tcW w:w="72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68</w:t>
            </w:r>
          </w:p>
        </w:tc>
        <w:tc>
          <w:tcPr>
            <w:tcW w:w="835"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11</w:t>
            </w:r>
          </w:p>
        </w:tc>
        <w:tc>
          <w:tcPr>
            <w:tcW w:w="899"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106</w:t>
            </w:r>
          </w:p>
        </w:tc>
      </w:tr>
      <w:tr w:rsidR="00F04593" w:rsidRPr="00B20562" w:rsidTr="00327B6E">
        <w:trPr>
          <w:trHeight w:val="383"/>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I</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Prevoz, skladištenjeiveze</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32</w:t>
            </w:r>
          </w:p>
        </w:tc>
        <w:tc>
          <w:tcPr>
            <w:tcW w:w="1054"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56</w:t>
            </w:r>
          </w:p>
        </w:tc>
        <w:tc>
          <w:tcPr>
            <w:tcW w:w="836"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23</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27</w:t>
            </w:r>
          </w:p>
        </w:tc>
        <w:tc>
          <w:tcPr>
            <w:tcW w:w="72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247</w:t>
            </w:r>
          </w:p>
        </w:tc>
        <w:tc>
          <w:tcPr>
            <w:tcW w:w="835"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59</w:t>
            </w:r>
          </w:p>
        </w:tc>
        <w:tc>
          <w:tcPr>
            <w:tcW w:w="899"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444</w:t>
            </w:r>
          </w:p>
        </w:tc>
      </w:tr>
      <w:tr w:rsidR="00F04593" w:rsidRPr="00B20562" w:rsidTr="00327B6E">
        <w:trPr>
          <w:trHeight w:val="383"/>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J</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Finansijskoposredovanje</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w:t>
            </w:r>
          </w:p>
        </w:tc>
        <w:tc>
          <w:tcPr>
            <w:tcW w:w="1054"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w:t>
            </w:r>
          </w:p>
        </w:tc>
        <w:tc>
          <w:tcPr>
            <w:tcW w:w="836"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w:t>
            </w:r>
          </w:p>
        </w:tc>
        <w:tc>
          <w:tcPr>
            <w:tcW w:w="72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16</w:t>
            </w:r>
          </w:p>
        </w:tc>
        <w:tc>
          <w:tcPr>
            <w:tcW w:w="835"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w:t>
            </w:r>
          </w:p>
        </w:tc>
        <w:tc>
          <w:tcPr>
            <w:tcW w:w="899"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16</w:t>
            </w:r>
          </w:p>
        </w:tc>
      </w:tr>
      <w:tr w:rsidR="00F04593" w:rsidRPr="00B20562" w:rsidTr="00327B6E">
        <w:trPr>
          <w:trHeight w:val="383"/>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K</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Poslovanjenekretninama, iznajmljivanjeiposlovnedjelatnosti</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12</w:t>
            </w:r>
          </w:p>
        </w:tc>
        <w:tc>
          <w:tcPr>
            <w:tcW w:w="1054"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35</w:t>
            </w:r>
          </w:p>
        </w:tc>
        <w:tc>
          <w:tcPr>
            <w:tcW w:w="836"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16</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33</w:t>
            </w:r>
          </w:p>
        </w:tc>
        <w:tc>
          <w:tcPr>
            <w:tcW w:w="72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350</w:t>
            </w:r>
          </w:p>
        </w:tc>
        <w:tc>
          <w:tcPr>
            <w:tcW w:w="835"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30</w:t>
            </w:r>
          </w:p>
        </w:tc>
        <w:tc>
          <w:tcPr>
            <w:tcW w:w="899"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476</w:t>
            </w:r>
          </w:p>
        </w:tc>
      </w:tr>
      <w:tr w:rsidR="00F04593" w:rsidRPr="00B20562" w:rsidTr="00327B6E">
        <w:trPr>
          <w:trHeight w:val="383"/>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L</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Državnaupravaiodbrana, obaveznosocijalnoosiguranje</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21</w:t>
            </w:r>
          </w:p>
        </w:tc>
        <w:tc>
          <w:tcPr>
            <w:tcW w:w="1054"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25</w:t>
            </w:r>
          </w:p>
        </w:tc>
        <w:tc>
          <w:tcPr>
            <w:tcW w:w="836"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25</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38</w:t>
            </w:r>
          </w:p>
        </w:tc>
        <w:tc>
          <w:tcPr>
            <w:tcW w:w="72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83</w:t>
            </w:r>
          </w:p>
        </w:tc>
        <w:tc>
          <w:tcPr>
            <w:tcW w:w="835"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29</w:t>
            </w:r>
          </w:p>
        </w:tc>
        <w:tc>
          <w:tcPr>
            <w:tcW w:w="899"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221</w:t>
            </w:r>
          </w:p>
        </w:tc>
      </w:tr>
      <w:tr w:rsidR="00F04593" w:rsidRPr="00B20562" w:rsidTr="00327B6E">
        <w:trPr>
          <w:trHeight w:val="383"/>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M</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Obrazovanje</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10</w:t>
            </w:r>
          </w:p>
        </w:tc>
        <w:tc>
          <w:tcPr>
            <w:tcW w:w="1054"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23</w:t>
            </w:r>
          </w:p>
        </w:tc>
        <w:tc>
          <w:tcPr>
            <w:tcW w:w="836"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16</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23</w:t>
            </w:r>
          </w:p>
        </w:tc>
        <w:tc>
          <w:tcPr>
            <w:tcW w:w="72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103</w:t>
            </w:r>
          </w:p>
        </w:tc>
        <w:tc>
          <w:tcPr>
            <w:tcW w:w="835"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19</w:t>
            </w:r>
          </w:p>
        </w:tc>
        <w:tc>
          <w:tcPr>
            <w:tcW w:w="899"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194</w:t>
            </w:r>
          </w:p>
        </w:tc>
      </w:tr>
      <w:tr w:rsidR="00F04593" w:rsidRPr="00B20562" w:rsidTr="00327B6E">
        <w:trPr>
          <w:trHeight w:val="383"/>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N</w:t>
            </w:r>
          </w:p>
        </w:tc>
        <w:tc>
          <w:tcPr>
            <w:tcW w:w="232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Zdravstveniisocijalni rad</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17</w:t>
            </w:r>
          </w:p>
        </w:tc>
        <w:tc>
          <w:tcPr>
            <w:tcW w:w="1054"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19</w:t>
            </w:r>
          </w:p>
        </w:tc>
        <w:tc>
          <w:tcPr>
            <w:tcW w:w="836"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9</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24</w:t>
            </w:r>
          </w:p>
        </w:tc>
        <w:tc>
          <w:tcPr>
            <w:tcW w:w="72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140</w:t>
            </w:r>
          </w:p>
        </w:tc>
        <w:tc>
          <w:tcPr>
            <w:tcW w:w="835"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21</w:t>
            </w:r>
          </w:p>
        </w:tc>
        <w:tc>
          <w:tcPr>
            <w:tcW w:w="899"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230</w:t>
            </w:r>
          </w:p>
        </w:tc>
      </w:tr>
      <w:tr w:rsidR="00F04593" w:rsidRPr="00B20562" w:rsidTr="00327B6E">
        <w:trPr>
          <w:trHeight w:val="399"/>
          <w:jc w:val="center"/>
        </w:trPr>
        <w:tc>
          <w:tcPr>
            <w:tcW w:w="389" w:type="dxa"/>
            <w:vAlign w:val="center"/>
          </w:tcPr>
          <w:p w:rsidR="00F04593" w:rsidRPr="00B20562" w:rsidRDefault="00F04593" w:rsidP="00327B6E">
            <w:pPr>
              <w:pStyle w:val="Title"/>
              <w:rPr>
                <w:rFonts w:ascii="Times New Roman" w:hAnsi="Times New Roman"/>
                <w:sz w:val="20"/>
                <w:szCs w:val="20"/>
              </w:rPr>
            </w:pPr>
            <w:r w:rsidRPr="00B20562">
              <w:rPr>
                <w:rFonts w:ascii="Times New Roman" w:hAnsi="Times New Roman"/>
                <w:sz w:val="20"/>
                <w:szCs w:val="20"/>
              </w:rPr>
              <w:t>O</w:t>
            </w:r>
          </w:p>
        </w:tc>
        <w:tc>
          <w:tcPr>
            <w:tcW w:w="2329" w:type="dxa"/>
            <w:vAlign w:val="center"/>
          </w:tcPr>
          <w:p w:rsidR="00F04593" w:rsidRPr="00B20562" w:rsidRDefault="00F04593" w:rsidP="00327B6E">
            <w:pPr>
              <w:pStyle w:val="Title"/>
              <w:rPr>
                <w:rFonts w:ascii="Times New Roman" w:hAnsi="Times New Roman"/>
                <w:sz w:val="20"/>
                <w:szCs w:val="20"/>
                <w:lang w:val="de-DE"/>
              </w:rPr>
            </w:pPr>
            <w:r w:rsidRPr="00B20562">
              <w:rPr>
                <w:rFonts w:ascii="Times New Roman" w:hAnsi="Times New Roman"/>
                <w:sz w:val="20"/>
                <w:szCs w:val="20"/>
                <w:lang w:val="de-DE"/>
              </w:rPr>
              <w:t>Ostale javne komunalne, društ. i vlastite uslužne djelatnosti</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79</w:t>
            </w:r>
          </w:p>
        </w:tc>
        <w:tc>
          <w:tcPr>
            <w:tcW w:w="1054"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93</w:t>
            </w:r>
          </w:p>
        </w:tc>
        <w:tc>
          <w:tcPr>
            <w:tcW w:w="836"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83</w:t>
            </w:r>
          </w:p>
        </w:tc>
        <w:tc>
          <w:tcPr>
            <w:tcW w:w="90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150</w:t>
            </w:r>
          </w:p>
        </w:tc>
        <w:tc>
          <w:tcPr>
            <w:tcW w:w="720"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793</w:t>
            </w:r>
          </w:p>
        </w:tc>
        <w:tc>
          <w:tcPr>
            <w:tcW w:w="835"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141</w:t>
            </w:r>
          </w:p>
        </w:tc>
        <w:tc>
          <w:tcPr>
            <w:tcW w:w="899" w:type="dxa"/>
            <w:vAlign w:val="center"/>
          </w:tcPr>
          <w:p w:rsidR="00F04593" w:rsidRPr="00B20562" w:rsidRDefault="00F04593" w:rsidP="009018BE">
            <w:pPr>
              <w:pStyle w:val="Title"/>
              <w:jc w:val="right"/>
              <w:rPr>
                <w:rFonts w:ascii="Times New Roman" w:hAnsi="Times New Roman"/>
                <w:sz w:val="20"/>
                <w:szCs w:val="20"/>
              </w:rPr>
            </w:pPr>
            <w:r w:rsidRPr="00B20562">
              <w:rPr>
                <w:rFonts w:ascii="Times New Roman" w:hAnsi="Times New Roman"/>
                <w:sz w:val="20"/>
                <w:szCs w:val="20"/>
              </w:rPr>
              <w:t>1339</w:t>
            </w:r>
          </w:p>
        </w:tc>
      </w:tr>
    </w:tbl>
    <w:p w:rsidR="00F04593" w:rsidRPr="00327B6E" w:rsidRDefault="00F04593" w:rsidP="00327B6E">
      <w:pPr>
        <w:pStyle w:val="Title"/>
        <w:rPr>
          <w:rFonts w:ascii="Times New Roman" w:hAnsi="Times New Roman"/>
          <w:i/>
          <w:sz w:val="20"/>
          <w:szCs w:val="20"/>
          <w:lang w:val="hr-HR"/>
        </w:rPr>
      </w:pPr>
      <w:r w:rsidRPr="00327B6E">
        <w:rPr>
          <w:rStyle w:val="TitleChar"/>
          <w:rFonts w:ascii="Times New Roman" w:hAnsi="Times New Roman"/>
          <w:i/>
          <w:sz w:val="20"/>
          <w:szCs w:val="20"/>
          <w:lang w:eastAsia="en-US"/>
        </w:rPr>
        <w:t>Izvor: Federalnizavodzastatistiku, Tuzlanskikanton u brojkama, Sarajevo 2013, str. 9</w:t>
      </w:r>
      <w:r w:rsidRPr="00327B6E">
        <w:rPr>
          <w:rFonts w:ascii="Times New Roman" w:hAnsi="Times New Roman"/>
          <w:i/>
          <w:sz w:val="20"/>
          <w:szCs w:val="20"/>
          <w:lang w:val="hr-HR"/>
        </w:rPr>
        <w:t>.</w:t>
      </w:r>
    </w:p>
    <w:p w:rsidR="00F04593" w:rsidRDefault="00F04593" w:rsidP="00A57BAE">
      <w:pPr>
        <w:pStyle w:val="tekst"/>
        <w:spacing w:line="240" w:lineRule="auto"/>
      </w:pPr>
    </w:p>
    <w:p w:rsidR="00F04593" w:rsidRPr="00111255" w:rsidRDefault="00F04593" w:rsidP="00327B6E">
      <w:pPr>
        <w:pStyle w:val="tekst"/>
        <w:spacing w:line="240" w:lineRule="auto"/>
      </w:pPr>
      <w:r w:rsidRPr="00111255">
        <w:t>Izuzmemo li grupu „O“ koja označava sve preostale djelatnosti, na osnovu podataka prezentiranih u tabeli možemo zaključiti da su gradska naselja/općine u sliv</w:t>
      </w:r>
      <w:r>
        <w:t>u rijeke Spreče polifunkcionalna</w:t>
      </w:r>
      <w:r w:rsidRPr="00111255">
        <w:t xml:space="preserve">, te da u njima dominiraju trgovačka i prerađivačko industrijska funkcija. </w:t>
      </w:r>
      <w:r>
        <w:tab/>
      </w:r>
      <w:r>
        <w:tab/>
      </w:r>
      <w:r>
        <w:tab/>
      </w:r>
      <w:r>
        <w:tab/>
      </w:r>
      <w:r>
        <w:tab/>
      </w:r>
      <w:r>
        <w:tab/>
      </w:r>
      <w:r>
        <w:tab/>
      </w:r>
      <w:r>
        <w:tab/>
      </w:r>
      <w:r>
        <w:tab/>
      </w:r>
      <w:r>
        <w:tab/>
      </w:r>
      <w:r w:rsidRPr="00111255">
        <w:t xml:space="preserve">Od ukupno 1676 pravnih subjekata iz oblasti trgovine, najveći broj njih registrovano je u Tuzli (976) i Živinicama (228), a najmanji u Banovićima (56). Ipak, i sa ovim brojem registrovanih privrednih subjekata, trgovina je u Banovićima zastupljenija od svih drugih djelatnosti. Slična situacija je i u Kalesiji, u kojoj su 102 subjekta iz trgovinske djelatnosti. U oblasti prerađivačke industrije, značajno mjesto zauzima Gračanica sa 184 privredna subjekta, a samo je u Tuzli veći broj registrovanih subjekata iz ove djelatnosti (291). U Živinicama je, također, prerađivačka industrija na drugom mjestu, kao i u Kalesiji i Lukavcu, dok drugo mjesto u Banovićima zauzimaju djelatnosti iz oblasti prevoza, skladištenja i veza. I ovih privrednih subjekata najviše je registrovano u Tuzli (247), a slijede Živinice (59) i Gračanica (56). Više od polovine od ukupnog broja privrednih subjekata iz građevinske djelatnosti registrovano je u Tuzli, a osim građevinske djelatnosti, u Tuzli je natpolovičan broj registrovanih subjekata i iz oblasti zdravstva, obrazovanja, poslovanja nekretninama, finansijskog posredovanja, ugostiteljstva i prevoza. </w:t>
      </w:r>
      <w:r>
        <w:tab/>
      </w:r>
      <w:r>
        <w:tab/>
      </w:r>
      <w:r>
        <w:tab/>
      </w:r>
      <w:r>
        <w:tab/>
      </w:r>
      <w:r>
        <w:tab/>
      </w:r>
      <w:r>
        <w:tab/>
      </w:r>
      <w:r>
        <w:tab/>
      </w:r>
      <w:r>
        <w:tab/>
      </w:r>
      <w:r>
        <w:tab/>
      </w:r>
      <w:r w:rsidRPr="00111255">
        <w:t>Najveći broj registrovanih privrednih subjekata iz oblasti poljoprivredne djelatnosti i šumarstva je u Gračanici. Iz prezentiranih podataka vidimo i da su gradska naselja vremenom dobila i određene savremene funkcije kao što su finansijsko posredovanje koje je karakteristično za Tuzlu, te poslovanje nekretninama, iznajmljivanje i poslovne djelatnosti. Također, navedeni podaci ukazuju da je Tuzla po svojim funkcijama dominantno gradsko naselje u slivu rijeke Spreče i da sva ostala naselja umnogome ovise o njenim funkcijama.Kada djelatnosti navedene u prethodnoj tabeli razvrstamo po ekonomskim sektorima, pri čemu su djelatnosti označene slovima A i B primarnog, djelatnosti označene slovima C, D, E i F sekundarnog, a preostale djelatnosti tercijarnog sektora, uočavamo da su djelatnosti tercijarnog sektora najzastupljenije</w:t>
      </w:r>
      <w:r w:rsidRPr="006D2589">
        <w:t>, odnosno</w:t>
      </w:r>
      <w:r w:rsidRPr="00111255">
        <w:rPr>
          <w:lang w:eastAsia="en-US"/>
        </w:rPr>
        <w:t>da se čak 78,95% od ukupnog broja pravnih subjekata bavi tercijarnim djelatnostima. Istovremeno, učešće sekundarnih djelatnosti iznosi 19,65%, dok primarne djelatnosti učestvuju sa svega 1,40% u ukupnom broju.</w:t>
      </w:r>
    </w:p>
    <w:p w:rsidR="00F04593" w:rsidRPr="00111255" w:rsidRDefault="00F04593" w:rsidP="00A57BAE">
      <w:pPr>
        <w:pStyle w:val="podnaslov"/>
        <w:ind w:left="0"/>
      </w:pPr>
      <w:r w:rsidRPr="00111255">
        <w:t>2. Obilježja populacijsko-demografske strukture</w:t>
      </w:r>
    </w:p>
    <w:p w:rsidR="00F04593" w:rsidRPr="00111255" w:rsidRDefault="00F04593" w:rsidP="00A57BAE">
      <w:pPr>
        <w:pStyle w:val="tekst"/>
        <w:spacing w:line="240" w:lineRule="auto"/>
        <w:rPr>
          <w:lang w:eastAsia="en-US"/>
        </w:rPr>
      </w:pPr>
      <w:r>
        <w:rPr>
          <w:lang w:eastAsia="en-US"/>
        </w:rPr>
        <w:t>U</w:t>
      </w:r>
      <w:r w:rsidRPr="00111255">
        <w:rPr>
          <w:lang w:eastAsia="en-US"/>
        </w:rPr>
        <w:t xml:space="preserve">kupan broj stanovnika u svakom pojedinačnom gradskom naselju u slivu </w:t>
      </w:r>
      <w:r w:rsidRPr="00111255">
        <w:t xml:space="preserve">rijeke </w:t>
      </w:r>
      <w:r w:rsidRPr="00111255">
        <w:rPr>
          <w:lang w:eastAsia="en-US"/>
        </w:rPr>
        <w:t>Spreče tokom socijalističkog perioda bio je permanentno u porastu. Izuzetak je predstavljala jedino Kalesija u periodu 1981-1991. godine i to zbog administrativnih promjena. Ukupan broj gradskog stanovništva je u socijalističkom periodu porastao sa 33083 stanovnika (1948. godine) na 132440 stanovnika (1991. godine), odnosno za 99357 stanovnika. Međutim, u posljednjih 20-ak godina, odnosno do popisa stanovništva 2013. godine,  ukupan broj gradskog stanovništva je porastao na 132874, što je za samo 434 stanovnika više u odnosu na broj stanovnika iz 1991. godine. U nekim je gradskim naseljima u periodu 1991-2013. godine čak došlo do sma</w:t>
      </w:r>
      <w:r>
        <w:rPr>
          <w:lang w:eastAsia="en-US"/>
        </w:rPr>
        <w:t>njenja ukupnog broja stanovnika.</w:t>
      </w:r>
    </w:p>
    <w:p w:rsidR="00F04593" w:rsidRPr="009018BE" w:rsidRDefault="00F04593" w:rsidP="00A57BAE">
      <w:pPr>
        <w:rPr>
          <w:i/>
          <w:sz w:val="22"/>
          <w:szCs w:val="22"/>
          <w:lang w:val="hr-HR"/>
        </w:rPr>
      </w:pPr>
      <w:r w:rsidRPr="009018BE">
        <w:rPr>
          <w:i/>
          <w:sz w:val="22"/>
          <w:szCs w:val="22"/>
          <w:lang w:val="hr-HR"/>
        </w:rPr>
        <w:t xml:space="preserve"> Tabela 2. Broj stanovnika u gradskim naseljima krajem 20. i početkom 21. stoljeća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2177"/>
        <w:gridCol w:w="2078"/>
        <w:gridCol w:w="2339"/>
      </w:tblGrid>
      <w:tr w:rsidR="00F04593" w:rsidRPr="00B20562" w:rsidTr="00327B6E">
        <w:trPr>
          <w:trHeight w:val="295"/>
          <w:jc w:val="center"/>
        </w:trPr>
        <w:tc>
          <w:tcPr>
            <w:tcW w:w="2290" w:type="dxa"/>
            <w:shd w:val="clear" w:color="auto" w:fill="C6D9F1"/>
            <w:vAlign w:val="center"/>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b/>
                <w:sz w:val="22"/>
                <w:szCs w:val="22"/>
                <w:lang w:val="hr-HR"/>
              </w:rPr>
              <w:t>Grad/godina</w:t>
            </w:r>
          </w:p>
        </w:tc>
        <w:tc>
          <w:tcPr>
            <w:tcW w:w="2205" w:type="dxa"/>
            <w:shd w:val="clear" w:color="auto" w:fill="C6D9F1"/>
            <w:vAlign w:val="center"/>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b/>
                <w:sz w:val="22"/>
                <w:szCs w:val="22"/>
                <w:lang w:val="hr-HR"/>
              </w:rPr>
              <w:t>1991.</w:t>
            </w:r>
          </w:p>
        </w:tc>
        <w:tc>
          <w:tcPr>
            <w:tcW w:w="2104" w:type="dxa"/>
            <w:shd w:val="clear" w:color="auto" w:fill="C6D9F1"/>
            <w:vAlign w:val="center"/>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b/>
                <w:sz w:val="22"/>
                <w:szCs w:val="22"/>
                <w:lang w:val="hr-HR"/>
              </w:rPr>
              <w:t>2013.</w:t>
            </w:r>
          </w:p>
        </w:tc>
        <w:tc>
          <w:tcPr>
            <w:tcW w:w="2365" w:type="dxa"/>
            <w:shd w:val="clear" w:color="auto" w:fill="C6D9F1"/>
            <w:vAlign w:val="center"/>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b/>
                <w:sz w:val="22"/>
                <w:szCs w:val="22"/>
                <w:lang w:val="hr-HR"/>
              </w:rPr>
              <w:t>Razlika 2013/1991.</w:t>
            </w:r>
          </w:p>
        </w:tc>
      </w:tr>
      <w:tr w:rsidR="00F04593" w:rsidRPr="00B20562" w:rsidTr="009018BE">
        <w:trPr>
          <w:trHeight w:val="306"/>
          <w:jc w:val="center"/>
        </w:trPr>
        <w:tc>
          <w:tcPr>
            <w:tcW w:w="229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Tuzla</w:t>
            </w:r>
          </w:p>
        </w:tc>
        <w:tc>
          <w:tcPr>
            <w:tcW w:w="220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84.244</w:t>
            </w:r>
          </w:p>
        </w:tc>
        <w:tc>
          <w:tcPr>
            <w:tcW w:w="2104"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80.570</w:t>
            </w:r>
          </w:p>
        </w:tc>
        <w:tc>
          <w:tcPr>
            <w:tcW w:w="236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- 3.674</w:t>
            </w:r>
          </w:p>
        </w:tc>
      </w:tr>
      <w:tr w:rsidR="00F04593" w:rsidRPr="00B20562" w:rsidTr="009018BE">
        <w:trPr>
          <w:trHeight w:val="295"/>
          <w:jc w:val="center"/>
        </w:trPr>
        <w:tc>
          <w:tcPr>
            <w:tcW w:w="229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Gračanica</w:t>
            </w:r>
          </w:p>
        </w:tc>
        <w:tc>
          <w:tcPr>
            <w:tcW w:w="220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12.711</w:t>
            </w:r>
          </w:p>
        </w:tc>
        <w:tc>
          <w:tcPr>
            <w:tcW w:w="2104"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13.400</w:t>
            </w:r>
          </w:p>
        </w:tc>
        <w:tc>
          <w:tcPr>
            <w:tcW w:w="236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+ 689</w:t>
            </w:r>
          </w:p>
        </w:tc>
      </w:tr>
      <w:tr w:rsidR="00F04593" w:rsidRPr="00B20562" w:rsidTr="009018BE">
        <w:trPr>
          <w:trHeight w:val="295"/>
          <w:jc w:val="center"/>
        </w:trPr>
        <w:tc>
          <w:tcPr>
            <w:tcW w:w="229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Kalesija</w:t>
            </w:r>
          </w:p>
        </w:tc>
        <w:tc>
          <w:tcPr>
            <w:tcW w:w="220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2.208</w:t>
            </w:r>
          </w:p>
        </w:tc>
        <w:tc>
          <w:tcPr>
            <w:tcW w:w="2104"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2.220</w:t>
            </w:r>
          </w:p>
        </w:tc>
        <w:tc>
          <w:tcPr>
            <w:tcW w:w="236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+ 12</w:t>
            </w:r>
          </w:p>
        </w:tc>
      </w:tr>
      <w:tr w:rsidR="00F04593" w:rsidRPr="00B20562" w:rsidTr="009018BE">
        <w:trPr>
          <w:trHeight w:val="295"/>
          <w:jc w:val="center"/>
        </w:trPr>
        <w:tc>
          <w:tcPr>
            <w:tcW w:w="229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Banovići</w:t>
            </w:r>
          </w:p>
        </w:tc>
        <w:tc>
          <w:tcPr>
            <w:tcW w:w="220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8.667</w:t>
            </w:r>
          </w:p>
        </w:tc>
        <w:tc>
          <w:tcPr>
            <w:tcW w:w="2104"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6.699</w:t>
            </w:r>
          </w:p>
        </w:tc>
        <w:tc>
          <w:tcPr>
            <w:tcW w:w="236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- 1.968</w:t>
            </w:r>
          </w:p>
        </w:tc>
      </w:tr>
      <w:tr w:rsidR="00F04593" w:rsidRPr="00B20562" w:rsidTr="009018BE">
        <w:trPr>
          <w:trHeight w:val="306"/>
          <w:jc w:val="center"/>
        </w:trPr>
        <w:tc>
          <w:tcPr>
            <w:tcW w:w="229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Lukavac</w:t>
            </w:r>
          </w:p>
        </w:tc>
        <w:tc>
          <w:tcPr>
            <w:tcW w:w="220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12.654</w:t>
            </w:r>
          </w:p>
        </w:tc>
        <w:tc>
          <w:tcPr>
            <w:tcW w:w="2104"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12.490</w:t>
            </w:r>
          </w:p>
        </w:tc>
        <w:tc>
          <w:tcPr>
            <w:tcW w:w="236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+ 164</w:t>
            </w:r>
          </w:p>
        </w:tc>
      </w:tr>
      <w:tr w:rsidR="00F04593" w:rsidRPr="00B20562" w:rsidTr="009018BE">
        <w:trPr>
          <w:trHeight w:val="295"/>
          <w:jc w:val="center"/>
        </w:trPr>
        <w:tc>
          <w:tcPr>
            <w:tcW w:w="229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Živinice</w:t>
            </w:r>
          </w:p>
        </w:tc>
        <w:tc>
          <w:tcPr>
            <w:tcW w:w="220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11.956</w:t>
            </w:r>
          </w:p>
        </w:tc>
        <w:tc>
          <w:tcPr>
            <w:tcW w:w="2104"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17.495</w:t>
            </w:r>
          </w:p>
        </w:tc>
        <w:tc>
          <w:tcPr>
            <w:tcW w:w="236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+5.539</w:t>
            </w:r>
          </w:p>
        </w:tc>
      </w:tr>
      <w:tr w:rsidR="00F04593" w:rsidRPr="00B20562" w:rsidTr="009018BE">
        <w:trPr>
          <w:trHeight w:val="306"/>
          <w:jc w:val="center"/>
        </w:trPr>
        <w:tc>
          <w:tcPr>
            <w:tcW w:w="229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Ukupno</w:t>
            </w:r>
          </w:p>
        </w:tc>
        <w:tc>
          <w:tcPr>
            <w:tcW w:w="220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132.440</w:t>
            </w:r>
          </w:p>
        </w:tc>
        <w:tc>
          <w:tcPr>
            <w:tcW w:w="2104"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132.874</w:t>
            </w:r>
          </w:p>
        </w:tc>
        <w:tc>
          <w:tcPr>
            <w:tcW w:w="2365"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+ 434</w:t>
            </w:r>
          </w:p>
        </w:tc>
      </w:tr>
    </w:tbl>
    <w:p w:rsidR="00F04593" w:rsidRPr="00327B6E" w:rsidRDefault="00F04593" w:rsidP="00327B6E">
      <w:pPr>
        <w:pStyle w:val="Title"/>
        <w:rPr>
          <w:rFonts w:ascii="Times New Roman" w:hAnsi="Times New Roman"/>
          <w:i/>
          <w:sz w:val="20"/>
          <w:szCs w:val="20"/>
        </w:rPr>
      </w:pPr>
      <w:r w:rsidRPr="00327B6E">
        <w:rPr>
          <w:rFonts w:ascii="Times New Roman" w:hAnsi="Times New Roman"/>
          <w:i/>
          <w:sz w:val="20"/>
          <w:szCs w:val="20"/>
        </w:rPr>
        <w:t xml:space="preserve">Izvor: Zvaničnipopisnipodaci, </w:t>
      </w:r>
      <w:hyperlink r:id="rId7" w:history="1">
        <w:r w:rsidRPr="00327B6E">
          <w:rPr>
            <w:rStyle w:val="Hyperlink"/>
            <w:rFonts w:ascii="Times New Roman" w:hAnsi="Times New Roman"/>
            <w:i/>
            <w:sz w:val="20"/>
            <w:szCs w:val="20"/>
          </w:rPr>
          <w:t>www.fzs.ba</w:t>
        </w:r>
      </w:hyperlink>
    </w:p>
    <w:p w:rsidR="00F04593" w:rsidRPr="00111255" w:rsidRDefault="00F04593" w:rsidP="00A57BAE">
      <w:pPr>
        <w:rPr>
          <w:sz w:val="20"/>
          <w:szCs w:val="20"/>
        </w:rPr>
      </w:pPr>
    </w:p>
    <w:p w:rsidR="00F04593" w:rsidRPr="00111255" w:rsidRDefault="00F04593" w:rsidP="00A57BAE">
      <w:pPr>
        <w:pStyle w:val="tekst"/>
        <w:spacing w:line="240" w:lineRule="auto"/>
        <w:rPr>
          <w:lang w:eastAsia="en-US"/>
        </w:rPr>
      </w:pPr>
      <w:r w:rsidRPr="00111255">
        <w:rPr>
          <w:lang w:eastAsia="en-US"/>
        </w:rPr>
        <w:t xml:space="preserve">Podaci koji su prezentovani u tabeli </w:t>
      </w:r>
      <w:r>
        <w:rPr>
          <w:lang w:eastAsia="en-US"/>
        </w:rPr>
        <w:t xml:space="preserve">2 </w:t>
      </w:r>
      <w:r w:rsidRPr="00111255">
        <w:rPr>
          <w:lang w:eastAsia="en-US"/>
        </w:rPr>
        <w:t xml:space="preserve">nam pokazuju da je najveći porast broja stanovnika u periodu 1991-2013. godine zabilježen u Živinicama (za 5539 stanovnika u odnosu na 1991. godinu), a najveći pad ukupnog broja stanovnika zabilježen je u Tuzli (za 3674 stanovnika u odnosu na 1991. godinu). Također, značajan pad ukupnog broja stanovnika evidentiran je u Banovićima (- 1968 stanovnika). U ostalim gradskim naseljima je došlo do blagog porasta ukupnog broja stanovnika i to: u Kalesiji za 12 stanovnika, Lukavcu za 164 stanovnika i Gračanici za 689 stanovnika. Ukoliko na gradska naselja u slivu </w:t>
      </w:r>
      <w:r w:rsidRPr="00111255">
        <w:t xml:space="preserve">rijeke </w:t>
      </w:r>
      <w:r w:rsidRPr="00111255">
        <w:rPr>
          <w:lang w:eastAsia="en-US"/>
        </w:rPr>
        <w:t xml:space="preserve">Spreče primijenimo pravilo reda veličina gradova prema kojem se očekuje da će jedan grad u nizu gradova nekog područja, poredanih po veličini, imati onoliko stanovnika koliko ima najveći grad podijeljen sa rednim brojem tog grada u nizu gradova, onda vidimo da se gradska naselja u slivu </w:t>
      </w:r>
      <w:r w:rsidRPr="00111255">
        <w:t xml:space="preserve">rijeke </w:t>
      </w:r>
      <w:r w:rsidRPr="00111255">
        <w:rPr>
          <w:lang w:eastAsia="en-US"/>
        </w:rPr>
        <w:t xml:space="preserve">Spreče nisu populacijski razvijala u skladu sa tim pravilom. Naime, poštujući pravilo reda veličina, Živinice bi, kao druge u nizu, trebale imati oko 40000 stanovnika, Gračanica, kao treća, bi trebala imati oko 26000 stanovnika, Lukavac oko 20000 stanovnika itd. S obzirom da gradska naselja u slivu </w:t>
      </w:r>
      <w:r w:rsidRPr="00111255">
        <w:t xml:space="preserve">rijeke </w:t>
      </w:r>
      <w:r w:rsidRPr="00111255">
        <w:rPr>
          <w:lang w:eastAsia="en-US"/>
        </w:rPr>
        <w:t xml:space="preserve">Spreče ne zahvataju velike površine, neka zbog ograničavajućih faktora kao što su relativno uske doline rijeka u kojima su smještena (Gračanica, Tuzla), a ostala što su mlađeg postanka, i sa ovim brojem stanovnika ona su veoma gusto naseljena, što se vidi iz podataka u </w:t>
      </w:r>
      <w:r w:rsidRPr="00933645">
        <w:rPr>
          <w:lang w:eastAsia="en-US"/>
        </w:rPr>
        <w:t>tabeli br. 3.</w:t>
      </w:r>
    </w:p>
    <w:p w:rsidR="00F04593" w:rsidRPr="009018BE" w:rsidRDefault="00F04593" w:rsidP="00327B6E">
      <w:pPr>
        <w:pStyle w:val="Title"/>
        <w:rPr>
          <w:rFonts w:ascii="Times New Roman" w:hAnsi="Times New Roman"/>
          <w:i/>
          <w:sz w:val="22"/>
          <w:szCs w:val="22"/>
          <w:lang w:val="hr-HR"/>
        </w:rPr>
      </w:pPr>
      <w:r w:rsidRPr="009018BE">
        <w:rPr>
          <w:rFonts w:ascii="Times New Roman" w:hAnsi="Times New Roman"/>
          <w:i/>
          <w:sz w:val="22"/>
          <w:szCs w:val="22"/>
          <w:lang w:val="hr-HR"/>
        </w:rPr>
        <w:t>Tabela 3. Opća gustoća naseljenosti gradskih naselja u slivu rijeke Spreče 2013. godine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0"/>
        <w:gridCol w:w="2930"/>
        <w:gridCol w:w="2939"/>
      </w:tblGrid>
      <w:tr w:rsidR="00F04593" w:rsidRPr="00B20562" w:rsidTr="00327B6E">
        <w:trPr>
          <w:trHeight w:val="293"/>
          <w:jc w:val="center"/>
        </w:trPr>
        <w:tc>
          <w:tcPr>
            <w:tcW w:w="2930" w:type="dxa"/>
            <w:shd w:val="clear" w:color="auto" w:fill="C6D9F1"/>
            <w:vAlign w:val="center"/>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b/>
                <w:sz w:val="22"/>
                <w:szCs w:val="22"/>
                <w:lang w:val="hr-HR"/>
              </w:rPr>
              <w:t>Grad</w:t>
            </w:r>
          </w:p>
        </w:tc>
        <w:tc>
          <w:tcPr>
            <w:tcW w:w="2930" w:type="dxa"/>
            <w:shd w:val="clear" w:color="auto" w:fill="C6D9F1"/>
            <w:vAlign w:val="center"/>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b/>
                <w:sz w:val="22"/>
                <w:szCs w:val="22"/>
                <w:lang w:val="hr-HR"/>
              </w:rPr>
              <w:t xml:space="preserve">Površina (km </w:t>
            </w:r>
            <w:r w:rsidRPr="00B20562">
              <w:rPr>
                <w:rFonts w:ascii="Times New Roman" w:hAnsi="Times New Roman"/>
                <w:b/>
                <w:sz w:val="22"/>
                <w:szCs w:val="22"/>
                <w:vertAlign w:val="superscript"/>
                <w:lang w:val="hr-HR"/>
              </w:rPr>
              <w:t>2</w:t>
            </w:r>
            <w:r w:rsidRPr="00B20562">
              <w:rPr>
                <w:rFonts w:ascii="Times New Roman" w:hAnsi="Times New Roman"/>
                <w:b/>
                <w:sz w:val="22"/>
                <w:szCs w:val="22"/>
                <w:lang w:val="hr-HR"/>
              </w:rPr>
              <w:t>)</w:t>
            </w:r>
          </w:p>
        </w:tc>
        <w:tc>
          <w:tcPr>
            <w:tcW w:w="2939" w:type="dxa"/>
            <w:shd w:val="clear" w:color="auto" w:fill="C6D9F1"/>
            <w:vAlign w:val="center"/>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b/>
                <w:sz w:val="22"/>
                <w:szCs w:val="22"/>
                <w:lang w:val="hr-HR"/>
              </w:rPr>
              <w:t>Opća gustoća naseljenosti</w:t>
            </w:r>
          </w:p>
        </w:tc>
      </w:tr>
      <w:tr w:rsidR="00F04593" w:rsidRPr="00B20562" w:rsidTr="009018BE">
        <w:trPr>
          <w:trHeight w:val="277"/>
          <w:jc w:val="center"/>
        </w:trPr>
        <w:tc>
          <w:tcPr>
            <w:tcW w:w="293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Tuzla</w:t>
            </w:r>
          </w:p>
        </w:tc>
        <w:tc>
          <w:tcPr>
            <w:tcW w:w="2930"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48,42</w:t>
            </w:r>
          </w:p>
        </w:tc>
        <w:tc>
          <w:tcPr>
            <w:tcW w:w="2939"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1663,98</w:t>
            </w:r>
          </w:p>
        </w:tc>
      </w:tr>
      <w:tr w:rsidR="00F04593" w:rsidRPr="00B20562" w:rsidTr="009018BE">
        <w:trPr>
          <w:trHeight w:val="288"/>
          <w:jc w:val="center"/>
        </w:trPr>
        <w:tc>
          <w:tcPr>
            <w:tcW w:w="293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Gračanica</w:t>
            </w:r>
          </w:p>
        </w:tc>
        <w:tc>
          <w:tcPr>
            <w:tcW w:w="2930"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7,39</w:t>
            </w:r>
          </w:p>
        </w:tc>
        <w:tc>
          <w:tcPr>
            <w:tcW w:w="2939"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1813,26</w:t>
            </w:r>
          </w:p>
        </w:tc>
      </w:tr>
      <w:tr w:rsidR="00F04593" w:rsidRPr="00B20562" w:rsidTr="009018BE">
        <w:trPr>
          <w:trHeight w:val="277"/>
          <w:jc w:val="center"/>
        </w:trPr>
        <w:tc>
          <w:tcPr>
            <w:tcW w:w="293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Kalesija</w:t>
            </w:r>
          </w:p>
        </w:tc>
        <w:tc>
          <w:tcPr>
            <w:tcW w:w="2930"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16,55</w:t>
            </w:r>
          </w:p>
        </w:tc>
        <w:tc>
          <w:tcPr>
            <w:tcW w:w="2939"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134,14</w:t>
            </w:r>
          </w:p>
        </w:tc>
      </w:tr>
      <w:tr w:rsidR="00F04593" w:rsidRPr="00B20562" w:rsidTr="009018BE">
        <w:trPr>
          <w:trHeight w:val="288"/>
          <w:jc w:val="center"/>
        </w:trPr>
        <w:tc>
          <w:tcPr>
            <w:tcW w:w="293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Banovići</w:t>
            </w:r>
          </w:p>
        </w:tc>
        <w:tc>
          <w:tcPr>
            <w:tcW w:w="2930"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3,71</w:t>
            </w:r>
          </w:p>
        </w:tc>
        <w:tc>
          <w:tcPr>
            <w:tcW w:w="2939"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1805,66</w:t>
            </w:r>
          </w:p>
        </w:tc>
      </w:tr>
      <w:tr w:rsidR="00F04593" w:rsidRPr="00B20562" w:rsidTr="009018BE">
        <w:trPr>
          <w:trHeight w:val="277"/>
          <w:jc w:val="center"/>
        </w:trPr>
        <w:tc>
          <w:tcPr>
            <w:tcW w:w="293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Lukavac</w:t>
            </w:r>
          </w:p>
        </w:tc>
        <w:tc>
          <w:tcPr>
            <w:tcW w:w="2930"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17,40</w:t>
            </w:r>
          </w:p>
        </w:tc>
        <w:tc>
          <w:tcPr>
            <w:tcW w:w="2939"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717,82</w:t>
            </w:r>
          </w:p>
        </w:tc>
      </w:tr>
      <w:tr w:rsidR="00F04593" w:rsidRPr="00B20562" w:rsidTr="009018BE">
        <w:trPr>
          <w:trHeight w:val="288"/>
          <w:jc w:val="center"/>
        </w:trPr>
        <w:tc>
          <w:tcPr>
            <w:tcW w:w="293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Živinice</w:t>
            </w:r>
          </w:p>
        </w:tc>
        <w:tc>
          <w:tcPr>
            <w:tcW w:w="2930"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13,56</w:t>
            </w:r>
          </w:p>
        </w:tc>
        <w:tc>
          <w:tcPr>
            <w:tcW w:w="2939"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1290,19</w:t>
            </w:r>
          </w:p>
        </w:tc>
      </w:tr>
      <w:tr w:rsidR="00F04593" w:rsidRPr="00B20562" w:rsidTr="009018BE">
        <w:trPr>
          <w:trHeight w:val="288"/>
          <w:jc w:val="center"/>
        </w:trPr>
        <w:tc>
          <w:tcPr>
            <w:tcW w:w="2930" w:type="dxa"/>
            <w:vAlign w:val="center"/>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Ukupno</w:t>
            </w:r>
          </w:p>
        </w:tc>
        <w:tc>
          <w:tcPr>
            <w:tcW w:w="2930"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107,03</w:t>
            </w:r>
          </w:p>
        </w:tc>
        <w:tc>
          <w:tcPr>
            <w:tcW w:w="2939" w:type="dxa"/>
            <w:vAlign w:val="center"/>
          </w:tcPr>
          <w:p w:rsidR="00F04593" w:rsidRPr="00B20562" w:rsidRDefault="00F04593" w:rsidP="00327B6E">
            <w:pPr>
              <w:pStyle w:val="Title"/>
              <w:jc w:val="right"/>
              <w:rPr>
                <w:rFonts w:ascii="Times New Roman" w:hAnsi="Times New Roman"/>
                <w:sz w:val="22"/>
                <w:szCs w:val="22"/>
                <w:lang w:val="hr-HR"/>
              </w:rPr>
            </w:pPr>
            <w:r w:rsidRPr="00B20562">
              <w:rPr>
                <w:rFonts w:ascii="Times New Roman" w:hAnsi="Times New Roman"/>
                <w:sz w:val="22"/>
                <w:szCs w:val="22"/>
                <w:lang w:val="hr-HR"/>
              </w:rPr>
              <w:t>1241,09</w:t>
            </w:r>
          </w:p>
        </w:tc>
      </w:tr>
    </w:tbl>
    <w:p w:rsidR="00F04593" w:rsidRPr="00327B6E" w:rsidRDefault="00F04593" w:rsidP="00327B6E">
      <w:pPr>
        <w:pStyle w:val="Title"/>
        <w:rPr>
          <w:rFonts w:ascii="Times New Roman" w:hAnsi="Times New Roman"/>
          <w:i/>
          <w:sz w:val="20"/>
          <w:szCs w:val="20"/>
        </w:rPr>
      </w:pPr>
      <w:r w:rsidRPr="00327B6E">
        <w:rPr>
          <w:rFonts w:ascii="Times New Roman" w:hAnsi="Times New Roman"/>
          <w:i/>
          <w:sz w:val="20"/>
          <w:szCs w:val="20"/>
        </w:rPr>
        <w:t xml:space="preserve">Izvor: Prostorniplan  zapodručjeTuzlanskogkantona 2005-2025, </w:t>
      </w:r>
      <w:hyperlink r:id="rId8" w:history="1">
        <w:r w:rsidRPr="00327B6E">
          <w:rPr>
            <w:rStyle w:val="Hyperlink"/>
            <w:rFonts w:ascii="Times New Roman" w:hAnsi="Times New Roman"/>
            <w:i/>
            <w:sz w:val="20"/>
            <w:szCs w:val="20"/>
          </w:rPr>
          <w:t>www.vladatk.kim.ba</w:t>
        </w:r>
      </w:hyperlink>
    </w:p>
    <w:p w:rsidR="00F04593" w:rsidRPr="00327B6E" w:rsidRDefault="00F04593" w:rsidP="00327B6E">
      <w:pPr>
        <w:pStyle w:val="Title"/>
        <w:rPr>
          <w:rFonts w:ascii="Times New Roman" w:hAnsi="Times New Roman"/>
          <w:sz w:val="20"/>
          <w:szCs w:val="20"/>
        </w:rPr>
      </w:pPr>
    </w:p>
    <w:p w:rsidR="00F04593" w:rsidRPr="00111255" w:rsidRDefault="00F04593" w:rsidP="00327B6E">
      <w:pPr>
        <w:pStyle w:val="tekst"/>
        <w:spacing w:line="240" w:lineRule="auto"/>
        <w:rPr>
          <w:lang w:eastAsia="en-US"/>
        </w:rPr>
      </w:pPr>
      <w:r w:rsidRPr="00111255">
        <w:rPr>
          <w:lang w:eastAsia="en-US"/>
        </w:rPr>
        <w:t xml:space="preserve">Na osnovu prezentiranih podataka u </w:t>
      </w:r>
      <w:r w:rsidRPr="00933645">
        <w:rPr>
          <w:lang w:eastAsia="en-US"/>
        </w:rPr>
        <w:t>tabeli br. 3</w:t>
      </w:r>
      <w:r w:rsidRPr="00111255">
        <w:rPr>
          <w:lang w:eastAsia="en-US"/>
        </w:rPr>
        <w:t xml:space="preserve"> uočavamo da prosječna gustoća naseljenosti svih gradskih naselja u slivu </w:t>
      </w:r>
      <w:r w:rsidRPr="00111255">
        <w:t xml:space="preserve">rijeke </w:t>
      </w:r>
      <w:r w:rsidRPr="00111255">
        <w:rPr>
          <w:lang w:eastAsia="en-US"/>
        </w:rPr>
        <w:t>Spreče iznosi 1241,09 st/km</w:t>
      </w:r>
      <w:r w:rsidRPr="00111255">
        <w:rPr>
          <w:vertAlign w:val="superscript"/>
          <w:lang w:eastAsia="en-US"/>
        </w:rPr>
        <w:t>2</w:t>
      </w:r>
      <w:r w:rsidRPr="00111255">
        <w:rPr>
          <w:lang w:eastAsia="en-US"/>
        </w:rPr>
        <w:t>. Tuzla, Gračanica, Banovići i Živinice imaju veću opću gustoću naseljenosti od prosječne, a ona se kreće od 1290,19 st/km</w:t>
      </w:r>
      <w:r w:rsidRPr="00111255">
        <w:rPr>
          <w:vertAlign w:val="superscript"/>
          <w:lang w:eastAsia="en-US"/>
        </w:rPr>
        <w:t>2</w:t>
      </w:r>
      <w:r w:rsidRPr="00111255">
        <w:rPr>
          <w:lang w:eastAsia="en-US"/>
        </w:rPr>
        <w:t xml:space="preserve"> u Živinicama do 1813,26 st/km</w:t>
      </w:r>
      <w:r w:rsidRPr="00111255">
        <w:rPr>
          <w:vertAlign w:val="superscript"/>
          <w:lang w:eastAsia="en-US"/>
        </w:rPr>
        <w:t>2</w:t>
      </w:r>
      <w:r w:rsidRPr="00111255">
        <w:rPr>
          <w:lang w:eastAsia="en-US"/>
        </w:rPr>
        <w:t xml:space="preserve"> u Gračanici koja je ujedno i najgušće naseljeno gradsko naselje u slivu </w:t>
      </w:r>
      <w:r w:rsidRPr="00111255">
        <w:t xml:space="preserve">rijeke </w:t>
      </w:r>
      <w:r w:rsidRPr="00111255">
        <w:rPr>
          <w:lang w:eastAsia="en-US"/>
        </w:rPr>
        <w:t>Spreče. Manju gustoću naseljenosti od prosječne imaju Lukavac (717,82 st/km</w:t>
      </w:r>
      <w:r w:rsidRPr="00111255">
        <w:rPr>
          <w:vertAlign w:val="superscript"/>
          <w:lang w:eastAsia="en-US"/>
        </w:rPr>
        <w:t>2</w:t>
      </w:r>
      <w:r w:rsidRPr="00111255">
        <w:rPr>
          <w:lang w:eastAsia="en-US"/>
        </w:rPr>
        <w:t>) i Kalesija (134,14 st/km</w:t>
      </w:r>
      <w:r w:rsidRPr="00111255">
        <w:rPr>
          <w:vertAlign w:val="superscript"/>
          <w:lang w:eastAsia="en-US"/>
        </w:rPr>
        <w:t>2</w:t>
      </w:r>
      <w:r w:rsidRPr="00111255">
        <w:rPr>
          <w:lang w:eastAsia="en-US"/>
        </w:rPr>
        <w:t>) koja je ujedno i najrjeđe naseljeno gradsko naselje u slivu rijeke Spreče. Prihvatimo li podjelu područja, prema općoj gustoći naseljenosti, na rijetko naseljena (do 10 st/km</w:t>
      </w:r>
      <w:r w:rsidRPr="00111255">
        <w:rPr>
          <w:vertAlign w:val="superscript"/>
          <w:lang w:eastAsia="en-US"/>
        </w:rPr>
        <w:t>2</w:t>
      </w:r>
      <w:r w:rsidRPr="00111255">
        <w:rPr>
          <w:lang w:eastAsia="en-US"/>
        </w:rPr>
        <w:t>), srednje naseljena (10-50 st/km</w:t>
      </w:r>
      <w:r w:rsidRPr="00111255">
        <w:rPr>
          <w:vertAlign w:val="superscript"/>
          <w:lang w:eastAsia="en-US"/>
        </w:rPr>
        <w:t>2</w:t>
      </w:r>
      <w:r w:rsidRPr="00111255">
        <w:rPr>
          <w:lang w:eastAsia="en-US"/>
        </w:rPr>
        <w:t>), gusto naseljena (51-100 st/km</w:t>
      </w:r>
      <w:r w:rsidRPr="00111255">
        <w:rPr>
          <w:vertAlign w:val="superscript"/>
          <w:lang w:eastAsia="en-US"/>
        </w:rPr>
        <w:t>2</w:t>
      </w:r>
      <w:r w:rsidRPr="00111255">
        <w:rPr>
          <w:lang w:eastAsia="en-US"/>
        </w:rPr>
        <w:t>) i prenaseljena (preko 100 st/km</w:t>
      </w:r>
      <w:r w:rsidRPr="00111255">
        <w:rPr>
          <w:vertAlign w:val="superscript"/>
          <w:lang w:eastAsia="en-US"/>
        </w:rPr>
        <w:t>2</w:t>
      </w:r>
      <w:r w:rsidRPr="00111255">
        <w:rPr>
          <w:lang w:eastAsia="en-US"/>
        </w:rPr>
        <w:t>),</w:t>
      </w:r>
      <w:r w:rsidRPr="00111255">
        <w:rPr>
          <w:rStyle w:val="FootnoteReference"/>
          <w:lang w:eastAsia="en-US"/>
        </w:rPr>
        <w:footnoteReference w:id="16"/>
      </w:r>
      <w:r w:rsidRPr="00111255">
        <w:rPr>
          <w:lang w:eastAsia="en-US"/>
        </w:rPr>
        <w:t xml:space="preserve"> onda na osnovu prezentiranih podataka možemo zaključiti da su gradska naselja u slivu rijeke Spreče prenaseljena. Ovakvom općom gustoćom naseljenosti, gradska naselja u slivu </w:t>
      </w:r>
      <w:r w:rsidRPr="00111255">
        <w:t xml:space="preserve">rijeke </w:t>
      </w:r>
      <w:r w:rsidRPr="00111255">
        <w:rPr>
          <w:lang w:eastAsia="en-US"/>
        </w:rPr>
        <w:t>Spreče se veoma razlikuju od seoskih</w:t>
      </w:r>
      <w:r>
        <w:rPr>
          <w:lang w:eastAsia="en-US"/>
        </w:rPr>
        <w:t xml:space="preserve"> naselja.</w:t>
      </w:r>
      <w:r>
        <w:rPr>
          <w:lang w:eastAsia="en-US"/>
        </w:rPr>
        <w:tab/>
      </w:r>
      <w:r>
        <w:rPr>
          <w:lang w:eastAsia="en-US"/>
        </w:rPr>
        <w:tab/>
      </w:r>
      <w:r>
        <w:rPr>
          <w:lang w:eastAsia="en-US"/>
        </w:rPr>
        <w:tab/>
      </w:r>
      <w:r>
        <w:rPr>
          <w:lang w:eastAsia="en-US"/>
        </w:rPr>
        <w:tab/>
      </w:r>
      <w:r>
        <w:rPr>
          <w:lang w:eastAsia="en-US"/>
        </w:rPr>
        <w:tab/>
      </w:r>
      <w:r w:rsidRPr="00111255">
        <w:t>Upoređujući ukupan broj domaćinstava u gradskim naseljima koja se nalaze u slivu rijeke Spreče prema popisu 1991. godine sa ukupnim brojem domaćinstava prema popisu 2013. godine vidimo da</w:t>
      </w:r>
      <w:r>
        <w:t xml:space="preserve"> se njihov broj povećao za 5427.</w:t>
      </w:r>
    </w:p>
    <w:p w:rsidR="00F04593" w:rsidRPr="009018BE" w:rsidRDefault="00F04593" w:rsidP="00327B6E">
      <w:pPr>
        <w:pStyle w:val="Title"/>
        <w:rPr>
          <w:rFonts w:ascii="Times New Roman" w:hAnsi="Times New Roman"/>
          <w:i/>
          <w:sz w:val="22"/>
          <w:szCs w:val="22"/>
          <w:lang w:val="hr-HR"/>
        </w:rPr>
      </w:pPr>
      <w:r w:rsidRPr="009018BE">
        <w:rPr>
          <w:rFonts w:ascii="Times New Roman" w:hAnsi="Times New Roman"/>
          <w:i/>
          <w:sz w:val="22"/>
          <w:szCs w:val="22"/>
          <w:lang w:val="hr-HR"/>
        </w:rPr>
        <w:t xml:space="preserve">Tabela 4. Broj i prosječna veličina domaćinstava gradskih naselja u slivu rijeke Spreče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8"/>
        <w:gridCol w:w="1402"/>
        <w:gridCol w:w="1636"/>
        <w:gridCol w:w="1403"/>
        <w:gridCol w:w="1636"/>
        <w:gridCol w:w="1477"/>
      </w:tblGrid>
      <w:tr w:rsidR="00F04593" w:rsidRPr="00B20562" w:rsidTr="00790460">
        <w:trPr>
          <w:jc w:val="center"/>
        </w:trPr>
        <w:tc>
          <w:tcPr>
            <w:tcW w:w="1384" w:type="dxa"/>
            <w:vMerge w:val="restart"/>
            <w:shd w:val="clear" w:color="auto" w:fill="8DB3E2"/>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b/>
                <w:sz w:val="22"/>
                <w:szCs w:val="22"/>
                <w:lang w:val="hr-HR"/>
              </w:rPr>
              <w:t>Grad</w:t>
            </w:r>
          </w:p>
        </w:tc>
        <w:tc>
          <w:tcPr>
            <w:tcW w:w="3402" w:type="dxa"/>
            <w:gridSpan w:val="2"/>
            <w:shd w:val="clear" w:color="auto" w:fill="8DB3E2"/>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b/>
                <w:sz w:val="22"/>
                <w:szCs w:val="22"/>
                <w:lang w:val="hr-HR"/>
              </w:rPr>
              <w:t>1991.</w:t>
            </w:r>
          </w:p>
        </w:tc>
        <w:tc>
          <w:tcPr>
            <w:tcW w:w="3402" w:type="dxa"/>
            <w:gridSpan w:val="2"/>
            <w:shd w:val="clear" w:color="auto" w:fill="8DB3E2"/>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b/>
                <w:sz w:val="22"/>
                <w:szCs w:val="22"/>
                <w:lang w:val="hr-HR"/>
              </w:rPr>
              <w:t>2013.</w:t>
            </w:r>
          </w:p>
        </w:tc>
        <w:tc>
          <w:tcPr>
            <w:tcW w:w="1559" w:type="dxa"/>
            <w:vMerge w:val="restart"/>
            <w:shd w:val="clear" w:color="auto" w:fill="8DB3E2"/>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b/>
                <w:sz w:val="22"/>
                <w:szCs w:val="22"/>
                <w:lang w:val="hr-HR"/>
              </w:rPr>
              <w:t>Razlika 2013./1991.</w:t>
            </w:r>
          </w:p>
        </w:tc>
      </w:tr>
      <w:tr w:rsidR="00F04593" w:rsidRPr="00B20562" w:rsidTr="00790460">
        <w:trPr>
          <w:jc w:val="center"/>
        </w:trPr>
        <w:tc>
          <w:tcPr>
            <w:tcW w:w="1384" w:type="dxa"/>
            <w:vMerge/>
          </w:tcPr>
          <w:p w:rsidR="00F04593" w:rsidRPr="00B20562" w:rsidRDefault="00F04593" w:rsidP="00327B6E">
            <w:pPr>
              <w:pStyle w:val="Title"/>
              <w:rPr>
                <w:rFonts w:ascii="Times New Roman" w:hAnsi="Times New Roman"/>
                <w:sz w:val="22"/>
                <w:szCs w:val="22"/>
                <w:lang w:val="hr-HR"/>
              </w:rPr>
            </w:pPr>
          </w:p>
        </w:tc>
        <w:tc>
          <w:tcPr>
            <w:tcW w:w="1559" w:type="dxa"/>
            <w:shd w:val="clear" w:color="auto" w:fill="DBE5F1"/>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sz w:val="22"/>
                <w:szCs w:val="22"/>
                <w:lang w:val="hr-HR"/>
              </w:rPr>
              <w:t>Broj domać.</w:t>
            </w:r>
          </w:p>
        </w:tc>
        <w:tc>
          <w:tcPr>
            <w:tcW w:w="1843" w:type="dxa"/>
            <w:shd w:val="clear" w:color="auto" w:fill="DBE5F1"/>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sz w:val="22"/>
                <w:szCs w:val="22"/>
                <w:lang w:val="hr-HR"/>
              </w:rPr>
              <w:t>Prosj. veličina</w:t>
            </w:r>
          </w:p>
        </w:tc>
        <w:tc>
          <w:tcPr>
            <w:tcW w:w="1559" w:type="dxa"/>
            <w:shd w:val="clear" w:color="auto" w:fill="DBE5F1"/>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sz w:val="22"/>
                <w:szCs w:val="22"/>
                <w:lang w:val="hr-HR"/>
              </w:rPr>
              <w:t>Broj domać.</w:t>
            </w:r>
          </w:p>
        </w:tc>
        <w:tc>
          <w:tcPr>
            <w:tcW w:w="1843" w:type="dxa"/>
            <w:shd w:val="clear" w:color="auto" w:fill="DBE5F1"/>
          </w:tcPr>
          <w:p w:rsidR="00F04593" w:rsidRPr="00B20562" w:rsidRDefault="00F04593" w:rsidP="00327B6E">
            <w:pPr>
              <w:pStyle w:val="Title"/>
              <w:rPr>
                <w:rFonts w:ascii="Times New Roman" w:hAnsi="Times New Roman"/>
                <w:b/>
                <w:sz w:val="22"/>
                <w:szCs w:val="22"/>
                <w:lang w:val="hr-HR"/>
              </w:rPr>
            </w:pPr>
            <w:r w:rsidRPr="00B20562">
              <w:rPr>
                <w:rFonts w:ascii="Times New Roman" w:hAnsi="Times New Roman"/>
                <w:sz w:val="22"/>
                <w:szCs w:val="22"/>
                <w:lang w:val="hr-HR"/>
              </w:rPr>
              <w:t>Prosj. veličina</w:t>
            </w:r>
          </w:p>
        </w:tc>
        <w:tc>
          <w:tcPr>
            <w:tcW w:w="1559" w:type="dxa"/>
            <w:vMerge/>
          </w:tcPr>
          <w:p w:rsidR="00F04593" w:rsidRPr="00B20562" w:rsidRDefault="00F04593" w:rsidP="00327B6E">
            <w:pPr>
              <w:pStyle w:val="Title"/>
              <w:rPr>
                <w:rFonts w:ascii="Times New Roman" w:hAnsi="Times New Roman"/>
                <w:sz w:val="22"/>
                <w:szCs w:val="22"/>
                <w:lang w:val="hr-HR"/>
              </w:rPr>
            </w:pPr>
          </w:p>
        </w:tc>
      </w:tr>
      <w:tr w:rsidR="00F04593" w:rsidRPr="00B20562" w:rsidTr="009018BE">
        <w:trPr>
          <w:jc w:val="center"/>
        </w:trPr>
        <w:tc>
          <w:tcPr>
            <w:tcW w:w="1384"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Tuzla</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26.858</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3,14</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29.327</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2,75</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+ 2.469</w:t>
            </w:r>
          </w:p>
        </w:tc>
      </w:tr>
      <w:tr w:rsidR="00F04593" w:rsidRPr="00B20562" w:rsidTr="009018BE">
        <w:trPr>
          <w:jc w:val="center"/>
        </w:trPr>
        <w:tc>
          <w:tcPr>
            <w:tcW w:w="1384"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Gračanica</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3.963</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3,21</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4.595</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2,92</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+ 632</w:t>
            </w:r>
          </w:p>
        </w:tc>
      </w:tr>
      <w:tr w:rsidR="00F04593" w:rsidRPr="00B20562" w:rsidTr="009018BE">
        <w:trPr>
          <w:jc w:val="center"/>
        </w:trPr>
        <w:tc>
          <w:tcPr>
            <w:tcW w:w="1384"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Kalesija</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571</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3,87</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617</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3,60</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+ 46</w:t>
            </w:r>
          </w:p>
        </w:tc>
      </w:tr>
      <w:tr w:rsidR="00F04593" w:rsidRPr="00B20562" w:rsidTr="009018BE">
        <w:trPr>
          <w:jc w:val="center"/>
        </w:trPr>
        <w:tc>
          <w:tcPr>
            <w:tcW w:w="1384"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Banovići</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2.722</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3,18</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2.420</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2,77</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- 302</w:t>
            </w:r>
          </w:p>
        </w:tc>
      </w:tr>
      <w:tr w:rsidR="00F04593" w:rsidRPr="00B20562" w:rsidTr="009018BE">
        <w:trPr>
          <w:jc w:val="center"/>
        </w:trPr>
        <w:tc>
          <w:tcPr>
            <w:tcW w:w="1384"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Lukavac</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4.028</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3,14</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4.602</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2,71</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+ 574</w:t>
            </w:r>
          </w:p>
        </w:tc>
      </w:tr>
      <w:tr w:rsidR="00F04593" w:rsidRPr="00B20562" w:rsidTr="009018BE">
        <w:trPr>
          <w:jc w:val="center"/>
        </w:trPr>
        <w:tc>
          <w:tcPr>
            <w:tcW w:w="1384"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Živinice</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3.531</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3,39</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5.539</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3,16</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+ 2008</w:t>
            </w:r>
          </w:p>
        </w:tc>
      </w:tr>
      <w:tr w:rsidR="00F04593" w:rsidRPr="00B20562" w:rsidTr="009018BE">
        <w:trPr>
          <w:jc w:val="center"/>
        </w:trPr>
        <w:tc>
          <w:tcPr>
            <w:tcW w:w="1384"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Ukupno</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41.673</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3,18</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47.100</w:t>
            </w:r>
          </w:p>
        </w:tc>
        <w:tc>
          <w:tcPr>
            <w:tcW w:w="1843"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2,82</w:t>
            </w:r>
          </w:p>
        </w:tc>
        <w:tc>
          <w:tcPr>
            <w:tcW w:w="1559" w:type="dxa"/>
          </w:tcPr>
          <w:p w:rsidR="00F04593" w:rsidRPr="00B20562" w:rsidRDefault="00F04593" w:rsidP="00327B6E">
            <w:pPr>
              <w:pStyle w:val="Title"/>
              <w:rPr>
                <w:rFonts w:ascii="Times New Roman" w:hAnsi="Times New Roman"/>
                <w:sz w:val="22"/>
                <w:szCs w:val="22"/>
                <w:lang w:val="hr-HR"/>
              </w:rPr>
            </w:pPr>
            <w:r w:rsidRPr="00B20562">
              <w:rPr>
                <w:rFonts w:ascii="Times New Roman" w:hAnsi="Times New Roman"/>
                <w:sz w:val="22"/>
                <w:szCs w:val="22"/>
                <w:lang w:val="hr-HR"/>
              </w:rPr>
              <w:t>+ 5427</w:t>
            </w:r>
          </w:p>
        </w:tc>
      </w:tr>
    </w:tbl>
    <w:p w:rsidR="00F04593" w:rsidRPr="00327B6E" w:rsidRDefault="00F04593" w:rsidP="00327B6E">
      <w:pPr>
        <w:pStyle w:val="Title"/>
        <w:rPr>
          <w:rFonts w:ascii="Times New Roman" w:hAnsi="Times New Roman"/>
          <w:i/>
          <w:sz w:val="20"/>
          <w:szCs w:val="20"/>
          <w:lang w:val="hr-HR"/>
        </w:rPr>
      </w:pPr>
      <w:r w:rsidRPr="00327B6E">
        <w:rPr>
          <w:rFonts w:ascii="Times New Roman" w:hAnsi="Times New Roman"/>
          <w:i/>
          <w:sz w:val="20"/>
          <w:szCs w:val="20"/>
          <w:lang w:val="hr-HR"/>
        </w:rPr>
        <w:t>Izvor: Zvanični popisni podaci, www.fzs.ba</w:t>
      </w:r>
    </w:p>
    <w:p w:rsidR="00F04593" w:rsidRDefault="00F04593" w:rsidP="00A57BAE">
      <w:pPr>
        <w:pStyle w:val="tekst"/>
        <w:spacing w:line="240" w:lineRule="auto"/>
      </w:pPr>
    </w:p>
    <w:p w:rsidR="00F04593" w:rsidRPr="00111255" w:rsidRDefault="00F04593" w:rsidP="00A57BAE">
      <w:pPr>
        <w:pStyle w:val="tekst"/>
        <w:spacing w:line="240" w:lineRule="auto"/>
      </w:pPr>
      <w:r w:rsidRPr="00111255">
        <w:t xml:space="preserve">Iz podataka prezentiranih u tabeli vidimo da je do porasta ukupnog broja domaćinstava došlo u svim gradskim naseljima izuzev u Banovićima. Najveći porast broja domaćinstava zabilježen je u Tuzli (+ 2469), zatim slijede Živinice (+ 2008), Gračanica (+ 632), Lukavac (+ 574) i Kalesija (+ 46), dok su u Banovićima 2013. godine popisana 302 domaćinstva manje nego 1991. godine. Povećanje broja domaćinstava rezultat je kako povećanja broja stanovnika u nekim gradskim naseljima (Živinice i Gračanica), tako i smanjenja prosječne veličine domaćinstava. Prosječna veličina domaćinstva u gradskim naseljima sliva rijeke Spreče iznosi 2,82 stanovnika, a 1991. godine je iznosila 3,16 stanovnika. Samo u Kalesiji (3,60) i Živinicama (3,16) prosječno domaćinstvo broji više od 3 člana, dok je u svim ostalim gradskim naseljima ono manje. </w:t>
      </w:r>
    </w:p>
    <w:p w:rsidR="00F04593" w:rsidRPr="00111255" w:rsidRDefault="00F04593" w:rsidP="00A57BAE">
      <w:pPr>
        <w:pStyle w:val="podnaslov"/>
        <w:ind w:left="0"/>
      </w:pPr>
      <w:r w:rsidRPr="00111255">
        <w:t>3. Obilježja morfološke strukture</w:t>
      </w:r>
    </w:p>
    <w:p w:rsidR="00F04593" w:rsidRDefault="00F04593" w:rsidP="00B33A55">
      <w:pPr>
        <w:pStyle w:val="tekst"/>
        <w:spacing w:line="240" w:lineRule="auto"/>
      </w:pPr>
      <w:r w:rsidRPr="00111255">
        <w:t>Pod morfološkom strukturom grada podrazumijevamo prostorni raspored i međusobni odnos morfoloških elemenata u gradskom prostoru kao što su: ulice, trgovi, javne površine, blokovi zgrada itd. Svi ovi elementi imaju svoje karakteristike kao što su: gustoća izgrađenosti, visina, oblik, izgled, starost i dr.</w:t>
      </w:r>
      <w:r w:rsidRPr="00111255">
        <w:rPr>
          <w:rStyle w:val="FootnoteReference"/>
        </w:rPr>
        <w:footnoteReference w:id="17"/>
      </w:r>
      <w:r w:rsidRPr="00111255">
        <w:t xml:space="preserve"> U zavisnosti od društveno-historijskih uslova u kojima se razvijaju, gradovi često doživljavaju promjene svojih morfoloških struktura.</w:t>
      </w:r>
      <w:r w:rsidRPr="00111255">
        <w:rPr>
          <w:rStyle w:val="FootnoteReference"/>
        </w:rPr>
        <w:footnoteReference w:id="18"/>
      </w:r>
      <w:r w:rsidRPr="00111255">
        <w:t xml:space="preserve"> Današnja morfološka struktura gradskih naselja u slivu rijeke Spreče, u najvećoj mjeri, je formirana u socijalističkom periodu. Gradska naselja sa najdužom urbanom tradicijom – Tuzla i Gračanica imaju složenu strukturu, jer su prvobitnoj jezgri vremenom dodavani novi dijelovi. Njihove planove odlikuje nepravilna mreža ulica, kao što, uostalom, odlikuje i sva druga gradska naselja koja su bila pod orijentalnim uticajem. U ostalim, mlađim gradskim naseljima, postoje dijelovi sa donekle pravilnom mrežom ulica</w:t>
      </w:r>
      <w:r>
        <w:t xml:space="preserve"> (npr. u Lukavcu)</w:t>
      </w:r>
      <w:r w:rsidRPr="00111255">
        <w:t>, a na njih se nadovezuju dijelovi sa nepravilnom mrežom. Stoga se, i kada je riječ o mlađim gradskim naseljima, ne može govoriti da imaju pravilne mreže ulica, jer i u njima dominiraju nepravilne ulične mreže. To je posljedica spontanog nastanka uličnog sistema, izgrađenog u prvim decenijama socijalističkog perioda.</w:t>
      </w:r>
      <w:r w:rsidRPr="00111255">
        <w:rPr>
          <w:rStyle w:val="FootnoteReference"/>
        </w:rPr>
        <w:footnoteReference w:id="19"/>
      </w:r>
      <w:r w:rsidRPr="00111255">
        <w:t xml:space="preserve">Poseban problem predstavlja činjenica da kroz sva gradska naselja vode magistralni i regionalni putevi, sa kojima su povezane glavne gradske ulice. Zbog toga dolazi do miješanja gradskog i izvangradskog saobraćaja, što </w:t>
      </w:r>
      <w:r>
        <w:t xml:space="preserve">usljed povećanja broja vozila, </w:t>
      </w:r>
      <w:r w:rsidRPr="00111255">
        <w:t>često stvara saobraćajne gužve, preveliku buku, dovodi do prekomjerne zagađenosti zraka itd.</w:t>
      </w:r>
      <w:r>
        <w:tab/>
      </w:r>
      <w:r>
        <w:tab/>
      </w:r>
      <w:r>
        <w:tab/>
      </w:r>
      <w:r>
        <w:tab/>
      </w:r>
      <w:r>
        <w:tab/>
      </w:r>
      <w:r>
        <w:tab/>
      </w:r>
      <w:r>
        <w:tab/>
      </w:r>
      <w:r>
        <w:tab/>
      </w:r>
      <w:r>
        <w:tab/>
      </w:r>
      <w:r>
        <w:tab/>
      </w:r>
      <w:r>
        <w:tab/>
      </w:r>
      <w:r w:rsidRPr="00111255">
        <w:t>Što se tiče samog izgleda postojećih zgrada, tradicionalna bosanska gradska kuća – spratna čardaklija je isčezla, a ostali su samo rijetki sačuvani objekti kao što je kuća Mare Popović u Gračanici koja je proglašena nacionalnim spomenikom Bosne i Hercegovine i nekoliko kuća u Gornjoj Tuzli. Do danas je spratna kuća doživjela značajne promjene, koje se, prije svega, ogledaju u materijalu od kojeg je građena, unutrašnjem uređenju, spratnosti, obliku krova itd. Današnje spratne kuće su građene od betona, željeza, opeke, crijepa i dr., dok se drvo upotrebljava samo u gradnji krovne konstrukcije. Oblik krova spratnih kuća većinom je dvovodni, iako ih ima i četveroslivnih. Za razliku od nekadašnjeg jednog sprata iznad prizemlja, u novije vrijeme se obično grade dva, a nerijetko i tri sprata, s tim da je zadnji sprat nešto niži (tzv. nisko i visoko potkrovlje). Na gradskim područjima danas dominiraju obične zidane kuće dvovodnog krova iz 80-ih i kasnijih godina prošlog stoljeća, iako ih ima i znatan broj sa četvorovodnim krovom iz 50-ih i 60-ih godina prošlog stoljeća.  Osim toga, od druge polovine prošlog stoljeća dolazi do razvoja gradskih naselja u visinu, na šta je uticala masovna izgradnja kolektivnih višespratnih objekata koji su, najčešće, izgrađeni u tzv. blokovima. Kod ovih objekata krovovi su uglavnom ravni. Ova vrsta objekata dominira u Banovićima i Lukavcu. Postoje i primjeri interpolacije pojedinačnih kolektivnih stambenih objekata među individualne, što je čest slučaj u Živinicama. Ipak, moglo bi se reći da su gradska naselja u slivu rijeke Spreče, bez obzira na ovu izgradnju, ostala prilično niska (najviše zgrade su do 10-ak spratova), osim što je Tuzla donekle izuzetak, jer u njoj postoji niz objekata viših o</w:t>
      </w:r>
      <w:r>
        <w:t>d 15 spratova. U Tuzli je, u postsocijalističkom periodu, izgrađen</w:t>
      </w:r>
      <w:r w:rsidRPr="00111255">
        <w:t xml:space="preserve"> i najviši objekat u slivu rijeke Spreče – zgrada Mellain, visoka 110 metara. Unutar blokova zgrada rijetka je individualna stambena izgradnja, već su tu izgrađene škole, obdaništa, poslovni objekti, igrališta itd.</w:t>
      </w:r>
      <w:r>
        <w:tab/>
      </w:r>
      <w:r>
        <w:tab/>
      </w:r>
      <w:r>
        <w:tab/>
      </w:r>
      <w:r>
        <w:tab/>
      </w:r>
      <w:r>
        <w:tab/>
      </w:r>
      <w:r w:rsidRPr="00111255">
        <w:t>Najstariji stambeni objekti, iako rijetki, su s kraja osmanske vladavine, a nalaze se u gradskim naseljima sa najdužom urbanom tradicijom (u Tuzli i Gračanici). Iz osmanskog perioda su češći vjerski objekti (džamije i turbeta), koji su do danas i po nekoliko puta obnavljani. U mlađim gradskim naseljima, najstariji objekti su iz austrougarskog perioda (kraj 19. i početak 20. stoljeća) i kasnijih perioda, a građeni su u raznim stilovima. Ipak, većina današnjih objekata, kako stambenih, tako i javnih i privrednih, u svim gradskim naseljima, potiče iz socijalističkog perioda.Tipsku izgradnju iz socijalističkog perioda u postsocijalističkom vremenu zamijenila je izgradnja potaknuta privatnim kapitalom, koja često odudara dimenzijama, oblikom i fasadama od ranije izgradnje. Osim toga, nekadašnje tipske robne kuće zamijenjene su raznim inostranim trgovačkim centrima, koji se grade gdje god je to moguće, a često u samom putnom pojasu. Uz glavne saobraćajnice su i brojne benzinske pumpe, a na pogodnim lokacijama su i drugi objekti koji osiguravaju brzu zaradu kao što su: banke, mikrokreditne organizacije, sportske kladionice itd.</w:t>
      </w:r>
      <w:r>
        <w:tab/>
      </w:r>
      <w:r>
        <w:tab/>
      </w:r>
      <w:r>
        <w:tab/>
      </w:r>
      <w:r>
        <w:tab/>
      </w:r>
      <w:r>
        <w:tab/>
      </w:r>
      <w:r>
        <w:tab/>
      </w:r>
      <w:r>
        <w:tab/>
      </w:r>
      <w:r>
        <w:tab/>
      </w:r>
      <w:r w:rsidRPr="00111255">
        <w:t>Što se tiče načina gradnje kuća duž ulice,</w:t>
      </w:r>
      <w:r w:rsidRPr="00111255">
        <w:rPr>
          <w:rStyle w:val="FootnoteReference"/>
        </w:rPr>
        <w:footnoteReference w:id="20"/>
      </w:r>
      <w:r w:rsidRPr="00111255">
        <w:t xml:space="preserve"> u gradskim naseljima sliva rijeke Spreče dominira otvoreni način izgradnje, s tim da su kuće i zgrade znatno gušće izgrađene u gradskim centrima i najstarijim mahalama koje su obično bliže gradskim centrima, dok su na gradskim periferijama one znatnije udaljene jedna od druge. Položaji kuća u odnosu na ulicu su različiti. Na terenu se susreću nizovi kuća koje su čeonom stranom okrenute prema ulici, a veliki je broj i onih čija je duža strana uz ulicu.</w:t>
      </w:r>
    </w:p>
    <w:p w:rsidR="00F04593" w:rsidRDefault="00F04593" w:rsidP="00B33A55">
      <w:pPr>
        <w:pStyle w:val="tekst"/>
        <w:spacing w:line="240" w:lineRule="auto"/>
        <w:ind w:firstLine="0"/>
        <w:rPr>
          <w:b/>
        </w:rPr>
      </w:pPr>
    </w:p>
    <w:p w:rsidR="00F04593" w:rsidRPr="00B33A55" w:rsidRDefault="00F04593" w:rsidP="00B33A55">
      <w:pPr>
        <w:pStyle w:val="tekst"/>
        <w:spacing w:line="240" w:lineRule="auto"/>
        <w:ind w:firstLine="0"/>
        <w:rPr>
          <w:b/>
        </w:rPr>
      </w:pPr>
      <w:r w:rsidRPr="00B33A55">
        <w:rPr>
          <w:b/>
        </w:rPr>
        <w:t>ZAKLJUČAK</w:t>
      </w:r>
    </w:p>
    <w:p w:rsidR="00F04593" w:rsidRPr="00B33A55" w:rsidRDefault="00F04593" w:rsidP="00B33A55">
      <w:pPr>
        <w:pStyle w:val="tekst"/>
        <w:spacing w:line="240" w:lineRule="auto"/>
        <w:ind w:firstLine="0"/>
      </w:pPr>
      <w:r>
        <w:tab/>
        <w:t>Promjene prostorne strukture gradskih naselja u slivu rijeke Spreče uočavaju se u svim segmentima te strukture: funkcionalno-prostornoj, populacijsko-demografskoj i morfološkoj strukturi. U funkcionalno-prostornoj strukturi najveći značaj su dobile trgovačka i prerađivačko-industrijska funkcija, te tercijarne djelatnosti, a krupni kapital, odnosno investitori imaju sve veći uticaj na namjenu gradskog prostora. Privredne zone doživljavaju širenje kako u gradskom, tako i u izvangradskom području.</w:t>
      </w:r>
      <w:r>
        <w:tab/>
      </w:r>
      <w:r>
        <w:tab/>
      </w:r>
      <w:r w:rsidRPr="00B33A55">
        <w:t>Ukupan broj stanovnika gradskih naselja tokom tranzicijskog perioda je stagnirajući, za razliku od socijalističkog perioda kada je bio u permanentnom porastu. Na stagniranje ukupnog broja stanovnika najviše je uticao pad broja stanovnika u najvećem gradskom naselju –</w:t>
      </w:r>
      <w:bookmarkStart w:id="1" w:name="_GoBack"/>
      <w:bookmarkEnd w:id="1"/>
      <w:r w:rsidRPr="00B33A55">
        <w:t xml:space="preserve"> Tuzli. S druge strane, jedino gradsko naselje u slivu Spreče u kojem je zabilježen značajan porast broja stanovnika su Živinice. Prosječna veličina domaćinstva je smanjena na manje od 3 člana po domaćinstvu.</w:t>
      </w:r>
      <w:r>
        <w:tab/>
      </w:r>
      <w:r>
        <w:tab/>
      </w:r>
      <w:r>
        <w:tab/>
      </w:r>
      <w:r>
        <w:tab/>
      </w:r>
      <w:r w:rsidRPr="00B33A55">
        <w:t>Gradska naselja su naslijeđenih nepravilnih uličnih mreža, ispresijecana magistralnim i regionalnim putevima, opterećena saobraćajnim gužvama, zagađenošću zraka, bukom i drugim problemima. Tradicionalne objekte zamjenjuju savremeni, koji su na najpogodnijim lokacijama i često predimenzionirani u odnosu na okolne objekte.</w:t>
      </w:r>
    </w:p>
    <w:p w:rsidR="00F04593" w:rsidRDefault="00F04593" w:rsidP="00B33A55">
      <w:pPr>
        <w:pStyle w:val="NoSpacing"/>
        <w:jc w:val="both"/>
        <w:rPr>
          <w:rFonts w:ascii="Times New Roman" w:hAnsi="Times New Roman"/>
          <w:lang w:val="hr-HR"/>
        </w:rPr>
      </w:pPr>
      <w:r>
        <w:rPr>
          <w:rFonts w:ascii="Times New Roman" w:hAnsi="Times New Roman"/>
          <w:lang w:val="hr-HR"/>
        </w:rPr>
        <w:t>LITERATURA</w:t>
      </w:r>
    </w:p>
    <w:p w:rsidR="00F04593" w:rsidRDefault="00F04593" w:rsidP="00B33A55">
      <w:pPr>
        <w:pStyle w:val="NoSpacing"/>
        <w:jc w:val="both"/>
        <w:rPr>
          <w:rFonts w:ascii="Times New Roman" w:hAnsi="Times New Roman"/>
          <w:lang w:val="hr-HR"/>
        </w:rPr>
      </w:pPr>
      <w:r>
        <w:rPr>
          <w:rFonts w:ascii="Times New Roman" w:hAnsi="Times New Roman"/>
          <w:lang w:val="hr-HR"/>
        </w:rPr>
        <w:t>Knjige i članci</w:t>
      </w:r>
    </w:p>
    <w:p w:rsidR="00F04593" w:rsidRPr="009A0FC1" w:rsidRDefault="00F04593" w:rsidP="009A0FC1">
      <w:pPr>
        <w:pStyle w:val="NoSpacing"/>
        <w:keepNext w:val="0"/>
        <w:keepLines w:val="0"/>
        <w:numPr>
          <w:ilvl w:val="0"/>
          <w:numId w:val="39"/>
        </w:numPr>
        <w:spacing w:before="0" w:after="0"/>
        <w:jc w:val="both"/>
        <w:outlineLvl w:val="9"/>
        <w:rPr>
          <w:rStyle w:val="Hyperlink"/>
          <w:rFonts w:ascii="Times New Roman" w:hAnsi="Times New Roman"/>
          <w:b w:val="0"/>
          <w:color w:val="auto"/>
          <w:u w:val="none"/>
          <w:lang w:val="hr-BA"/>
        </w:rPr>
      </w:pPr>
      <w:r w:rsidRPr="00A57BAE">
        <w:rPr>
          <w:rFonts w:ascii="Times New Roman" w:hAnsi="Times New Roman"/>
          <w:b w:val="0"/>
          <w:lang w:val="hr-BA"/>
        </w:rPr>
        <w:t>Backović,</w:t>
      </w:r>
      <w:r>
        <w:rPr>
          <w:rFonts w:ascii="Times New Roman" w:hAnsi="Times New Roman"/>
          <w:b w:val="0"/>
          <w:lang w:val="hr-BA"/>
        </w:rPr>
        <w:t xml:space="preserve"> V.,</w:t>
      </w:r>
      <w:r w:rsidRPr="00A57BAE">
        <w:rPr>
          <w:rFonts w:ascii="Times New Roman" w:hAnsi="Times New Roman"/>
          <w:b w:val="0"/>
          <w:i/>
          <w:lang w:val="hr-BA"/>
        </w:rPr>
        <w:t>Evropski gradovi u postsocijalističkoj transformaciji</w:t>
      </w:r>
      <w:r w:rsidRPr="00A57BAE">
        <w:rPr>
          <w:rFonts w:ascii="Times New Roman" w:hAnsi="Times New Roman"/>
          <w:b w:val="0"/>
          <w:lang w:val="hr-BA"/>
        </w:rPr>
        <w:t xml:space="preserve">, </w:t>
      </w:r>
      <w:hyperlink r:id="rId9" w:history="1">
        <w:r w:rsidRPr="00A57BAE">
          <w:rPr>
            <w:rStyle w:val="Hyperlink"/>
            <w:rFonts w:ascii="Times New Roman" w:hAnsi="Times New Roman"/>
            <w:b w:val="0"/>
            <w:lang w:val="hr-BA"/>
          </w:rPr>
          <w:t>www.doiserbia.nb.rs</w:t>
        </w:r>
      </w:hyperlink>
      <w:r>
        <w:rPr>
          <w:rStyle w:val="Hyperlink"/>
          <w:rFonts w:ascii="Times New Roman" w:hAnsi="Times New Roman"/>
          <w:b w:val="0"/>
          <w:lang w:val="hr-BA"/>
        </w:rPr>
        <w:t>.</w:t>
      </w:r>
    </w:p>
    <w:p w:rsidR="00F04593" w:rsidRPr="00A57BAE" w:rsidRDefault="00F04593" w:rsidP="009A0FC1">
      <w:pPr>
        <w:pStyle w:val="NoSpacing"/>
        <w:keepNext w:val="0"/>
        <w:keepLines w:val="0"/>
        <w:numPr>
          <w:ilvl w:val="0"/>
          <w:numId w:val="39"/>
        </w:numPr>
        <w:spacing w:before="0" w:after="0"/>
        <w:jc w:val="both"/>
        <w:outlineLvl w:val="9"/>
        <w:rPr>
          <w:rFonts w:ascii="Times New Roman" w:hAnsi="Times New Roman"/>
          <w:b w:val="0"/>
          <w:lang w:val="hr-BA"/>
        </w:rPr>
      </w:pPr>
      <w:r w:rsidRPr="00A57BAE">
        <w:rPr>
          <w:rFonts w:ascii="Times New Roman" w:hAnsi="Times New Roman"/>
          <w:b w:val="0"/>
          <w:lang w:val="hr-HR"/>
        </w:rPr>
        <w:t xml:space="preserve">Federalni zavod za statistiku, </w:t>
      </w:r>
      <w:r w:rsidRPr="00A57BAE">
        <w:rPr>
          <w:rFonts w:ascii="Times New Roman" w:hAnsi="Times New Roman"/>
          <w:b w:val="0"/>
          <w:i/>
          <w:lang w:val="hr-HR"/>
        </w:rPr>
        <w:t>Tuzlanski kanton u brojkama</w:t>
      </w:r>
      <w:r w:rsidRPr="00A57BAE">
        <w:rPr>
          <w:rFonts w:ascii="Times New Roman" w:hAnsi="Times New Roman"/>
          <w:b w:val="0"/>
          <w:lang w:val="hr-HR"/>
        </w:rPr>
        <w:t>, Sarajevo</w:t>
      </w:r>
      <w:r>
        <w:rPr>
          <w:rFonts w:ascii="Times New Roman" w:hAnsi="Times New Roman"/>
          <w:b w:val="0"/>
          <w:lang w:val="hr-HR"/>
        </w:rPr>
        <w:t>,</w:t>
      </w:r>
      <w:r w:rsidRPr="00A57BAE">
        <w:rPr>
          <w:rFonts w:ascii="Times New Roman" w:hAnsi="Times New Roman"/>
          <w:b w:val="0"/>
          <w:lang w:val="hr-HR"/>
        </w:rPr>
        <w:t xml:space="preserve"> 2013.</w:t>
      </w:r>
    </w:p>
    <w:p w:rsidR="00F04593" w:rsidRPr="00A57BAE" w:rsidRDefault="00F04593" w:rsidP="009A0FC1">
      <w:pPr>
        <w:pStyle w:val="NoSpacing"/>
        <w:keepNext w:val="0"/>
        <w:keepLines w:val="0"/>
        <w:numPr>
          <w:ilvl w:val="0"/>
          <w:numId w:val="39"/>
        </w:numPr>
        <w:spacing w:before="0" w:after="0"/>
        <w:jc w:val="both"/>
        <w:outlineLvl w:val="9"/>
        <w:rPr>
          <w:rFonts w:ascii="Times New Roman" w:hAnsi="Times New Roman"/>
          <w:b w:val="0"/>
          <w:lang w:val="hr-BA"/>
        </w:rPr>
      </w:pPr>
      <w:r w:rsidRPr="00A57BAE">
        <w:rPr>
          <w:rFonts w:ascii="Times New Roman" w:hAnsi="Times New Roman"/>
          <w:b w:val="0"/>
          <w:lang/>
        </w:rPr>
        <w:t xml:space="preserve">Friganović, </w:t>
      </w:r>
      <w:r>
        <w:rPr>
          <w:rFonts w:ascii="Times New Roman" w:hAnsi="Times New Roman"/>
          <w:b w:val="0"/>
          <w:lang/>
        </w:rPr>
        <w:t xml:space="preserve">M., </w:t>
      </w:r>
      <w:r w:rsidRPr="00A57BAE">
        <w:rPr>
          <w:rFonts w:ascii="Times New Roman" w:hAnsi="Times New Roman"/>
          <w:b w:val="0"/>
          <w:i/>
          <w:lang/>
        </w:rPr>
        <w:t>Demogeografija, stanovništvo svijeta</w:t>
      </w:r>
      <w:r w:rsidRPr="00A57BAE">
        <w:rPr>
          <w:rFonts w:ascii="Times New Roman" w:hAnsi="Times New Roman"/>
          <w:b w:val="0"/>
          <w:lang/>
        </w:rPr>
        <w:t>, Školska knjiga, Zagreb 1990.</w:t>
      </w:r>
    </w:p>
    <w:p w:rsidR="00F04593" w:rsidRPr="00C54D3D" w:rsidRDefault="00F04593" w:rsidP="00C54D3D">
      <w:pPr>
        <w:pStyle w:val="NoSpacing"/>
        <w:keepNext w:val="0"/>
        <w:keepLines w:val="0"/>
        <w:numPr>
          <w:ilvl w:val="0"/>
          <w:numId w:val="39"/>
        </w:numPr>
        <w:spacing w:before="0" w:after="0"/>
        <w:jc w:val="both"/>
        <w:outlineLvl w:val="9"/>
        <w:rPr>
          <w:rFonts w:ascii="Times New Roman" w:hAnsi="Times New Roman"/>
          <w:b w:val="0"/>
          <w:lang w:val="hr-BA"/>
        </w:rPr>
      </w:pPr>
      <w:r w:rsidRPr="00C54D3D">
        <w:rPr>
          <w:rFonts w:ascii="Times New Roman" w:hAnsi="Times New Roman"/>
          <w:b w:val="0"/>
          <w:lang w:val="hr-BA"/>
        </w:rPr>
        <w:t xml:space="preserve">Njegač, D., Gašparović, S., Stipešević, Z., </w:t>
      </w:r>
      <w:r w:rsidRPr="00C54D3D">
        <w:rPr>
          <w:rFonts w:ascii="Times New Roman" w:hAnsi="Times New Roman"/>
          <w:b w:val="0"/>
          <w:i/>
          <w:lang w:val="hr-BA"/>
        </w:rPr>
        <w:t>Promjene u morfološkoj strukturi Osijeka nakon 1991. godine</w:t>
      </w:r>
      <w:r w:rsidRPr="00C54D3D">
        <w:rPr>
          <w:rFonts w:ascii="Times New Roman" w:hAnsi="Times New Roman"/>
          <w:b w:val="0"/>
          <w:lang w:val="hr-BA"/>
        </w:rPr>
        <w:t>, Akta Geographica Croatica, br. 38, Zagreb 2012</w:t>
      </w:r>
      <w:r w:rsidRPr="00C54D3D">
        <w:rPr>
          <w:b w:val="0"/>
          <w:lang w:val="hr-BA"/>
        </w:rPr>
        <w:t>.</w:t>
      </w:r>
    </w:p>
    <w:p w:rsidR="00F04593" w:rsidRPr="00A57BAE" w:rsidRDefault="00F04593" w:rsidP="00A57BAE">
      <w:pPr>
        <w:pStyle w:val="NoSpacing"/>
        <w:keepNext w:val="0"/>
        <w:keepLines w:val="0"/>
        <w:numPr>
          <w:ilvl w:val="0"/>
          <w:numId w:val="39"/>
        </w:numPr>
        <w:spacing w:before="0" w:after="0"/>
        <w:jc w:val="both"/>
        <w:outlineLvl w:val="9"/>
        <w:rPr>
          <w:rFonts w:ascii="Times New Roman" w:hAnsi="Times New Roman"/>
          <w:b w:val="0"/>
          <w:lang w:val="hr-BA"/>
        </w:rPr>
      </w:pPr>
      <w:r w:rsidRPr="00A57BAE">
        <w:rPr>
          <w:rFonts w:ascii="Times New Roman" w:hAnsi="Times New Roman"/>
          <w:b w:val="0"/>
          <w:lang/>
        </w:rPr>
        <w:t xml:space="preserve">Maretić, </w:t>
      </w:r>
      <w:r>
        <w:rPr>
          <w:rFonts w:ascii="Times New Roman" w:hAnsi="Times New Roman"/>
          <w:b w:val="0"/>
          <w:lang/>
        </w:rPr>
        <w:t xml:space="preserve">M., </w:t>
      </w:r>
      <w:r w:rsidRPr="00A57BAE">
        <w:rPr>
          <w:rFonts w:ascii="Times New Roman" w:hAnsi="Times New Roman"/>
          <w:b w:val="0"/>
          <w:i/>
          <w:lang/>
        </w:rPr>
        <w:t>Gradski centri</w:t>
      </w:r>
      <w:r w:rsidRPr="00A57BAE">
        <w:rPr>
          <w:rFonts w:ascii="Times New Roman" w:hAnsi="Times New Roman"/>
          <w:b w:val="0"/>
          <w:lang/>
        </w:rPr>
        <w:t>, Školska knjiga, Zagreb</w:t>
      </w:r>
      <w:r>
        <w:rPr>
          <w:rFonts w:ascii="Times New Roman" w:hAnsi="Times New Roman"/>
          <w:b w:val="0"/>
          <w:lang/>
        </w:rPr>
        <w:t>,</w:t>
      </w:r>
      <w:r w:rsidRPr="00A57BAE">
        <w:rPr>
          <w:rFonts w:ascii="Times New Roman" w:hAnsi="Times New Roman"/>
          <w:b w:val="0"/>
          <w:lang/>
        </w:rPr>
        <w:t xml:space="preserve"> 1996.</w:t>
      </w:r>
    </w:p>
    <w:p w:rsidR="00F04593" w:rsidRDefault="00F04593" w:rsidP="00A57BAE">
      <w:pPr>
        <w:pStyle w:val="NoSpacing"/>
        <w:keepNext w:val="0"/>
        <w:keepLines w:val="0"/>
        <w:numPr>
          <w:ilvl w:val="0"/>
          <w:numId w:val="39"/>
        </w:numPr>
        <w:spacing w:before="0" w:after="0"/>
        <w:jc w:val="both"/>
        <w:outlineLvl w:val="9"/>
        <w:rPr>
          <w:rFonts w:ascii="Times New Roman" w:hAnsi="Times New Roman"/>
          <w:b w:val="0"/>
          <w:lang w:val="hr-BA"/>
        </w:rPr>
      </w:pPr>
      <w:r w:rsidRPr="00A57BAE">
        <w:rPr>
          <w:rFonts w:ascii="Times New Roman" w:hAnsi="Times New Roman"/>
          <w:b w:val="0"/>
          <w:lang w:val="hr-BA"/>
        </w:rPr>
        <w:t xml:space="preserve">Mišković, </w:t>
      </w:r>
      <w:r>
        <w:rPr>
          <w:rFonts w:ascii="Times New Roman" w:hAnsi="Times New Roman"/>
          <w:b w:val="0"/>
          <w:lang w:val="hr-BA"/>
        </w:rPr>
        <w:t xml:space="preserve">M., </w:t>
      </w:r>
      <w:r w:rsidRPr="00A57BAE">
        <w:rPr>
          <w:rFonts w:ascii="Times New Roman" w:hAnsi="Times New Roman"/>
          <w:b w:val="0"/>
          <w:i/>
          <w:lang w:val="hr-BA"/>
        </w:rPr>
        <w:t>Funkcije gradskih naselja i gradova u SR Bosni i Hercegovini</w:t>
      </w:r>
      <w:r w:rsidRPr="00A57BAE">
        <w:rPr>
          <w:rFonts w:ascii="Times New Roman" w:hAnsi="Times New Roman"/>
          <w:b w:val="0"/>
          <w:lang w:val="hr-BA"/>
        </w:rPr>
        <w:t>, Geografski pregled, XXII, Geografsko društvo BiH, Sarajevo</w:t>
      </w:r>
      <w:r>
        <w:rPr>
          <w:rFonts w:ascii="Times New Roman" w:hAnsi="Times New Roman"/>
          <w:b w:val="0"/>
          <w:lang w:val="hr-BA"/>
        </w:rPr>
        <w:t>,</w:t>
      </w:r>
      <w:r w:rsidRPr="00A57BAE">
        <w:rPr>
          <w:rFonts w:ascii="Times New Roman" w:hAnsi="Times New Roman"/>
          <w:b w:val="0"/>
          <w:lang w:val="hr-BA"/>
        </w:rPr>
        <w:t xml:space="preserve"> 1978.</w:t>
      </w:r>
    </w:p>
    <w:p w:rsidR="00F04593" w:rsidRPr="00A57BAE" w:rsidRDefault="00F04593" w:rsidP="00C54D3D">
      <w:pPr>
        <w:pStyle w:val="NoSpacing"/>
        <w:keepNext w:val="0"/>
        <w:keepLines w:val="0"/>
        <w:numPr>
          <w:ilvl w:val="0"/>
          <w:numId w:val="39"/>
        </w:numPr>
        <w:spacing w:before="0" w:after="0"/>
        <w:jc w:val="both"/>
        <w:outlineLvl w:val="9"/>
        <w:rPr>
          <w:rFonts w:ascii="Times New Roman" w:hAnsi="Times New Roman"/>
          <w:b w:val="0"/>
          <w:lang w:val="hr-BA"/>
        </w:rPr>
      </w:pPr>
      <w:r w:rsidRPr="00A57BAE">
        <w:rPr>
          <w:rFonts w:ascii="Times New Roman" w:hAnsi="Times New Roman"/>
          <w:b w:val="0"/>
          <w:lang/>
        </w:rPr>
        <w:t xml:space="preserve">Mujagić, </w:t>
      </w:r>
      <w:r>
        <w:rPr>
          <w:rFonts w:ascii="Times New Roman" w:hAnsi="Times New Roman"/>
          <w:b w:val="0"/>
          <w:lang/>
        </w:rPr>
        <w:t xml:space="preserve">N., </w:t>
      </w:r>
      <w:r w:rsidRPr="00A57BAE">
        <w:rPr>
          <w:rFonts w:ascii="Times New Roman" w:hAnsi="Times New Roman"/>
          <w:b w:val="0"/>
          <w:i/>
          <w:lang/>
        </w:rPr>
        <w:t>Hronologija nastanka i razvoja gradskih ulica u Živinicama</w:t>
      </w:r>
      <w:r w:rsidRPr="00A57BAE">
        <w:rPr>
          <w:rFonts w:ascii="Times New Roman" w:hAnsi="Times New Roman"/>
          <w:b w:val="0"/>
          <w:lang/>
        </w:rPr>
        <w:t>, Baština sjeveroistočne Bosne, br. 5, Zavod za zaštitu i korištenje kulturno-historijskog i prirodnog naslijeđa Tuzlanskog kantona, Tuzla 2013</w:t>
      </w:r>
      <w:r w:rsidRPr="00A57BAE">
        <w:rPr>
          <w:rFonts w:ascii="Times New Roman" w:hAnsi="Times New Roman"/>
          <w:b w:val="0"/>
          <w:lang w:val="hr-BA"/>
        </w:rPr>
        <w:t>.</w:t>
      </w:r>
    </w:p>
    <w:p w:rsidR="00F04593" w:rsidRDefault="00F04593" w:rsidP="00C54D3D">
      <w:pPr>
        <w:pStyle w:val="NoSpacing"/>
        <w:keepNext w:val="0"/>
        <w:keepLines w:val="0"/>
        <w:numPr>
          <w:ilvl w:val="0"/>
          <w:numId w:val="39"/>
        </w:numPr>
        <w:spacing w:before="0" w:after="0"/>
        <w:jc w:val="both"/>
        <w:outlineLvl w:val="9"/>
        <w:rPr>
          <w:rFonts w:ascii="Times New Roman" w:hAnsi="Times New Roman"/>
          <w:b w:val="0"/>
          <w:lang w:val="hr-BA"/>
        </w:rPr>
      </w:pPr>
      <w:r w:rsidRPr="00A57BAE">
        <w:rPr>
          <w:rFonts w:ascii="Times New Roman" w:hAnsi="Times New Roman"/>
          <w:b w:val="0"/>
          <w:lang w:val="hr-BA"/>
        </w:rPr>
        <w:t xml:space="preserve">Mujagić, </w:t>
      </w:r>
      <w:r>
        <w:rPr>
          <w:rFonts w:ascii="Times New Roman" w:hAnsi="Times New Roman"/>
          <w:b w:val="0"/>
          <w:lang w:val="hr-BA"/>
        </w:rPr>
        <w:t xml:space="preserve">N., </w:t>
      </w:r>
      <w:r w:rsidRPr="00A57BAE">
        <w:rPr>
          <w:rFonts w:ascii="Times New Roman" w:hAnsi="Times New Roman"/>
          <w:b w:val="0"/>
          <w:i/>
          <w:lang w:val="hr-BA"/>
        </w:rPr>
        <w:t>Stvaranje poslijeratnog identita gradova u Bosni i Hercegovini-novi trendovi ili novi urbicid</w:t>
      </w:r>
      <w:r w:rsidRPr="00A57BAE">
        <w:rPr>
          <w:rFonts w:ascii="Times New Roman" w:hAnsi="Times New Roman"/>
          <w:b w:val="0"/>
          <w:lang w:val="hr-BA"/>
        </w:rPr>
        <w:t>, Zbornik radova Prirodno-matematičkog fakulteta, sv. Geografija, br. 4-5, Tuzla 2008.</w:t>
      </w:r>
    </w:p>
    <w:p w:rsidR="00F04593" w:rsidRPr="00A57BAE" w:rsidRDefault="00F04593" w:rsidP="00A57BAE">
      <w:pPr>
        <w:pStyle w:val="NoSpacing"/>
        <w:keepNext w:val="0"/>
        <w:keepLines w:val="0"/>
        <w:numPr>
          <w:ilvl w:val="0"/>
          <w:numId w:val="39"/>
        </w:numPr>
        <w:spacing w:before="0" w:after="0"/>
        <w:jc w:val="both"/>
        <w:outlineLvl w:val="9"/>
        <w:rPr>
          <w:rFonts w:ascii="Times New Roman" w:hAnsi="Times New Roman"/>
          <w:b w:val="0"/>
          <w:lang w:val="hr-BA"/>
        </w:rPr>
      </w:pPr>
      <w:r w:rsidRPr="00A57BAE">
        <w:rPr>
          <w:rFonts w:ascii="Times New Roman" w:hAnsi="Times New Roman"/>
          <w:b w:val="0"/>
          <w:lang w:val="hr-BA"/>
        </w:rPr>
        <w:t xml:space="preserve">Vresk, </w:t>
      </w:r>
      <w:r>
        <w:rPr>
          <w:rFonts w:ascii="Times New Roman" w:hAnsi="Times New Roman"/>
          <w:b w:val="0"/>
          <w:lang w:val="hr-BA"/>
        </w:rPr>
        <w:t xml:space="preserve">M., </w:t>
      </w:r>
      <w:r w:rsidRPr="00A57BAE">
        <w:rPr>
          <w:rFonts w:ascii="Times New Roman" w:hAnsi="Times New Roman"/>
          <w:b w:val="0"/>
          <w:i/>
          <w:lang w:val="hr-BA"/>
        </w:rPr>
        <w:t>Funkcionalna struktura i funkcionalna klasifikacija gradova Hrvatske</w:t>
      </w:r>
      <w:r w:rsidRPr="00A57BAE">
        <w:rPr>
          <w:rFonts w:ascii="Times New Roman" w:hAnsi="Times New Roman"/>
          <w:b w:val="0"/>
          <w:lang w:val="hr-BA"/>
        </w:rPr>
        <w:t>, Geografski glasnik, br. 58, Zagreb</w:t>
      </w:r>
      <w:r>
        <w:rPr>
          <w:rFonts w:ascii="Times New Roman" w:hAnsi="Times New Roman"/>
          <w:b w:val="0"/>
          <w:lang w:val="hr-BA"/>
        </w:rPr>
        <w:t>,</w:t>
      </w:r>
      <w:r w:rsidRPr="00A57BAE">
        <w:rPr>
          <w:rFonts w:ascii="Times New Roman" w:hAnsi="Times New Roman"/>
          <w:b w:val="0"/>
          <w:lang w:val="hr-BA"/>
        </w:rPr>
        <w:t xml:space="preserve"> 1996.</w:t>
      </w:r>
    </w:p>
    <w:p w:rsidR="00F04593" w:rsidRPr="00A57BAE" w:rsidRDefault="00F04593" w:rsidP="00A57BAE">
      <w:pPr>
        <w:pStyle w:val="NoSpacing"/>
        <w:keepNext w:val="0"/>
        <w:keepLines w:val="0"/>
        <w:numPr>
          <w:ilvl w:val="0"/>
          <w:numId w:val="39"/>
        </w:numPr>
        <w:spacing w:before="0" w:after="0"/>
        <w:jc w:val="both"/>
        <w:outlineLvl w:val="9"/>
        <w:rPr>
          <w:rFonts w:ascii="Times New Roman" w:hAnsi="Times New Roman"/>
          <w:b w:val="0"/>
          <w:lang w:val="hr-BA"/>
        </w:rPr>
      </w:pPr>
      <w:r w:rsidRPr="00A57BAE">
        <w:rPr>
          <w:rFonts w:ascii="Times New Roman" w:hAnsi="Times New Roman"/>
          <w:b w:val="0"/>
          <w:lang w:val="hr-BA"/>
        </w:rPr>
        <w:t xml:space="preserve">Vresk, </w:t>
      </w:r>
      <w:r>
        <w:rPr>
          <w:rFonts w:ascii="Times New Roman" w:hAnsi="Times New Roman"/>
          <w:b w:val="0"/>
          <w:lang w:val="hr-BA"/>
        </w:rPr>
        <w:t xml:space="preserve">M., </w:t>
      </w:r>
      <w:r w:rsidRPr="00A57BAE">
        <w:rPr>
          <w:rFonts w:ascii="Times New Roman" w:hAnsi="Times New Roman"/>
          <w:b w:val="0"/>
          <w:i/>
          <w:lang w:val="hr-BA"/>
        </w:rPr>
        <w:t>Osnove urbane geografije</w:t>
      </w:r>
      <w:r w:rsidRPr="00A57BAE">
        <w:rPr>
          <w:rFonts w:ascii="Times New Roman" w:hAnsi="Times New Roman"/>
          <w:b w:val="0"/>
          <w:lang w:val="hr-BA"/>
        </w:rPr>
        <w:t>, Školska knjiga, Zagreb</w:t>
      </w:r>
      <w:r>
        <w:rPr>
          <w:rFonts w:ascii="Times New Roman" w:hAnsi="Times New Roman"/>
          <w:b w:val="0"/>
          <w:lang w:val="hr-BA"/>
        </w:rPr>
        <w:t>,</w:t>
      </w:r>
      <w:r w:rsidRPr="00A57BAE">
        <w:rPr>
          <w:rFonts w:ascii="Times New Roman" w:hAnsi="Times New Roman"/>
          <w:b w:val="0"/>
          <w:lang w:val="hr-BA"/>
        </w:rPr>
        <w:t xml:space="preserve"> 1990.</w:t>
      </w:r>
    </w:p>
    <w:p w:rsidR="00F04593" w:rsidRPr="00A57BAE" w:rsidRDefault="00F04593" w:rsidP="00A57BAE">
      <w:pPr>
        <w:pStyle w:val="NoSpacing"/>
        <w:keepNext w:val="0"/>
        <w:keepLines w:val="0"/>
        <w:numPr>
          <w:ilvl w:val="0"/>
          <w:numId w:val="39"/>
        </w:numPr>
        <w:spacing w:before="0" w:after="0"/>
        <w:jc w:val="both"/>
        <w:outlineLvl w:val="9"/>
        <w:rPr>
          <w:rFonts w:ascii="Times New Roman" w:hAnsi="Times New Roman"/>
          <w:b w:val="0"/>
          <w:lang w:val="hr-BA"/>
        </w:rPr>
      </w:pPr>
      <w:r w:rsidRPr="00A57BAE">
        <w:rPr>
          <w:rFonts w:ascii="Times New Roman" w:hAnsi="Times New Roman"/>
          <w:b w:val="0"/>
          <w:lang w:val="hr-BA"/>
        </w:rPr>
        <w:t xml:space="preserve">Vresk, </w:t>
      </w:r>
      <w:r>
        <w:rPr>
          <w:rFonts w:ascii="Times New Roman" w:hAnsi="Times New Roman"/>
          <w:b w:val="0"/>
          <w:lang w:val="hr-BA"/>
        </w:rPr>
        <w:t xml:space="preserve">M., </w:t>
      </w:r>
      <w:r w:rsidRPr="00A57BAE">
        <w:rPr>
          <w:rFonts w:ascii="Times New Roman" w:hAnsi="Times New Roman"/>
          <w:b w:val="0"/>
          <w:i/>
          <w:lang w:val="hr-BA"/>
        </w:rPr>
        <w:t>Neki pokazatelji funkcionalno-prostorne strukture Zagreba</w:t>
      </w:r>
      <w:r w:rsidRPr="00A57BAE">
        <w:rPr>
          <w:rFonts w:ascii="Times New Roman" w:hAnsi="Times New Roman"/>
          <w:b w:val="0"/>
          <w:lang w:val="hr-BA"/>
        </w:rPr>
        <w:t>, Radovi, 21, Zagreb 1986.</w:t>
      </w:r>
    </w:p>
    <w:p w:rsidR="00F04593" w:rsidRDefault="00F04593" w:rsidP="00C54D3D">
      <w:pPr>
        <w:pStyle w:val="NoSpacing"/>
        <w:keepNext w:val="0"/>
        <w:keepLines w:val="0"/>
        <w:spacing w:before="0" w:after="0"/>
        <w:jc w:val="both"/>
        <w:outlineLvl w:val="9"/>
        <w:rPr>
          <w:rFonts w:ascii="Times New Roman" w:hAnsi="Times New Roman"/>
          <w:b w:val="0"/>
          <w:lang w:val="hr-BA"/>
        </w:rPr>
      </w:pPr>
    </w:p>
    <w:p w:rsidR="00F04593" w:rsidRPr="00C54D3D" w:rsidRDefault="00F04593" w:rsidP="00C54D3D">
      <w:pPr>
        <w:pStyle w:val="NoSpacing"/>
        <w:keepNext w:val="0"/>
        <w:keepLines w:val="0"/>
        <w:spacing w:before="0" w:after="0"/>
        <w:jc w:val="both"/>
        <w:outlineLvl w:val="9"/>
        <w:rPr>
          <w:rFonts w:ascii="Times New Roman" w:hAnsi="Times New Roman"/>
          <w:lang w:val="hr-BA"/>
        </w:rPr>
      </w:pPr>
      <w:r w:rsidRPr="00C54D3D">
        <w:rPr>
          <w:rFonts w:ascii="Times New Roman" w:hAnsi="Times New Roman"/>
          <w:lang w:val="hr-BA"/>
        </w:rPr>
        <w:t>Dokumenta</w:t>
      </w:r>
    </w:p>
    <w:p w:rsidR="00F04593" w:rsidRPr="00A57BAE" w:rsidRDefault="00F04593" w:rsidP="00C54D3D">
      <w:pPr>
        <w:pStyle w:val="NoSpacing"/>
        <w:keepNext w:val="0"/>
        <w:keepLines w:val="0"/>
        <w:spacing w:before="0" w:after="0"/>
        <w:jc w:val="both"/>
        <w:outlineLvl w:val="9"/>
        <w:rPr>
          <w:rFonts w:ascii="Times New Roman" w:hAnsi="Times New Roman"/>
          <w:b w:val="0"/>
          <w:lang w:val="hr-BA"/>
        </w:rPr>
      </w:pPr>
    </w:p>
    <w:p w:rsidR="00F04593" w:rsidRPr="00A57BAE" w:rsidRDefault="00F04593" w:rsidP="00A57BAE">
      <w:pPr>
        <w:pStyle w:val="NoSpacing"/>
        <w:keepNext w:val="0"/>
        <w:keepLines w:val="0"/>
        <w:numPr>
          <w:ilvl w:val="0"/>
          <w:numId w:val="39"/>
        </w:numPr>
        <w:spacing w:before="0" w:after="0"/>
        <w:jc w:val="both"/>
        <w:outlineLvl w:val="9"/>
        <w:rPr>
          <w:rFonts w:ascii="Times New Roman" w:hAnsi="Times New Roman"/>
          <w:b w:val="0"/>
          <w:lang w:val="hr-BA"/>
        </w:rPr>
      </w:pPr>
      <w:r w:rsidRPr="00A57BAE">
        <w:rPr>
          <w:rFonts w:ascii="Times New Roman" w:hAnsi="Times New Roman"/>
          <w:b w:val="0"/>
          <w:lang w:val="hr-HR"/>
        </w:rPr>
        <w:t xml:space="preserve">Općina Banovići, </w:t>
      </w:r>
      <w:r w:rsidRPr="00A57BAE">
        <w:rPr>
          <w:rFonts w:ascii="Times New Roman" w:hAnsi="Times New Roman"/>
          <w:b w:val="0"/>
          <w:i/>
          <w:lang w:val="hr-HR"/>
        </w:rPr>
        <w:t>Regulacioni plan „Termoelektrana-cementara Banovići“ za period 2012-2022 god</w:t>
      </w:r>
      <w:r w:rsidRPr="00A57BAE">
        <w:rPr>
          <w:rFonts w:ascii="Times New Roman" w:hAnsi="Times New Roman"/>
          <w:b w:val="0"/>
          <w:lang w:val="hr-HR"/>
        </w:rPr>
        <w:t>., Nacrt, 2013.</w:t>
      </w:r>
    </w:p>
    <w:p w:rsidR="00F04593" w:rsidRPr="00A57BAE" w:rsidRDefault="00F04593" w:rsidP="00A57BAE">
      <w:pPr>
        <w:pStyle w:val="NoSpacing"/>
        <w:keepNext w:val="0"/>
        <w:keepLines w:val="0"/>
        <w:numPr>
          <w:ilvl w:val="0"/>
          <w:numId w:val="39"/>
        </w:numPr>
        <w:spacing w:before="0" w:after="0"/>
        <w:jc w:val="both"/>
        <w:outlineLvl w:val="9"/>
        <w:rPr>
          <w:rFonts w:ascii="Times New Roman" w:hAnsi="Times New Roman"/>
          <w:b w:val="0"/>
          <w:lang w:val="hr-BA"/>
        </w:rPr>
      </w:pPr>
      <w:r w:rsidRPr="00A57BAE">
        <w:rPr>
          <w:rFonts w:ascii="Times New Roman" w:hAnsi="Times New Roman"/>
          <w:b w:val="0"/>
          <w:i/>
          <w:lang w:val="hr-BA"/>
        </w:rPr>
        <w:t>Prostorni plan  za područje Tuzlanskog kantona 2005-2025</w:t>
      </w:r>
      <w:r w:rsidRPr="00A57BAE">
        <w:rPr>
          <w:rFonts w:ascii="Times New Roman" w:hAnsi="Times New Roman"/>
          <w:b w:val="0"/>
          <w:lang w:val="hr-BA"/>
        </w:rPr>
        <w:t xml:space="preserve">, </w:t>
      </w:r>
      <w:hyperlink r:id="rId10" w:history="1">
        <w:r w:rsidRPr="00A57BAE">
          <w:rPr>
            <w:rStyle w:val="Hyperlink"/>
            <w:rFonts w:ascii="Times New Roman" w:hAnsi="Times New Roman"/>
            <w:b w:val="0"/>
            <w:lang w:val="hr-BA"/>
          </w:rPr>
          <w:t>www.vladatk.kim.ba</w:t>
        </w:r>
      </w:hyperlink>
    </w:p>
    <w:p w:rsidR="00F04593" w:rsidRPr="009018BE" w:rsidRDefault="00F04593" w:rsidP="009018BE">
      <w:pPr>
        <w:pStyle w:val="NoSpacing"/>
        <w:keepNext w:val="0"/>
        <w:keepLines w:val="0"/>
        <w:numPr>
          <w:ilvl w:val="0"/>
          <w:numId w:val="39"/>
        </w:numPr>
        <w:spacing w:before="0" w:after="0"/>
        <w:jc w:val="both"/>
        <w:outlineLvl w:val="9"/>
        <w:rPr>
          <w:lang w:val="hr-BA"/>
        </w:rPr>
      </w:pPr>
      <w:r w:rsidRPr="009018BE">
        <w:rPr>
          <w:rFonts w:ascii="Times New Roman" w:hAnsi="Times New Roman"/>
          <w:b w:val="0"/>
          <w:i/>
          <w:lang w:val="hr-BA"/>
        </w:rPr>
        <w:t>Regulacioni plan „Centar“ Gračanica</w:t>
      </w:r>
      <w:r w:rsidRPr="009018BE">
        <w:rPr>
          <w:rFonts w:ascii="Times New Roman" w:hAnsi="Times New Roman"/>
          <w:b w:val="0"/>
          <w:lang w:val="hr-BA"/>
        </w:rPr>
        <w:t xml:space="preserve">, Nacrt, IPSA Institut, </w:t>
      </w:r>
      <w:hyperlink r:id="rId11" w:history="1">
        <w:r w:rsidRPr="009018BE">
          <w:rPr>
            <w:rStyle w:val="Hyperlink"/>
            <w:rFonts w:ascii="Times New Roman" w:hAnsi="Times New Roman"/>
            <w:b w:val="0"/>
            <w:shd w:val="clear" w:color="auto" w:fill="FFFFFF"/>
          </w:rPr>
          <w:t>www.opcina-gracanica.ba</w:t>
        </w:r>
      </w:hyperlink>
      <w:bookmarkEnd w:id="0"/>
    </w:p>
    <w:sectPr w:rsidR="00F04593" w:rsidRPr="009018BE" w:rsidSect="008B2625">
      <w:headerReference w:type="even" r:id="rId12"/>
      <w:headerReference w:type="default" r:id="rId13"/>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593" w:rsidRDefault="00F04593" w:rsidP="00D3231E">
      <w:pPr>
        <w:spacing w:before="0"/>
      </w:pPr>
      <w:r>
        <w:separator/>
      </w:r>
    </w:p>
  </w:endnote>
  <w:endnote w:type="continuationSeparator" w:id="1">
    <w:p w:rsidR="00F04593" w:rsidRDefault="00F04593"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593" w:rsidRDefault="00F04593" w:rsidP="00D3231E">
      <w:pPr>
        <w:spacing w:before="0"/>
      </w:pPr>
      <w:r>
        <w:separator/>
      </w:r>
    </w:p>
  </w:footnote>
  <w:footnote w:type="continuationSeparator" w:id="1">
    <w:p w:rsidR="00F04593" w:rsidRDefault="00F04593" w:rsidP="00D3231E">
      <w:pPr>
        <w:spacing w:before="0"/>
      </w:pPr>
      <w:r>
        <w:continuationSeparator/>
      </w:r>
    </w:p>
  </w:footnote>
  <w:footnote w:id="2">
    <w:p w:rsidR="00F04593" w:rsidRDefault="00F04593" w:rsidP="00757B16">
      <w:pPr>
        <w:pStyle w:val="Heading3"/>
        <w:jc w:val="left"/>
        <w:rPr>
          <w:rFonts w:ascii="Times New Roman" w:hAnsi="Times New Roman"/>
          <w:color w:val="auto"/>
          <w:sz w:val="22"/>
          <w:szCs w:val="22"/>
        </w:rPr>
      </w:pPr>
    </w:p>
    <w:p w:rsidR="00F04593" w:rsidRPr="00904544" w:rsidRDefault="00F04593" w:rsidP="00757B16">
      <w:pPr>
        <w:pStyle w:val="Heading3"/>
        <w:jc w:val="left"/>
        <w:rPr>
          <w:rFonts w:ascii="Times New Roman" w:hAnsi="Times New Roman"/>
          <w:color w:val="auto"/>
          <w:sz w:val="22"/>
          <w:szCs w:val="22"/>
        </w:rPr>
      </w:pPr>
      <w:r>
        <w:rPr>
          <w:rFonts w:ascii="Times New Roman" w:hAnsi="Times New Roman"/>
          <w:color w:val="auto"/>
          <w:sz w:val="22"/>
          <w:szCs w:val="22"/>
        </w:rPr>
        <w:t>Primljeno: 18.04</w:t>
      </w:r>
      <w:r w:rsidRPr="00904544">
        <w:rPr>
          <w:rFonts w:ascii="Times New Roman" w:hAnsi="Times New Roman"/>
          <w:color w:val="auto"/>
          <w:sz w:val="22"/>
          <w:szCs w:val="22"/>
        </w:rPr>
        <w:t>.2019; Prihvaćeno:1</w:t>
      </w:r>
      <w:r>
        <w:rPr>
          <w:rFonts w:ascii="Times New Roman" w:hAnsi="Times New Roman"/>
          <w:color w:val="auto"/>
          <w:sz w:val="22"/>
          <w:szCs w:val="22"/>
        </w:rPr>
        <w:t>0.06</w:t>
      </w:r>
      <w:r w:rsidRPr="00904544">
        <w:rPr>
          <w:rFonts w:ascii="Times New Roman" w:hAnsi="Times New Roman"/>
          <w:color w:val="auto"/>
          <w:sz w:val="22"/>
          <w:szCs w:val="22"/>
        </w:rPr>
        <w:t xml:space="preserve">.2019.                                                             </w:t>
      </w:r>
      <w:r>
        <w:rPr>
          <w:rFonts w:ascii="Times New Roman" w:hAnsi="Times New Roman"/>
          <w:color w:val="auto"/>
          <w:sz w:val="22"/>
          <w:szCs w:val="22"/>
        </w:rPr>
        <w:t xml:space="preserve">                   Submitted: 18-04</w:t>
      </w:r>
      <w:r w:rsidRPr="00904544">
        <w:rPr>
          <w:rFonts w:ascii="Times New Roman" w:hAnsi="Times New Roman"/>
          <w:color w:val="auto"/>
          <w:sz w:val="22"/>
          <w:szCs w:val="22"/>
        </w:rPr>
        <w:t xml:space="preserve">-2019; </w:t>
      </w:r>
      <w:r>
        <w:rPr>
          <w:rFonts w:ascii="Times New Roman" w:hAnsi="Times New Roman"/>
          <w:color w:val="auto"/>
          <w:sz w:val="22"/>
          <w:szCs w:val="22"/>
        </w:rPr>
        <w:t>Accepted: 10-06</w:t>
      </w:r>
      <w:r w:rsidRPr="00904544">
        <w:rPr>
          <w:rFonts w:ascii="Times New Roman" w:hAnsi="Times New Roman"/>
          <w:color w:val="auto"/>
          <w:sz w:val="22"/>
          <w:szCs w:val="22"/>
        </w:rPr>
        <w:t>-2019</w:t>
      </w:r>
      <w:r>
        <w:rPr>
          <w:rFonts w:ascii="Times New Roman" w:hAnsi="Times New Roman"/>
          <w:color w:val="auto"/>
          <w:sz w:val="22"/>
          <w:szCs w:val="22"/>
        </w:rPr>
        <w:t>.</w:t>
      </w:r>
    </w:p>
    <w:p w:rsidR="00F04593" w:rsidRDefault="00F04593" w:rsidP="00757B16">
      <w:pPr>
        <w:pStyle w:val="Heading3"/>
        <w:rPr>
          <w:rFonts w:ascii="Times New Roman" w:hAnsi="Times New Roman"/>
          <w:b/>
          <w:color w:val="auto"/>
          <w:sz w:val="22"/>
          <w:szCs w:val="22"/>
        </w:rPr>
      </w:pPr>
    </w:p>
    <w:p w:rsidR="00F04593" w:rsidRDefault="00F04593" w:rsidP="002C4E5F">
      <w:pPr>
        <w:pStyle w:val="Heading3"/>
      </w:pPr>
      <w:r w:rsidRPr="006B0E63">
        <w:rPr>
          <w:rStyle w:val="FootnoteReference"/>
          <w:rFonts w:ascii="Times New Roman" w:hAnsi="Times New Roman"/>
          <w:b/>
          <w:color w:val="auto"/>
          <w:sz w:val="22"/>
          <w:szCs w:val="22"/>
        </w:rPr>
        <w:t>*</w:t>
      </w:r>
      <w:r w:rsidRPr="006B0E63">
        <w:rPr>
          <w:rFonts w:ascii="Times New Roman" w:hAnsi="Times New Roman"/>
          <w:b/>
          <w:color w:val="auto"/>
          <w:sz w:val="22"/>
          <w:szCs w:val="22"/>
        </w:rPr>
        <w:t xml:space="preserve">Dr. sc. </w:t>
      </w:r>
      <w:r w:rsidRPr="00571228">
        <w:rPr>
          <w:rFonts w:ascii="Times New Roman" w:hAnsi="Times New Roman"/>
          <w:b/>
          <w:color w:val="auto"/>
          <w:sz w:val="22"/>
          <w:szCs w:val="22"/>
          <w:lang w:val="de-DE"/>
        </w:rPr>
        <w:t>Damir Džafić, JUOŠ „Sjenjak“ Tuzla, e-mail: dzafic_damir@yahoo.com</w:t>
      </w:r>
    </w:p>
  </w:footnote>
  <w:footnote w:id="3">
    <w:p w:rsidR="00F04593" w:rsidRDefault="00F04593" w:rsidP="006B02FC">
      <w:pPr>
        <w:pStyle w:val="FootnoteText"/>
        <w:ind w:left="240" w:hanging="240"/>
        <w:jc w:val="both"/>
        <w:rPr>
          <w:lang w:val="hr-BA"/>
        </w:rPr>
      </w:pPr>
      <w:r>
        <w:rPr>
          <w:rStyle w:val="FootnoteReference"/>
        </w:rPr>
        <w:footnoteRef/>
      </w:r>
      <w:r>
        <w:rPr>
          <w:lang w:val="hr-BA"/>
        </w:rPr>
        <w:t xml:space="preserve">Mišković, M., </w:t>
      </w:r>
      <w:r w:rsidRPr="00695530">
        <w:rPr>
          <w:i/>
          <w:lang w:val="hr-BA"/>
        </w:rPr>
        <w:t>Funkcije gradskih naselja i gradova u SR Bosni i Hercegovini</w:t>
      </w:r>
      <w:r>
        <w:rPr>
          <w:lang w:val="hr-BA"/>
        </w:rPr>
        <w:t xml:space="preserve">, Geografski pregled, XXII, </w:t>
      </w:r>
    </w:p>
    <w:p w:rsidR="00F04593" w:rsidRDefault="00F04593" w:rsidP="006B02FC">
      <w:pPr>
        <w:pStyle w:val="FootnoteText"/>
        <w:ind w:left="240" w:hanging="240"/>
        <w:jc w:val="both"/>
      </w:pPr>
      <w:r>
        <w:rPr>
          <w:lang w:val="hr-BA"/>
        </w:rPr>
        <w:t>Geografsko društvo BiH, Sarajevo, 1978, str. 75-83.</w:t>
      </w:r>
    </w:p>
  </w:footnote>
  <w:footnote w:id="4">
    <w:p w:rsidR="00F04593" w:rsidRDefault="00F04593" w:rsidP="00A57BAE">
      <w:pPr>
        <w:pStyle w:val="FootnoteText"/>
        <w:ind w:left="360" w:hanging="360"/>
      </w:pPr>
      <w:r>
        <w:rPr>
          <w:rStyle w:val="FootnoteReference"/>
        </w:rPr>
        <w:footnoteRef/>
      </w:r>
      <w:r>
        <w:rPr>
          <w:lang w:val="hr-BA"/>
        </w:rPr>
        <w:t xml:space="preserve">Vresk, M., </w:t>
      </w:r>
      <w:r w:rsidRPr="004807EF">
        <w:rPr>
          <w:i/>
          <w:lang w:val="hr-BA"/>
        </w:rPr>
        <w:t>Neki pokazatelji funkcionalno-prostorne strukture Zagreba</w:t>
      </w:r>
      <w:r>
        <w:rPr>
          <w:lang w:val="hr-BA"/>
        </w:rPr>
        <w:t xml:space="preserve">, Radovi, 21, Zagreb, 1986, str. 45. </w:t>
      </w:r>
    </w:p>
  </w:footnote>
  <w:footnote w:id="5">
    <w:p w:rsidR="00F04593" w:rsidRDefault="00F04593" w:rsidP="00A57BAE">
      <w:pPr>
        <w:pStyle w:val="FootnoteText"/>
      </w:pPr>
      <w:r>
        <w:rPr>
          <w:rStyle w:val="FootnoteReference"/>
        </w:rPr>
        <w:footnoteRef/>
      </w:r>
      <w:r>
        <w:rPr>
          <w:lang w:val="hr-BA"/>
        </w:rPr>
        <w:t xml:space="preserve">Vidi šire: </w:t>
      </w:r>
      <w:r w:rsidRPr="004807EF">
        <w:rPr>
          <w:i/>
          <w:lang w:val="hr-BA"/>
        </w:rPr>
        <w:t>Prostorni plan  za područje Tuzlanskog kantona 2005-2025</w:t>
      </w:r>
      <w:r>
        <w:rPr>
          <w:lang w:val="hr-BA"/>
        </w:rPr>
        <w:t xml:space="preserve">, </w:t>
      </w:r>
      <w:hyperlink r:id="rId1" w:history="1">
        <w:r w:rsidRPr="0052755C">
          <w:rPr>
            <w:rStyle w:val="Hyperlink"/>
            <w:lang w:val="hr-BA"/>
          </w:rPr>
          <w:t>www.vladatk.kim.ba</w:t>
        </w:r>
      </w:hyperlink>
    </w:p>
  </w:footnote>
  <w:footnote w:id="6">
    <w:p w:rsidR="00F04593" w:rsidRDefault="00F04593" w:rsidP="00A57BAE">
      <w:pPr>
        <w:pStyle w:val="FootnoteText"/>
        <w:ind w:left="360" w:hanging="360"/>
        <w:rPr>
          <w:i/>
          <w:lang w:val="hr-BA"/>
        </w:rPr>
      </w:pPr>
      <w:r>
        <w:rPr>
          <w:rStyle w:val="FootnoteReference"/>
        </w:rPr>
        <w:footnoteRef/>
      </w:r>
      <w:r w:rsidRPr="001B3CBA">
        <w:rPr>
          <w:lang w:val="hr-BA"/>
        </w:rPr>
        <w:t xml:space="preserve">Mujagić, </w:t>
      </w:r>
      <w:r>
        <w:rPr>
          <w:lang w:val="hr-BA"/>
        </w:rPr>
        <w:t xml:space="preserve">N., </w:t>
      </w:r>
      <w:r w:rsidRPr="001B3CBA">
        <w:rPr>
          <w:i/>
          <w:lang w:val="hr-BA"/>
        </w:rPr>
        <w:t xml:space="preserve">Stvaranje poslijeratnog identita gradova u Bosni i Hercegovini-novi trendovi ili novi </w:t>
      </w:r>
    </w:p>
    <w:p w:rsidR="00F04593" w:rsidRDefault="00F04593" w:rsidP="00A57BAE">
      <w:pPr>
        <w:pStyle w:val="FootnoteText"/>
        <w:ind w:left="360" w:hanging="360"/>
      </w:pPr>
      <w:r w:rsidRPr="001B3CBA">
        <w:rPr>
          <w:i/>
          <w:lang w:val="hr-BA"/>
        </w:rPr>
        <w:t>urbicid</w:t>
      </w:r>
      <w:r>
        <w:rPr>
          <w:lang w:val="hr-BA"/>
        </w:rPr>
        <w:t xml:space="preserve">, </w:t>
      </w:r>
      <w:r w:rsidRPr="001B3CBA">
        <w:rPr>
          <w:lang w:val="hr-BA"/>
        </w:rPr>
        <w:t>Zbornik radova Prirodno-matematičkog fakulteta, sv. Geografija, br</w:t>
      </w:r>
      <w:r>
        <w:rPr>
          <w:lang w:val="hr-BA"/>
        </w:rPr>
        <w:t>. 4-5, Tuzla, 2008, str. 64.</w:t>
      </w:r>
    </w:p>
  </w:footnote>
  <w:footnote w:id="7">
    <w:p w:rsidR="00F04593" w:rsidRDefault="00F04593" w:rsidP="00A57BAE">
      <w:pPr>
        <w:pStyle w:val="FootnoteText"/>
        <w:jc w:val="both"/>
      </w:pPr>
      <w:r>
        <w:rPr>
          <w:rStyle w:val="FootnoteReference"/>
        </w:rPr>
        <w:footnoteRef/>
      </w:r>
      <w:r>
        <w:rPr>
          <w:lang w:val="bs-Latn-BA"/>
        </w:rPr>
        <w:t xml:space="preserve">Maretić, M., </w:t>
      </w:r>
      <w:r w:rsidRPr="005A4F8C">
        <w:rPr>
          <w:i/>
          <w:lang w:val="bs-Latn-BA"/>
        </w:rPr>
        <w:t>Gradski centri</w:t>
      </w:r>
      <w:r>
        <w:rPr>
          <w:lang w:val="bs-Latn-BA"/>
        </w:rPr>
        <w:t>, Školska knjiga, Zagreb, 1996, str.14.</w:t>
      </w:r>
    </w:p>
  </w:footnote>
  <w:footnote w:id="8">
    <w:p w:rsidR="00F04593" w:rsidRDefault="00F04593" w:rsidP="00A57BAE">
      <w:pPr>
        <w:pStyle w:val="FootnoteText"/>
      </w:pPr>
      <w:r>
        <w:rPr>
          <w:rStyle w:val="FootnoteReference"/>
        </w:rPr>
        <w:footnoteRef/>
      </w:r>
      <w:r w:rsidRPr="004807EF">
        <w:rPr>
          <w:i/>
          <w:lang w:val="hr-BA"/>
        </w:rPr>
        <w:t>Regulacioni plan „Centar“ Gračanica</w:t>
      </w:r>
      <w:r>
        <w:rPr>
          <w:lang w:val="hr-BA"/>
        </w:rPr>
        <w:t xml:space="preserve">, Nacrt, IPSA Institut, </w:t>
      </w:r>
      <w:r w:rsidRPr="001E14E8">
        <w:rPr>
          <w:shd w:val="clear" w:color="auto" w:fill="FFFFFF"/>
        </w:rPr>
        <w:t>www.opcina-</w:t>
      </w:r>
      <w:r w:rsidRPr="001E14E8">
        <w:rPr>
          <w:bCs/>
          <w:shd w:val="clear" w:color="auto" w:fill="FFFFFF"/>
        </w:rPr>
        <w:t>gracanica</w:t>
      </w:r>
      <w:r w:rsidRPr="001E14E8">
        <w:rPr>
          <w:shd w:val="clear" w:color="auto" w:fill="FFFFFF"/>
        </w:rPr>
        <w:t>.ba</w:t>
      </w:r>
    </w:p>
  </w:footnote>
  <w:footnote w:id="9">
    <w:p w:rsidR="00F04593" w:rsidRDefault="00F04593" w:rsidP="00A57BAE">
      <w:pPr>
        <w:pStyle w:val="FootnoteText"/>
        <w:ind w:left="360" w:hanging="360"/>
      </w:pPr>
      <w:r>
        <w:rPr>
          <w:rStyle w:val="FootnoteReference"/>
        </w:rPr>
        <w:footnoteRef/>
      </w:r>
      <w:r w:rsidRPr="001B3CBA">
        <w:rPr>
          <w:lang w:val="hr-BA"/>
        </w:rPr>
        <w:t xml:space="preserve">Mujagić, </w:t>
      </w:r>
      <w:r>
        <w:rPr>
          <w:lang w:val="hr-BA"/>
        </w:rPr>
        <w:t>N., isto, str. 66-67</w:t>
      </w:r>
      <w:r w:rsidRPr="001B3CBA">
        <w:rPr>
          <w:lang w:val="hr-BA"/>
        </w:rPr>
        <w:t>.</w:t>
      </w:r>
    </w:p>
  </w:footnote>
  <w:footnote w:id="10">
    <w:p w:rsidR="00F04593" w:rsidRDefault="00F04593" w:rsidP="00A57BAE">
      <w:pPr>
        <w:pStyle w:val="FootnoteText"/>
        <w:ind w:left="360" w:hanging="360"/>
      </w:pPr>
      <w:r>
        <w:rPr>
          <w:rStyle w:val="FootnoteReference"/>
        </w:rPr>
        <w:footnoteRef/>
      </w:r>
      <w:r>
        <w:rPr>
          <w:lang w:val="hr-BA"/>
        </w:rPr>
        <w:t xml:space="preserve">Backović, V., </w:t>
      </w:r>
      <w:r w:rsidRPr="004807EF">
        <w:rPr>
          <w:i/>
          <w:lang w:val="hr-BA"/>
        </w:rPr>
        <w:t>Evropski gradovi u postsocijalističkoj transformaciji</w:t>
      </w:r>
      <w:r>
        <w:rPr>
          <w:lang w:val="hr-BA"/>
        </w:rPr>
        <w:t xml:space="preserve">, www.doiserbia.nb.rs </w:t>
      </w:r>
    </w:p>
  </w:footnote>
  <w:footnote w:id="11">
    <w:p w:rsidR="00F04593" w:rsidRDefault="00F04593" w:rsidP="00EE1156">
      <w:pPr>
        <w:pStyle w:val="FootnoteText"/>
        <w:jc w:val="both"/>
      </w:pPr>
      <w:r>
        <w:rPr>
          <w:rStyle w:val="FootnoteReference"/>
        </w:rPr>
        <w:footnoteRef/>
      </w:r>
      <w:r>
        <w:t xml:space="preserve">OpćinaBanovići, </w:t>
      </w:r>
      <w:r w:rsidRPr="00EE1156">
        <w:rPr>
          <w:i/>
          <w:lang w:val="hr-HR"/>
        </w:rPr>
        <w:t>Regulacioni plan „Termoelektrana-cementara Banovići“ za period 2012-2022 god</w:t>
      </w:r>
      <w:r w:rsidRPr="00EE1156">
        <w:rPr>
          <w:lang w:val="hr-HR"/>
        </w:rPr>
        <w:t>.,</w:t>
      </w:r>
      <w:r>
        <w:rPr>
          <w:lang w:val="hr-HR"/>
        </w:rPr>
        <w:t xml:space="preserve"> nacrt, 2013.</w:t>
      </w:r>
    </w:p>
  </w:footnote>
  <w:footnote w:id="12">
    <w:p w:rsidR="00F04593" w:rsidRDefault="00F04593" w:rsidP="00A57BAE">
      <w:pPr>
        <w:pStyle w:val="FootnoteText"/>
      </w:pPr>
      <w:r>
        <w:rPr>
          <w:rStyle w:val="FootnoteReference"/>
        </w:rPr>
        <w:footnoteRef/>
      </w:r>
      <w:r w:rsidRPr="004807EF">
        <w:rPr>
          <w:i/>
          <w:lang w:val="hr-BA"/>
        </w:rPr>
        <w:t>Prostorni plan  za područje Tuzlanskog kantona 2005-2025</w:t>
      </w:r>
      <w:r>
        <w:rPr>
          <w:lang w:val="hr-BA"/>
        </w:rPr>
        <w:t xml:space="preserve">, </w:t>
      </w:r>
      <w:hyperlink r:id="rId2" w:history="1">
        <w:r w:rsidRPr="0052755C">
          <w:rPr>
            <w:rStyle w:val="Hyperlink"/>
            <w:lang w:val="hr-BA"/>
          </w:rPr>
          <w:t>www.vladatk.kim.ba</w:t>
        </w:r>
      </w:hyperlink>
    </w:p>
  </w:footnote>
  <w:footnote w:id="13">
    <w:p w:rsidR="00F04593" w:rsidRDefault="00F04593" w:rsidP="00327B6E">
      <w:pPr>
        <w:pStyle w:val="FootnoteText"/>
        <w:ind w:left="360" w:hanging="360"/>
        <w:jc w:val="both"/>
        <w:rPr>
          <w:lang w:val="hr-BA"/>
        </w:rPr>
      </w:pPr>
      <w:r>
        <w:rPr>
          <w:rStyle w:val="FootnoteReference"/>
        </w:rPr>
        <w:footnoteRef/>
      </w:r>
      <w:r w:rsidRPr="00AE122B">
        <w:rPr>
          <w:lang w:val="hr-BA"/>
        </w:rPr>
        <w:t xml:space="preserve">Vresk, </w:t>
      </w:r>
      <w:r w:rsidRPr="00AE122B">
        <w:rPr>
          <w:i/>
          <w:lang w:val="hr-BA"/>
        </w:rPr>
        <w:t>Funkcionalna struktura i funkcionalna klasifikacija gradova Hrvatske</w:t>
      </w:r>
      <w:r>
        <w:rPr>
          <w:lang w:val="hr-BA"/>
        </w:rPr>
        <w:t xml:space="preserve">, Geografski glasnik, br. </w:t>
      </w:r>
    </w:p>
    <w:p w:rsidR="00F04593" w:rsidRDefault="00F04593" w:rsidP="00A57BAE">
      <w:pPr>
        <w:pStyle w:val="FootnoteText"/>
        <w:ind w:left="360" w:hanging="360"/>
      </w:pPr>
      <w:r w:rsidRPr="00AE122B">
        <w:rPr>
          <w:lang w:val="hr-BA"/>
        </w:rPr>
        <w:t>58, Zagreb</w:t>
      </w:r>
      <w:r>
        <w:rPr>
          <w:lang w:val="hr-BA"/>
        </w:rPr>
        <w:t>,</w:t>
      </w:r>
      <w:r w:rsidRPr="00AE122B">
        <w:rPr>
          <w:lang w:val="hr-BA"/>
        </w:rPr>
        <w:t xml:space="preserve"> 1996, str. 51. </w:t>
      </w:r>
    </w:p>
  </w:footnote>
  <w:footnote w:id="14">
    <w:p w:rsidR="00F04593" w:rsidRDefault="00F04593" w:rsidP="00A57BAE">
      <w:pPr>
        <w:pStyle w:val="FootnoteText"/>
        <w:ind w:left="360" w:hanging="360"/>
      </w:pPr>
      <w:r>
        <w:rPr>
          <w:rStyle w:val="FootnoteReference"/>
        </w:rPr>
        <w:footnoteRef/>
      </w:r>
      <w:r>
        <w:rPr>
          <w:lang w:val="hr-BA"/>
        </w:rPr>
        <w:t xml:space="preserve">Vresk, M.,  isto, </w:t>
      </w:r>
      <w:r w:rsidRPr="00AE122B">
        <w:rPr>
          <w:lang w:val="hr-BA"/>
        </w:rPr>
        <w:t xml:space="preserve">str. 52.     </w:t>
      </w:r>
    </w:p>
  </w:footnote>
  <w:footnote w:id="15">
    <w:p w:rsidR="00F04593" w:rsidRDefault="00F04593" w:rsidP="00A57BAE">
      <w:pPr>
        <w:pStyle w:val="FootnoteText"/>
        <w:ind w:left="360" w:hanging="360"/>
      </w:pPr>
      <w:r>
        <w:rPr>
          <w:rStyle w:val="FootnoteReference"/>
        </w:rPr>
        <w:footnoteRef/>
      </w:r>
      <w:r>
        <w:rPr>
          <w:lang w:val="hr-BA"/>
        </w:rPr>
        <w:t xml:space="preserve">Vidi o tome: Federalni zavod za statistiku, </w:t>
      </w:r>
      <w:r w:rsidRPr="004807EF">
        <w:rPr>
          <w:i/>
          <w:lang w:val="hr-BA"/>
        </w:rPr>
        <w:t>Tuzlanski kanton u brojkama</w:t>
      </w:r>
      <w:r>
        <w:rPr>
          <w:lang w:val="hr-BA"/>
        </w:rPr>
        <w:t>, Sarajevo, 2013, str. 9.</w:t>
      </w:r>
    </w:p>
  </w:footnote>
  <w:footnote w:id="16">
    <w:p w:rsidR="00F04593" w:rsidRDefault="00F04593" w:rsidP="00A57BAE">
      <w:pPr>
        <w:pStyle w:val="FootnoteText"/>
      </w:pPr>
      <w:r>
        <w:rPr>
          <w:rStyle w:val="FootnoteReference"/>
        </w:rPr>
        <w:footnoteRef/>
      </w:r>
      <w:r>
        <w:rPr>
          <w:lang w:val="bs-Latn-BA"/>
        </w:rPr>
        <w:t xml:space="preserve">Friganović, M., </w:t>
      </w:r>
      <w:r w:rsidRPr="00E872EF">
        <w:rPr>
          <w:i/>
          <w:lang w:val="bs-Latn-BA"/>
        </w:rPr>
        <w:t>Demogeografija, stanovništvo svijeta</w:t>
      </w:r>
      <w:r>
        <w:rPr>
          <w:lang w:val="bs-Latn-BA"/>
        </w:rPr>
        <w:t>, Školska knjiga, Zagreb 1990, str. 21.</w:t>
      </w:r>
    </w:p>
  </w:footnote>
  <w:footnote w:id="17">
    <w:p w:rsidR="00F04593" w:rsidRDefault="00F04593" w:rsidP="00A57BAE">
      <w:pPr>
        <w:pStyle w:val="FootnoteText"/>
        <w:ind w:left="360" w:hanging="360"/>
      </w:pPr>
      <w:r w:rsidRPr="001160A7">
        <w:rPr>
          <w:rStyle w:val="FootnoteReference"/>
        </w:rPr>
        <w:footnoteRef/>
      </w:r>
      <w:r w:rsidRPr="001160A7">
        <w:rPr>
          <w:lang w:val="hr-BA"/>
        </w:rPr>
        <w:t xml:space="preserve">Vresk, </w:t>
      </w:r>
      <w:r>
        <w:rPr>
          <w:lang w:val="hr-BA"/>
        </w:rPr>
        <w:t xml:space="preserve">M., </w:t>
      </w:r>
      <w:r w:rsidRPr="001160A7">
        <w:rPr>
          <w:i/>
          <w:lang w:val="hr-BA"/>
        </w:rPr>
        <w:t>Osnove urbane geografije</w:t>
      </w:r>
      <w:r w:rsidRPr="001160A7">
        <w:rPr>
          <w:lang w:val="hr-BA"/>
        </w:rPr>
        <w:t xml:space="preserve">, </w:t>
      </w:r>
      <w:r>
        <w:rPr>
          <w:lang w:val="hr-BA"/>
        </w:rPr>
        <w:t xml:space="preserve">Školska knjiga, Zagreb, </w:t>
      </w:r>
      <w:r w:rsidRPr="001160A7">
        <w:rPr>
          <w:lang w:val="hr-BA"/>
        </w:rPr>
        <w:t>str. 123.</w:t>
      </w:r>
    </w:p>
  </w:footnote>
  <w:footnote w:id="18">
    <w:p w:rsidR="00F04593" w:rsidRDefault="00F04593" w:rsidP="00A57BAE">
      <w:pPr>
        <w:pStyle w:val="FootnoteText"/>
        <w:ind w:left="360" w:hanging="360"/>
        <w:rPr>
          <w:i/>
          <w:lang w:val="hr-BA"/>
        </w:rPr>
      </w:pPr>
      <w:r w:rsidRPr="001160A7">
        <w:rPr>
          <w:rStyle w:val="FootnoteReference"/>
        </w:rPr>
        <w:footnoteRef/>
      </w:r>
      <w:r w:rsidRPr="001160A7">
        <w:rPr>
          <w:lang w:val="hr-BA"/>
        </w:rPr>
        <w:t xml:space="preserve">Njegač, </w:t>
      </w:r>
      <w:r>
        <w:rPr>
          <w:lang w:val="hr-BA"/>
        </w:rPr>
        <w:t xml:space="preserve">D., </w:t>
      </w:r>
      <w:r w:rsidRPr="001160A7">
        <w:rPr>
          <w:lang w:val="hr-BA"/>
        </w:rPr>
        <w:t xml:space="preserve">Gašparović, </w:t>
      </w:r>
      <w:r>
        <w:rPr>
          <w:lang w:val="hr-BA"/>
        </w:rPr>
        <w:t xml:space="preserve">S., </w:t>
      </w:r>
      <w:r w:rsidRPr="001160A7">
        <w:rPr>
          <w:lang w:val="hr-BA"/>
        </w:rPr>
        <w:t xml:space="preserve">Stipešević, </w:t>
      </w:r>
      <w:r>
        <w:rPr>
          <w:lang w:val="hr-BA"/>
        </w:rPr>
        <w:t xml:space="preserve">Z., </w:t>
      </w:r>
      <w:r w:rsidRPr="001160A7">
        <w:rPr>
          <w:i/>
          <w:lang w:val="hr-BA"/>
        </w:rPr>
        <w:t>Promjene u morfološko</w:t>
      </w:r>
      <w:r>
        <w:rPr>
          <w:i/>
          <w:lang w:val="hr-BA"/>
        </w:rPr>
        <w:t xml:space="preserve">j strukturi Osijeka nakon 1991. </w:t>
      </w:r>
    </w:p>
    <w:p w:rsidR="00F04593" w:rsidRDefault="00F04593" w:rsidP="00A57BAE">
      <w:pPr>
        <w:pStyle w:val="FootnoteText"/>
        <w:ind w:left="360" w:hanging="360"/>
      </w:pPr>
      <w:r w:rsidRPr="001160A7">
        <w:rPr>
          <w:i/>
          <w:lang w:val="hr-BA"/>
        </w:rPr>
        <w:t>godine</w:t>
      </w:r>
      <w:r w:rsidRPr="001160A7">
        <w:rPr>
          <w:lang w:val="hr-BA"/>
        </w:rPr>
        <w:t>, Akta Geographica Croatica, br. 38, Zagreb</w:t>
      </w:r>
      <w:r>
        <w:rPr>
          <w:lang w:val="hr-BA"/>
        </w:rPr>
        <w:t>,</w:t>
      </w:r>
      <w:r w:rsidRPr="001160A7">
        <w:rPr>
          <w:lang w:val="hr-BA"/>
        </w:rPr>
        <w:t xml:space="preserve"> 2012, str 59-74.</w:t>
      </w:r>
    </w:p>
  </w:footnote>
  <w:footnote w:id="19">
    <w:p w:rsidR="00F04593" w:rsidRDefault="00F04593" w:rsidP="00790460">
      <w:pPr>
        <w:pStyle w:val="FootnoteText"/>
        <w:ind w:left="360" w:hanging="360"/>
        <w:jc w:val="both"/>
        <w:rPr>
          <w:i/>
          <w:lang w:val="bs-Latn-BA"/>
        </w:rPr>
      </w:pPr>
      <w:r>
        <w:rPr>
          <w:rStyle w:val="FootnoteReference"/>
        </w:rPr>
        <w:footnoteRef/>
      </w:r>
      <w:r>
        <w:rPr>
          <w:lang w:val="bs-Latn-BA"/>
        </w:rPr>
        <w:t xml:space="preserve">O gradskim ulicama u mlađim gradskim naseljima, na primjeru Živinica, vidi: Mujagić, N., </w:t>
      </w:r>
      <w:r w:rsidRPr="006326D4">
        <w:rPr>
          <w:i/>
          <w:lang w:val="bs-Latn-BA"/>
        </w:rPr>
        <w:t xml:space="preserve">Hronologija </w:t>
      </w:r>
    </w:p>
    <w:p w:rsidR="00F04593" w:rsidRDefault="00F04593" w:rsidP="00790460">
      <w:pPr>
        <w:pStyle w:val="FootnoteText"/>
        <w:ind w:left="360" w:hanging="360"/>
        <w:jc w:val="both"/>
        <w:rPr>
          <w:lang w:val="bs-Latn-BA"/>
        </w:rPr>
      </w:pPr>
      <w:r w:rsidRPr="006326D4">
        <w:rPr>
          <w:i/>
          <w:lang w:val="bs-Latn-BA"/>
        </w:rPr>
        <w:t>nastanka i razvoja gradskih ulica u Živinicama</w:t>
      </w:r>
      <w:r>
        <w:rPr>
          <w:lang w:val="bs-Latn-BA"/>
        </w:rPr>
        <w:t xml:space="preserve">, Baština sjeveroistočne Bosne, br. 5, Zavod za zaštitu i </w:t>
      </w:r>
    </w:p>
    <w:p w:rsidR="00F04593" w:rsidRDefault="00F04593" w:rsidP="00790460">
      <w:pPr>
        <w:pStyle w:val="FootnoteText"/>
        <w:ind w:left="360" w:hanging="360"/>
        <w:jc w:val="both"/>
      </w:pPr>
      <w:r>
        <w:rPr>
          <w:lang w:val="bs-Latn-BA"/>
        </w:rPr>
        <w:t>korištenje kulturno-historijskog i prirodnog naslijeđa Tuzlanskog kantona, Tuzla, 2013, str. 157-75.</w:t>
      </w:r>
    </w:p>
  </w:footnote>
  <w:footnote w:id="20">
    <w:p w:rsidR="00F04593" w:rsidRDefault="00F04593" w:rsidP="00A57BAE">
      <w:pPr>
        <w:pStyle w:val="FootnoteText"/>
        <w:ind w:left="360" w:hanging="360"/>
      </w:pPr>
      <w:r>
        <w:rPr>
          <w:rStyle w:val="FootnoteReference"/>
        </w:rPr>
        <w:footnoteRef/>
      </w:r>
      <w:r w:rsidRPr="009F17A1">
        <w:rPr>
          <w:lang w:val="hr-BA"/>
        </w:rPr>
        <w:t>O načinima izgradn</w:t>
      </w:r>
      <w:r>
        <w:rPr>
          <w:lang w:val="hr-BA"/>
        </w:rPr>
        <w:t xml:space="preserve">je kuća duž ulice vidi šire: </w:t>
      </w:r>
      <w:r w:rsidRPr="009F17A1">
        <w:rPr>
          <w:lang w:val="hr-BA"/>
        </w:rPr>
        <w:t xml:space="preserve">Vresk, </w:t>
      </w:r>
      <w:r w:rsidRPr="009F17A1">
        <w:rPr>
          <w:i/>
          <w:lang w:val="hr-BA"/>
        </w:rPr>
        <w:t>Osnove urbane geografije</w:t>
      </w:r>
      <w:r w:rsidRPr="009F17A1">
        <w:rPr>
          <w:lang w:val="hr-BA"/>
        </w:rPr>
        <w:t xml:space="preserve">, </w:t>
      </w:r>
      <w:r>
        <w:rPr>
          <w:lang w:val="hr-BA"/>
        </w:rPr>
        <w:t xml:space="preserve">isto, </w:t>
      </w:r>
      <w:r w:rsidRPr="009F17A1">
        <w:rPr>
          <w:lang w:val="hr-BA"/>
        </w:rPr>
        <w:t>str. 123.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593" w:rsidRDefault="00F04593"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4593" w:rsidRDefault="00F04593" w:rsidP="00B20562">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F04593" w:rsidRDefault="00F045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593" w:rsidRDefault="00F04593"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04593" w:rsidRPr="00736D64" w:rsidRDefault="00F04593" w:rsidP="00CC0B6B">
    <w:pPr>
      <w:pStyle w:val="Header"/>
      <w:ind w:right="360"/>
      <w:rPr>
        <w:sz w:val="18"/>
        <w:szCs w:val="18"/>
        <w:lang w:val="hr-HR"/>
      </w:rPr>
    </w:pPr>
    <w:r>
      <w:rPr>
        <w:sz w:val="18"/>
        <w:szCs w:val="18"/>
        <w:lang w:val="hr-HR"/>
      </w:rPr>
      <w:t xml:space="preserve">Damir Džafić: PROMJENE PROSTORNE STRUKTURE GRADSKIH NASELJA U SLIVU RIJEKE SPREČE, </w:t>
    </w:r>
    <w:r w:rsidRPr="00736D64">
      <w:rPr>
        <w:sz w:val="18"/>
        <w:szCs w:val="18"/>
        <w:lang w:val="hr-HR"/>
      </w:rPr>
      <w:t>„TRANSITION/TRANZICIJA“,  201</w:t>
    </w:r>
    <w:r>
      <w:rPr>
        <w:sz w:val="18"/>
        <w:szCs w:val="18"/>
        <w:lang w:val="hr-HR"/>
      </w:rPr>
      <w:t>9, Vol. X</w:t>
    </w:r>
    <w:r w:rsidRPr="00736D64">
      <w:rPr>
        <w:sz w:val="18"/>
        <w:szCs w:val="18"/>
        <w:lang w:val="hr-HR"/>
      </w:rPr>
      <w:t>X</w:t>
    </w:r>
    <w:r>
      <w:rPr>
        <w:sz w:val="18"/>
        <w:szCs w:val="18"/>
        <w:lang w:val="hr-HR"/>
      </w:rPr>
      <w:t>I, No. 43</w:t>
    </w:r>
  </w:p>
  <w:p w:rsidR="00F04593" w:rsidRPr="00E749FC" w:rsidRDefault="00F04593" w:rsidP="00CC0B6B">
    <w:pPr>
      <w:pStyle w:val="Header"/>
      <w:ind w:right="360"/>
      <w:rPr>
        <w:lang w:val="de-DE"/>
      </w:rPr>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64E1577"/>
    <w:multiLevelType w:val="hybridMultilevel"/>
    <w:tmpl w:val="41CED4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3B1722"/>
    <w:multiLevelType w:val="hybridMultilevel"/>
    <w:tmpl w:val="F5E262F8"/>
    <w:lvl w:ilvl="0" w:tplc="041A000F">
      <w:start w:val="1"/>
      <w:numFmt w:val="decimal"/>
      <w:lvlText w:val="%1."/>
      <w:lvlJc w:val="left"/>
      <w:pPr>
        <w:ind w:left="4548" w:hanging="360"/>
      </w:pPr>
      <w:rPr>
        <w:rFonts w:cs="Times New Roman" w:hint="default"/>
      </w:rPr>
    </w:lvl>
    <w:lvl w:ilvl="1" w:tplc="041A0019" w:tentative="1">
      <w:start w:val="1"/>
      <w:numFmt w:val="lowerLetter"/>
      <w:lvlText w:val="%2."/>
      <w:lvlJc w:val="left"/>
      <w:pPr>
        <w:ind w:left="5268" w:hanging="360"/>
      </w:pPr>
      <w:rPr>
        <w:rFonts w:cs="Times New Roman"/>
      </w:rPr>
    </w:lvl>
    <w:lvl w:ilvl="2" w:tplc="041A001B" w:tentative="1">
      <w:start w:val="1"/>
      <w:numFmt w:val="lowerRoman"/>
      <w:lvlText w:val="%3."/>
      <w:lvlJc w:val="right"/>
      <w:pPr>
        <w:ind w:left="5988" w:hanging="180"/>
      </w:pPr>
      <w:rPr>
        <w:rFonts w:cs="Times New Roman"/>
      </w:rPr>
    </w:lvl>
    <w:lvl w:ilvl="3" w:tplc="041A000F" w:tentative="1">
      <w:start w:val="1"/>
      <w:numFmt w:val="decimal"/>
      <w:lvlText w:val="%4."/>
      <w:lvlJc w:val="left"/>
      <w:pPr>
        <w:ind w:left="6708" w:hanging="360"/>
      </w:pPr>
      <w:rPr>
        <w:rFonts w:cs="Times New Roman"/>
      </w:rPr>
    </w:lvl>
    <w:lvl w:ilvl="4" w:tplc="041A0019" w:tentative="1">
      <w:start w:val="1"/>
      <w:numFmt w:val="lowerLetter"/>
      <w:lvlText w:val="%5."/>
      <w:lvlJc w:val="left"/>
      <w:pPr>
        <w:ind w:left="7428" w:hanging="360"/>
      </w:pPr>
      <w:rPr>
        <w:rFonts w:cs="Times New Roman"/>
      </w:rPr>
    </w:lvl>
    <w:lvl w:ilvl="5" w:tplc="041A001B" w:tentative="1">
      <w:start w:val="1"/>
      <w:numFmt w:val="lowerRoman"/>
      <w:lvlText w:val="%6."/>
      <w:lvlJc w:val="right"/>
      <w:pPr>
        <w:ind w:left="8148" w:hanging="180"/>
      </w:pPr>
      <w:rPr>
        <w:rFonts w:cs="Times New Roman"/>
      </w:rPr>
    </w:lvl>
    <w:lvl w:ilvl="6" w:tplc="041A000F" w:tentative="1">
      <w:start w:val="1"/>
      <w:numFmt w:val="decimal"/>
      <w:lvlText w:val="%7."/>
      <w:lvlJc w:val="left"/>
      <w:pPr>
        <w:ind w:left="8868" w:hanging="360"/>
      </w:pPr>
      <w:rPr>
        <w:rFonts w:cs="Times New Roman"/>
      </w:rPr>
    </w:lvl>
    <w:lvl w:ilvl="7" w:tplc="041A0019" w:tentative="1">
      <w:start w:val="1"/>
      <w:numFmt w:val="lowerLetter"/>
      <w:lvlText w:val="%8."/>
      <w:lvlJc w:val="left"/>
      <w:pPr>
        <w:ind w:left="9588" w:hanging="360"/>
      </w:pPr>
      <w:rPr>
        <w:rFonts w:cs="Times New Roman"/>
      </w:rPr>
    </w:lvl>
    <w:lvl w:ilvl="8" w:tplc="041A001B" w:tentative="1">
      <w:start w:val="1"/>
      <w:numFmt w:val="lowerRoman"/>
      <w:lvlText w:val="%9."/>
      <w:lvlJc w:val="right"/>
      <w:pPr>
        <w:ind w:left="10308" w:hanging="180"/>
      </w:pPr>
      <w:rPr>
        <w:rFonts w:cs="Times New Roman"/>
      </w:rPr>
    </w:lvl>
  </w:abstractNum>
  <w:abstractNum w:abstractNumId="4">
    <w:nsid w:val="0D9378E2"/>
    <w:multiLevelType w:val="hybridMultilevel"/>
    <w:tmpl w:val="99A6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9223D"/>
    <w:multiLevelType w:val="hybridMultilevel"/>
    <w:tmpl w:val="56685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35DAD"/>
    <w:multiLevelType w:val="hybridMultilevel"/>
    <w:tmpl w:val="6EB8E48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0FA30F79"/>
    <w:multiLevelType w:val="hybridMultilevel"/>
    <w:tmpl w:val="FF46CE50"/>
    <w:lvl w:ilvl="0" w:tplc="6BEEE0A2">
      <w:start w:val="1"/>
      <w:numFmt w:val="decimal"/>
      <w:lvlText w:val="%1."/>
      <w:lvlJc w:val="left"/>
      <w:pPr>
        <w:ind w:left="360" w:hanging="360"/>
      </w:pPr>
      <w:rPr>
        <w:rFonts w:ascii="Times New Roman" w:eastAsia="Times New Roman" w:hAnsi="Times New Roman" w:cs="Times New Roman"/>
        <w:b/>
      </w:rPr>
    </w:lvl>
    <w:lvl w:ilvl="1" w:tplc="041A0019">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8">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0">
    <w:nsid w:val="161C5890"/>
    <w:multiLevelType w:val="hybridMultilevel"/>
    <w:tmpl w:val="52E693F6"/>
    <w:lvl w:ilvl="0" w:tplc="610EBF3C">
      <w:start w:val="1"/>
      <w:numFmt w:val="bullet"/>
      <w:lvlText w:val=""/>
      <w:lvlJc w:val="left"/>
      <w:pPr>
        <w:ind w:left="720" w:hanging="360"/>
      </w:pPr>
      <w:rPr>
        <w:rFonts w:ascii="Symbol" w:hAnsi="Symbol" w:hint="default"/>
      </w:rPr>
    </w:lvl>
    <w:lvl w:ilvl="1" w:tplc="181A0003">
      <w:start w:val="1"/>
      <w:numFmt w:val="bullet"/>
      <w:lvlText w:val="o"/>
      <w:lvlJc w:val="left"/>
      <w:pPr>
        <w:ind w:left="1440" w:hanging="360"/>
      </w:pPr>
      <w:rPr>
        <w:rFonts w:ascii="Courier New" w:hAnsi="Courier New" w:hint="default"/>
      </w:rPr>
    </w:lvl>
    <w:lvl w:ilvl="2" w:tplc="181A0005">
      <w:start w:val="1"/>
      <w:numFmt w:val="bullet"/>
      <w:lvlText w:val=""/>
      <w:lvlJc w:val="left"/>
      <w:pPr>
        <w:ind w:left="2160" w:hanging="360"/>
      </w:pPr>
      <w:rPr>
        <w:rFonts w:ascii="Wingdings" w:hAnsi="Wingdings" w:hint="default"/>
      </w:rPr>
    </w:lvl>
    <w:lvl w:ilvl="3" w:tplc="181A0001">
      <w:start w:val="1"/>
      <w:numFmt w:val="bullet"/>
      <w:lvlText w:val=""/>
      <w:lvlJc w:val="left"/>
      <w:pPr>
        <w:ind w:left="2880" w:hanging="360"/>
      </w:pPr>
      <w:rPr>
        <w:rFonts w:ascii="Symbol" w:hAnsi="Symbol" w:hint="default"/>
      </w:rPr>
    </w:lvl>
    <w:lvl w:ilvl="4" w:tplc="181A0003">
      <w:start w:val="1"/>
      <w:numFmt w:val="bullet"/>
      <w:lvlText w:val="o"/>
      <w:lvlJc w:val="left"/>
      <w:pPr>
        <w:ind w:left="3600" w:hanging="360"/>
      </w:pPr>
      <w:rPr>
        <w:rFonts w:ascii="Courier New" w:hAnsi="Courier New" w:hint="default"/>
      </w:rPr>
    </w:lvl>
    <w:lvl w:ilvl="5" w:tplc="181A0005">
      <w:start w:val="1"/>
      <w:numFmt w:val="bullet"/>
      <w:lvlText w:val=""/>
      <w:lvlJc w:val="left"/>
      <w:pPr>
        <w:ind w:left="4320" w:hanging="360"/>
      </w:pPr>
      <w:rPr>
        <w:rFonts w:ascii="Wingdings" w:hAnsi="Wingdings" w:hint="default"/>
      </w:rPr>
    </w:lvl>
    <w:lvl w:ilvl="6" w:tplc="181A0001">
      <w:start w:val="1"/>
      <w:numFmt w:val="bullet"/>
      <w:lvlText w:val=""/>
      <w:lvlJc w:val="left"/>
      <w:pPr>
        <w:ind w:left="5040" w:hanging="360"/>
      </w:pPr>
      <w:rPr>
        <w:rFonts w:ascii="Symbol" w:hAnsi="Symbol" w:hint="default"/>
      </w:rPr>
    </w:lvl>
    <w:lvl w:ilvl="7" w:tplc="181A0003">
      <w:start w:val="1"/>
      <w:numFmt w:val="bullet"/>
      <w:lvlText w:val="o"/>
      <w:lvlJc w:val="left"/>
      <w:pPr>
        <w:ind w:left="5760" w:hanging="360"/>
      </w:pPr>
      <w:rPr>
        <w:rFonts w:ascii="Courier New" w:hAnsi="Courier New" w:hint="default"/>
      </w:rPr>
    </w:lvl>
    <w:lvl w:ilvl="8" w:tplc="181A0005">
      <w:start w:val="1"/>
      <w:numFmt w:val="bullet"/>
      <w:lvlText w:val=""/>
      <w:lvlJc w:val="left"/>
      <w:pPr>
        <w:ind w:left="6480" w:hanging="360"/>
      </w:pPr>
      <w:rPr>
        <w:rFonts w:ascii="Wingdings" w:hAnsi="Wingdings" w:hint="default"/>
      </w:rPr>
    </w:lvl>
  </w:abstractNum>
  <w:abstractNum w:abstractNumId="11">
    <w:nsid w:val="172C3996"/>
    <w:multiLevelType w:val="hybridMultilevel"/>
    <w:tmpl w:val="E8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nsid w:val="1B890247"/>
    <w:multiLevelType w:val="hybridMultilevel"/>
    <w:tmpl w:val="18E6B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1DDA6CDC"/>
    <w:multiLevelType w:val="multilevel"/>
    <w:tmpl w:val="F8AC6ED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692427"/>
    <w:multiLevelType w:val="hybridMultilevel"/>
    <w:tmpl w:val="A052DE04"/>
    <w:lvl w:ilvl="0" w:tplc="3FF03AAE">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7">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8">
    <w:nsid w:val="3294192A"/>
    <w:multiLevelType w:val="multilevel"/>
    <w:tmpl w:val="F9A6E14E"/>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nsid w:val="38F0135C"/>
    <w:multiLevelType w:val="hybridMultilevel"/>
    <w:tmpl w:val="5838C8DA"/>
    <w:lvl w:ilvl="0" w:tplc="101A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47E63F7"/>
    <w:multiLevelType w:val="hybridMultilevel"/>
    <w:tmpl w:val="F26CA684"/>
    <w:lvl w:ilvl="0" w:tplc="0C6A9156">
      <w:start w:val="2"/>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nsid w:val="4CE0003D"/>
    <w:multiLevelType w:val="hybridMultilevel"/>
    <w:tmpl w:val="A3A0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BD03C8"/>
    <w:multiLevelType w:val="hybridMultilevel"/>
    <w:tmpl w:val="09D23092"/>
    <w:lvl w:ilvl="0" w:tplc="A1F4994C">
      <w:start w:val="1"/>
      <w:numFmt w:val="decimal"/>
      <w:lvlText w:val="%1."/>
      <w:lvlJc w:val="left"/>
      <w:pPr>
        <w:ind w:left="360" w:hanging="360"/>
      </w:pPr>
      <w:rPr>
        <w:rFonts w:ascii="Times New Roman" w:eastAsia="Times New Roman" w:hAnsi="Times New Roman"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3">
    <w:nsid w:val="52D918A5"/>
    <w:multiLevelType w:val="hybridMultilevel"/>
    <w:tmpl w:val="E48EAE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nsid w:val="56A843F4"/>
    <w:multiLevelType w:val="hybridMultilevel"/>
    <w:tmpl w:val="5C74514C"/>
    <w:lvl w:ilvl="0" w:tplc="281066B6">
      <w:start w:val="1"/>
      <w:numFmt w:val="decimal"/>
      <w:lvlText w:val="%1."/>
      <w:lvlJc w:val="left"/>
      <w:pPr>
        <w:ind w:left="720" w:hanging="360"/>
      </w:pPr>
      <w:rPr>
        <w:rFonts w:ascii="Times New Roman" w:hAnsi="Times New Roman" w:cs="Times New Roman" w:hint="default"/>
        <w:b w:val="0"/>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5">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26">
    <w:nsid w:val="58D22ED6"/>
    <w:multiLevelType w:val="hybridMultilevel"/>
    <w:tmpl w:val="28605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9">
    <w:nsid w:val="63BC72EA"/>
    <w:multiLevelType w:val="multilevel"/>
    <w:tmpl w:val="8132D2D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6D787643"/>
    <w:multiLevelType w:val="hybridMultilevel"/>
    <w:tmpl w:val="12EEA5F0"/>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1">
    <w:nsid w:val="704B3A4F"/>
    <w:multiLevelType w:val="multilevel"/>
    <w:tmpl w:val="64CA0318"/>
    <w:lvl w:ilvl="0">
      <w:start w:val="1"/>
      <w:numFmt w:val="decimal"/>
      <w:pStyle w:val="Heading2"/>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nsid w:val="72A45710"/>
    <w:multiLevelType w:val="hybridMultilevel"/>
    <w:tmpl w:val="C846B24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3">
    <w:nsid w:val="7D951EF0"/>
    <w:multiLevelType w:val="hybridMultilevel"/>
    <w:tmpl w:val="E5CC761A"/>
    <w:lvl w:ilvl="0" w:tplc="5352E0DC">
      <w:numFmt w:val="bullet"/>
      <w:lvlText w:val=""/>
      <w:lvlJc w:val="left"/>
      <w:pPr>
        <w:ind w:left="6228" w:hanging="360"/>
      </w:pPr>
      <w:rPr>
        <w:rFonts w:ascii="Symbol" w:eastAsia="Times New Roman" w:hAnsi="Symbol" w:hint="default"/>
      </w:rPr>
    </w:lvl>
    <w:lvl w:ilvl="1" w:tplc="141A0003" w:tentative="1">
      <w:start w:val="1"/>
      <w:numFmt w:val="bullet"/>
      <w:lvlText w:val="o"/>
      <w:lvlJc w:val="left"/>
      <w:pPr>
        <w:ind w:left="6948" w:hanging="360"/>
      </w:pPr>
      <w:rPr>
        <w:rFonts w:ascii="Courier New" w:hAnsi="Courier New" w:hint="default"/>
      </w:rPr>
    </w:lvl>
    <w:lvl w:ilvl="2" w:tplc="141A0005" w:tentative="1">
      <w:start w:val="1"/>
      <w:numFmt w:val="bullet"/>
      <w:lvlText w:val=""/>
      <w:lvlJc w:val="left"/>
      <w:pPr>
        <w:ind w:left="7668" w:hanging="360"/>
      </w:pPr>
      <w:rPr>
        <w:rFonts w:ascii="Wingdings" w:hAnsi="Wingdings" w:hint="default"/>
      </w:rPr>
    </w:lvl>
    <w:lvl w:ilvl="3" w:tplc="141A0001" w:tentative="1">
      <w:start w:val="1"/>
      <w:numFmt w:val="bullet"/>
      <w:lvlText w:val=""/>
      <w:lvlJc w:val="left"/>
      <w:pPr>
        <w:ind w:left="8388" w:hanging="360"/>
      </w:pPr>
      <w:rPr>
        <w:rFonts w:ascii="Symbol" w:hAnsi="Symbol" w:hint="default"/>
      </w:rPr>
    </w:lvl>
    <w:lvl w:ilvl="4" w:tplc="141A0003" w:tentative="1">
      <w:start w:val="1"/>
      <w:numFmt w:val="bullet"/>
      <w:lvlText w:val="o"/>
      <w:lvlJc w:val="left"/>
      <w:pPr>
        <w:ind w:left="9108" w:hanging="360"/>
      </w:pPr>
      <w:rPr>
        <w:rFonts w:ascii="Courier New" w:hAnsi="Courier New" w:hint="default"/>
      </w:rPr>
    </w:lvl>
    <w:lvl w:ilvl="5" w:tplc="141A0005" w:tentative="1">
      <w:start w:val="1"/>
      <w:numFmt w:val="bullet"/>
      <w:lvlText w:val=""/>
      <w:lvlJc w:val="left"/>
      <w:pPr>
        <w:ind w:left="9828" w:hanging="360"/>
      </w:pPr>
      <w:rPr>
        <w:rFonts w:ascii="Wingdings" w:hAnsi="Wingdings" w:hint="default"/>
      </w:rPr>
    </w:lvl>
    <w:lvl w:ilvl="6" w:tplc="141A0001" w:tentative="1">
      <w:start w:val="1"/>
      <w:numFmt w:val="bullet"/>
      <w:lvlText w:val=""/>
      <w:lvlJc w:val="left"/>
      <w:pPr>
        <w:ind w:left="10548" w:hanging="360"/>
      </w:pPr>
      <w:rPr>
        <w:rFonts w:ascii="Symbol" w:hAnsi="Symbol" w:hint="default"/>
      </w:rPr>
    </w:lvl>
    <w:lvl w:ilvl="7" w:tplc="141A0003" w:tentative="1">
      <w:start w:val="1"/>
      <w:numFmt w:val="bullet"/>
      <w:lvlText w:val="o"/>
      <w:lvlJc w:val="left"/>
      <w:pPr>
        <w:ind w:left="11268" w:hanging="360"/>
      </w:pPr>
      <w:rPr>
        <w:rFonts w:ascii="Courier New" w:hAnsi="Courier New" w:hint="default"/>
      </w:rPr>
    </w:lvl>
    <w:lvl w:ilvl="8" w:tplc="141A0005" w:tentative="1">
      <w:start w:val="1"/>
      <w:numFmt w:val="bullet"/>
      <w:lvlText w:val=""/>
      <w:lvlJc w:val="left"/>
      <w:pPr>
        <w:ind w:left="11988" w:hanging="360"/>
      </w:pPr>
      <w:rPr>
        <w:rFonts w:ascii="Wingdings" w:hAnsi="Wingdings" w:hint="default"/>
      </w:rPr>
    </w:lvl>
  </w:abstractNum>
  <w:abstractNum w:abstractNumId="34">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25"/>
  </w:num>
  <w:num w:numId="3">
    <w:abstractNumId w:val="25"/>
  </w:num>
  <w:num w:numId="4">
    <w:abstractNumId w:val="8"/>
  </w:num>
  <w:num w:numId="5">
    <w:abstractNumId w:val="34"/>
  </w:num>
  <w:num w:numId="6">
    <w:abstractNumId w:val="9"/>
  </w:num>
  <w:num w:numId="7">
    <w:abstractNumId w:val="12"/>
  </w:num>
  <w:num w:numId="8">
    <w:abstractNumId w:val="15"/>
  </w:num>
  <w:num w:numId="9">
    <w:abstractNumId w:val="27"/>
  </w:num>
  <w:num w:numId="10">
    <w:abstractNumId w:val="1"/>
  </w:num>
  <w:num w:numId="11">
    <w:abstractNumId w:val="17"/>
  </w:num>
  <w:num w:numId="12">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3"/>
  </w:num>
  <w:num w:numId="15">
    <w:abstractNumId w:val="1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1"/>
    <w:lvlOverride w:ilvl="0">
      <w:startOverride w:val="1"/>
    </w:lvlOverride>
  </w:num>
  <w:num w:numId="19">
    <w:abstractNumId w:val="21"/>
  </w:num>
  <w:num w:numId="20">
    <w:abstractNumId w:val="11"/>
  </w:num>
  <w:num w:numId="21">
    <w:abstractNumId w:val="4"/>
  </w:num>
  <w:num w:numId="22">
    <w:abstractNumId w:val="5"/>
  </w:num>
  <w:num w:numId="23">
    <w:abstractNumId w:val="26"/>
  </w:num>
  <w:num w:numId="24">
    <w:abstractNumId w:val="2"/>
  </w:num>
  <w:num w:numId="25">
    <w:abstractNumId w:val="20"/>
  </w:num>
  <w:num w:numId="26">
    <w:abstractNumId w:val="7"/>
  </w:num>
  <w:num w:numId="27">
    <w:abstractNumId w:val="3"/>
  </w:num>
  <w:num w:numId="28">
    <w:abstractNumId w:val="22"/>
  </w:num>
  <w:num w:numId="29">
    <w:abstractNumId w:val="6"/>
  </w:num>
  <w:num w:numId="30">
    <w:abstractNumId w:val="16"/>
  </w:num>
  <w:num w:numId="31">
    <w:abstractNumId w:val="23"/>
  </w:num>
  <w:num w:numId="32">
    <w:abstractNumId w:val="14"/>
  </w:num>
  <w:num w:numId="33">
    <w:abstractNumId w:val="29"/>
  </w:num>
  <w:num w:numId="34">
    <w:abstractNumId w:val="30"/>
  </w:num>
  <w:num w:numId="35">
    <w:abstractNumId w:val="1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10"/>
  </w:num>
  <w:num w:numId="38">
    <w:abstractNumId w:val="10"/>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5E72"/>
    <w:rsid w:val="00006D19"/>
    <w:rsid w:val="00017415"/>
    <w:rsid w:val="000177FD"/>
    <w:rsid w:val="00024918"/>
    <w:rsid w:val="0003098F"/>
    <w:rsid w:val="00034090"/>
    <w:rsid w:val="00065702"/>
    <w:rsid w:val="00066381"/>
    <w:rsid w:val="000740DF"/>
    <w:rsid w:val="00082480"/>
    <w:rsid w:val="00087AAF"/>
    <w:rsid w:val="0009154C"/>
    <w:rsid w:val="00095750"/>
    <w:rsid w:val="000A4403"/>
    <w:rsid w:val="000A722A"/>
    <w:rsid w:val="000D1BC4"/>
    <w:rsid w:val="000D5D7C"/>
    <w:rsid w:val="000E0D53"/>
    <w:rsid w:val="000E284C"/>
    <w:rsid w:val="000F0A75"/>
    <w:rsid w:val="000F28FD"/>
    <w:rsid w:val="000F4448"/>
    <w:rsid w:val="000F7BB1"/>
    <w:rsid w:val="00101117"/>
    <w:rsid w:val="00102BC8"/>
    <w:rsid w:val="00106CC7"/>
    <w:rsid w:val="00111255"/>
    <w:rsid w:val="001154EE"/>
    <w:rsid w:val="001158A4"/>
    <w:rsid w:val="001160A7"/>
    <w:rsid w:val="00122C71"/>
    <w:rsid w:val="00135F40"/>
    <w:rsid w:val="00143E4D"/>
    <w:rsid w:val="00152A0A"/>
    <w:rsid w:val="00155E30"/>
    <w:rsid w:val="00163B34"/>
    <w:rsid w:val="001653EA"/>
    <w:rsid w:val="0016647B"/>
    <w:rsid w:val="001703AC"/>
    <w:rsid w:val="00170A47"/>
    <w:rsid w:val="00172985"/>
    <w:rsid w:val="0019677B"/>
    <w:rsid w:val="001A04D5"/>
    <w:rsid w:val="001A2966"/>
    <w:rsid w:val="001B383D"/>
    <w:rsid w:val="001B3CBA"/>
    <w:rsid w:val="001B3F90"/>
    <w:rsid w:val="001C562A"/>
    <w:rsid w:val="001C6961"/>
    <w:rsid w:val="001D7ADD"/>
    <w:rsid w:val="001E00CF"/>
    <w:rsid w:val="001E14E8"/>
    <w:rsid w:val="001E32DC"/>
    <w:rsid w:val="002015E9"/>
    <w:rsid w:val="00215D37"/>
    <w:rsid w:val="002223FF"/>
    <w:rsid w:val="00224F4B"/>
    <w:rsid w:val="0023309B"/>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A0E63"/>
    <w:rsid w:val="002B105D"/>
    <w:rsid w:val="002C2A0F"/>
    <w:rsid w:val="002C4E5F"/>
    <w:rsid w:val="002E5E01"/>
    <w:rsid w:val="002F5258"/>
    <w:rsid w:val="00301183"/>
    <w:rsid w:val="00301969"/>
    <w:rsid w:val="00314BEF"/>
    <w:rsid w:val="00320BCB"/>
    <w:rsid w:val="00321752"/>
    <w:rsid w:val="00322ED3"/>
    <w:rsid w:val="00323796"/>
    <w:rsid w:val="00326CFA"/>
    <w:rsid w:val="00327A8F"/>
    <w:rsid w:val="00327B6E"/>
    <w:rsid w:val="0034089C"/>
    <w:rsid w:val="003459BC"/>
    <w:rsid w:val="003502B0"/>
    <w:rsid w:val="00350D5A"/>
    <w:rsid w:val="00370FE1"/>
    <w:rsid w:val="00371515"/>
    <w:rsid w:val="00381B59"/>
    <w:rsid w:val="003840E8"/>
    <w:rsid w:val="00395D43"/>
    <w:rsid w:val="003A3685"/>
    <w:rsid w:val="003B6218"/>
    <w:rsid w:val="003D0620"/>
    <w:rsid w:val="003D2629"/>
    <w:rsid w:val="003E0BC9"/>
    <w:rsid w:val="003E1192"/>
    <w:rsid w:val="003E2A59"/>
    <w:rsid w:val="003E3B8A"/>
    <w:rsid w:val="003E432E"/>
    <w:rsid w:val="003F78D2"/>
    <w:rsid w:val="00400F6A"/>
    <w:rsid w:val="00425B32"/>
    <w:rsid w:val="00427C29"/>
    <w:rsid w:val="00430955"/>
    <w:rsid w:val="00446CA3"/>
    <w:rsid w:val="00451C87"/>
    <w:rsid w:val="004553C1"/>
    <w:rsid w:val="004560BB"/>
    <w:rsid w:val="0045798B"/>
    <w:rsid w:val="004744FD"/>
    <w:rsid w:val="00474FF6"/>
    <w:rsid w:val="00475139"/>
    <w:rsid w:val="004807EF"/>
    <w:rsid w:val="0048382D"/>
    <w:rsid w:val="004956C5"/>
    <w:rsid w:val="004A632E"/>
    <w:rsid w:val="004A6511"/>
    <w:rsid w:val="004A6B6A"/>
    <w:rsid w:val="004B0AFF"/>
    <w:rsid w:val="004B24D2"/>
    <w:rsid w:val="004C29A9"/>
    <w:rsid w:val="004C4A0B"/>
    <w:rsid w:val="004D1E5D"/>
    <w:rsid w:val="004D334D"/>
    <w:rsid w:val="004D5178"/>
    <w:rsid w:val="004D707D"/>
    <w:rsid w:val="004E2806"/>
    <w:rsid w:val="004F0DD0"/>
    <w:rsid w:val="004F29CB"/>
    <w:rsid w:val="004F6DBB"/>
    <w:rsid w:val="0050313F"/>
    <w:rsid w:val="00505513"/>
    <w:rsid w:val="00510FF3"/>
    <w:rsid w:val="00520B39"/>
    <w:rsid w:val="0052755C"/>
    <w:rsid w:val="00537797"/>
    <w:rsid w:val="005441C4"/>
    <w:rsid w:val="00547EF1"/>
    <w:rsid w:val="00554C3D"/>
    <w:rsid w:val="0055799A"/>
    <w:rsid w:val="00571228"/>
    <w:rsid w:val="005836E1"/>
    <w:rsid w:val="005A1685"/>
    <w:rsid w:val="005A3295"/>
    <w:rsid w:val="005A4F8C"/>
    <w:rsid w:val="005A66D5"/>
    <w:rsid w:val="005A7E10"/>
    <w:rsid w:val="005C0A8A"/>
    <w:rsid w:val="005D01DA"/>
    <w:rsid w:val="005D12C5"/>
    <w:rsid w:val="005D236A"/>
    <w:rsid w:val="005D329E"/>
    <w:rsid w:val="005E35C0"/>
    <w:rsid w:val="005F2841"/>
    <w:rsid w:val="006139FB"/>
    <w:rsid w:val="006234AA"/>
    <w:rsid w:val="00625640"/>
    <w:rsid w:val="0063040A"/>
    <w:rsid w:val="006326D4"/>
    <w:rsid w:val="006369D2"/>
    <w:rsid w:val="00644BA4"/>
    <w:rsid w:val="00647B13"/>
    <w:rsid w:val="00655178"/>
    <w:rsid w:val="00657D82"/>
    <w:rsid w:val="00665A3D"/>
    <w:rsid w:val="00667256"/>
    <w:rsid w:val="0067290A"/>
    <w:rsid w:val="006735AC"/>
    <w:rsid w:val="00680500"/>
    <w:rsid w:val="006809C1"/>
    <w:rsid w:val="00687D90"/>
    <w:rsid w:val="00695530"/>
    <w:rsid w:val="006A0F21"/>
    <w:rsid w:val="006A689F"/>
    <w:rsid w:val="006B02FC"/>
    <w:rsid w:val="006B0E63"/>
    <w:rsid w:val="006B3E95"/>
    <w:rsid w:val="006D2589"/>
    <w:rsid w:val="006D797B"/>
    <w:rsid w:val="006D7B67"/>
    <w:rsid w:val="006E7C83"/>
    <w:rsid w:val="00703769"/>
    <w:rsid w:val="00705F2F"/>
    <w:rsid w:val="00713AF4"/>
    <w:rsid w:val="00714141"/>
    <w:rsid w:val="00736D64"/>
    <w:rsid w:val="0074164D"/>
    <w:rsid w:val="007509C7"/>
    <w:rsid w:val="00754C14"/>
    <w:rsid w:val="00757B16"/>
    <w:rsid w:val="00766F1F"/>
    <w:rsid w:val="00774D88"/>
    <w:rsid w:val="007753A2"/>
    <w:rsid w:val="00775A75"/>
    <w:rsid w:val="00783B49"/>
    <w:rsid w:val="00787665"/>
    <w:rsid w:val="00790460"/>
    <w:rsid w:val="00791CA8"/>
    <w:rsid w:val="0079481A"/>
    <w:rsid w:val="00796CEF"/>
    <w:rsid w:val="007A04DD"/>
    <w:rsid w:val="007A3EFC"/>
    <w:rsid w:val="007A7198"/>
    <w:rsid w:val="007A79A5"/>
    <w:rsid w:val="007B5AD1"/>
    <w:rsid w:val="007D7C29"/>
    <w:rsid w:val="007E6C67"/>
    <w:rsid w:val="007F4074"/>
    <w:rsid w:val="007F449C"/>
    <w:rsid w:val="007F532E"/>
    <w:rsid w:val="008013F5"/>
    <w:rsid w:val="00804BA9"/>
    <w:rsid w:val="008175B2"/>
    <w:rsid w:val="00824A5D"/>
    <w:rsid w:val="00835637"/>
    <w:rsid w:val="0083709C"/>
    <w:rsid w:val="008400E8"/>
    <w:rsid w:val="0084264E"/>
    <w:rsid w:val="00843D1E"/>
    <w:rsid w:val="008734B5"/>
    <w:rsid w:val="0088076D"/>
    <w:rsid w:val="00886FDA"/>
    <w:rsid w:val="008A3B9A"/>
    <w:rsid w:val="008A451D"/>
    <w:rsid w:val="008A518F"/>
    <w:rsid w:val="008B2625"/>
    <w:rsid w:val="008B3196"/>
    <w:rsid w:val="008B4EC6"/>
    <w:rsid w:val="008B7B75"/>
    <w:rsid w:val="008C086A"/>
    <w:rsid w:val="008C7EF3"/>
    <w:rsid w:val="008D1319"/>
    <w:rsid w:val="008E5F6A"/>
    <w:rsid w:val="008E678F"/>
    <w:rsid w:val="008F126B"/>
    <w:rsid w:val="009017C0"/>
    <w:rsid w:val="009018BE"/>
    <w:rsid w:val="009041E9"/>
    <w:rsid w:val="00904544"/>
    <w:rsid w:val="00905873"/>
    <w:rsid w:val="00923202"/>
    <w:rsid w:val="0092447D"/>
    <w:rsid w:val="00933645"/>
    <w:rsid w:val="0094511E"/>
    <w:rsid w:val="009523FD"/>
    <w:rsid w:val="00963A44"/>
    <w:rsid w:val="00967020"/>
    <w:rsid w:val="0096748B"/>
    <w:rsid w:val="0097015E"/>
    <w:rsid w:val="00974032"/>
    <w:rsid w:val="0098672C"/>
    <w:rsid w:val="00996813"/>
    <w:rsid w:val="009975BA"/>
    <w:rsid w:val="009A0FC1"/>
    <w:rsid w:val="009A14AE"/>
    <w:rsid w:val="009A3D74"/>
    <w:rsid w:val="009B18A4"/>
    <w:rsid w:val="009B443B"/>
    <w:rsid w:val="009C0ED5"/>
    <w:rsid w:val="009D0CD5"/>
    <w:rsid w:val="009E7DD5"/>
    <w:rsid w:val="009F17A1"/>
    <w:rsid w:val="009F773E"/>
    <w:rsid w:val="00A0450B"/>
    <w:rsid w:val="00A12305"/>
    <w:rsid w:val="00A319C9"/>
    <w:rsid w:val="00A346C6"/>
    <w:rsid w:val="00A47DB2"/>
    <w:rsid w:val="00A5168D"/>
    <w:rsid w:val="00A5560D"/>
    <w:rsid w:val="00A55DED"/>
    <w:rsid w:val="00A57BAE"/>
    <w:rsid w:val="00A60DAC"/>
    <w:rsid w:val="00A71D82"/>
    <w:rsid w:val="00A732CB"/>
    <w:rsid w:val="00A86C31"/>
    <w:rsid w:val="00A91470"/>
    <w:rsid w:val="00AA322D"/>
    <w:rsid w:val="00AB3C48"/>
    <w:rsid w:val="00AB4D64"/>
    <w:rsid w:val="00AB6B4A"/>
    <w:rsid w:val="00AB6D00"/>
    <w:rsid w:val="00AC2355"/>
    <w:rsid w:val="00AC323C"/>
    <w:rsid w:val="00AC4683"/>
    <w:rsid w:val="00AC4C47"/>
    <w:rsid w:val="00AD1B65"/>
    <w:rsid w:val="00AD3283"/>
    <w:rsid w:val="00AE0170"/>
    <w:rsid w:val="00AE0CB5"/>
    <w:rsid w:val="00AE122B"/>
    <w:rsid w:val="00AE7EE3"/>
    <w:rsid w:val="00AF14AD"/>
    <w:rsid w:val="00AF50F6"/>
    <w:rsid w:val="00B20562"/>
    <w:rsid w:val="00B219A6"/>
    <w:rsid w:val="00B2529C"/>
    <w:rsid w:val="00B259C9"/>
    <w:rsid w:val="00B31EE0"/>
    <w:rsid w:val="00B32AB3"/>
    <w:rsid w:val="00B33A55"/>
    <w:rsid w:val="00B45292"/>
    <w:rsid w:val="00B52D8A"/>
    <w:rsid w:val="00B53F42"/>
    <w:rsid w:val="00B5471D"/>
    <w:rsid w:val="00B656D6"/>
    <w:rsid w:val="00B65CFE"/>
    <w:rsid w:val="00B730DD"/>
    <w:rsid w:val="00B8023E"/>
    <w:rsid w:val="00B80524"/>
    <w:rsid w:val="00B82C22"/>
    <w:rsid w:val="00B8440A"/>
    <w:rsid w:val="00B85EFA"/>
    <w:rsid w:val="00BA5DC1"/>
    <w:rsid w:val="00BB1875"/>
    <w:rsid w:val="00BB3F88"/>
    <w:rsid w:val="00BC0214"/>
    <w:rsid w:val="00BC4477"/>
    <w:rsid w:val="00BD1833"/>
    <w:rsid w:val="00BE3E3D"/>
    <w:rsid w:val="00BE6EF9"/>
    <w:rsid w:val="00BE7E04"/>
    <w:rsid w:val="00C049CC"/>
    <w:rsid w:val="00C078DE"/>
    <w:rsid w:val="00C10686"/>
    <w:rsid w:val="00C21AF9"/>
    <w:rsid w:val="00C316FD"/>
    <w:rsid w:val="00C3763D"/>
    <w:rsid w:val="00C50233"/>
    <w:rsid w:val="00C53457"/>
    <w:rsid w:val="00C54D3D"/>
    <w:rsid w:val="00C6633F"/>
    <w:rsid w:val="00C90135"/>
    <w:rsid w:val="00C93474"/>
    <w:rsid w:val="00CB0F32"/>
    <w:rsid w:val="00CB7248"/>
    <w:rsid w:val="00CC0169"/>
    <w:rsid w:val="00CC0313"/>
    <w:rsid w:val="00CC0B6B"/>
    <w:rsid w:val="00CD57C2"/>
    <w:rsid w:val="00CD5909"/>
    <w:rsid w:val="00CD5DCB"/>
    <w:rsid w:val="00CD6F9C"/>
    <w:rsid w:val="00CE4788"/>
    <w:rsid w:val="00CF45F1"/>
    <w:rsid w:val="00D03A44"/>
    <w:rsid w:val="00D3231E"/>
    <w:rsid w:val="00D36B2E"/>
    <w:rsid w:val="00D44288"/>
    <w:rsid w:val="00D5245D"/>
    <w:rsid w:val="00D5778A"/>
    <w:rsid w:val="00D778A3"/>
    <w:rsid w:val="00D83768"/>
    <w:rsid w:val="00D85BE4"/>
    <w:rsid w:val="00D917B4"/>
    <w:rsid w:val="00D91956"/>
    <w:rsid w:val="00D93F82"/>
    <w:rsid w:val="00DA0E8D"/>
    <w:rsid w:val="00DA101E"/>
    <w:rsid w:val="00DA5B93"/>
    <w:rsid w:val="00DA635F"/>
    <w:rsid w:val="00DB5700"/>
    <w:rsid w:val="00DC0189"/>
    <w:rsid w:val="00DC3FFC"/>
    <w:rsid w:val="00DC51DD"/>
    <w:rsid w:val="00DD47B0"/>
    <w:rsid w:val="00DD6216"/>
    <w:rsid w:val="00DE5253"/>
    <w:rsid w:val="00DF27D4"/>
    <w:rsid w:val="00E05ED5"/>
    <w:rsid w:val="00E2479B"/>
    <w:rsid w:val="00E248F4"/>
    <w:rsid w:val="00E41C65"/>
    <w:rsid w:val="00E43CC3"/>
    <w:rsid w:val="00E445C2"/>
    <w:rsid w:val="00E44938"/>
    <w:rsid w:val="00E6250A"/>
    <w:rsid w:val="00E625A8"/>
    <w:rsid w:val="00E64819"/>
    <w:rsid w:val="00E6559C"/>
    <w:rsid w:val="00E704A1"/>
    <w:rsid w:val="00E709EC"/>
    <w:rsid w:val="00E749FC"/>
    <w:rsid w:val="00E866CA"/>
    <w:rsid w:val="00E872EF"/>
    <w:rsid w:val="00E90F14"/>
    <w:rsid w:val="00E9465B"/>
    <w:rsid w:val="00E952C2"/>
    <w:rsid w:val="00EA1F1F"/>
    <w:rsid w:val="00EC05B0"/>
    <w:rsid w:val="00EC0F7B"/>
    <w:rsid w:val="00EC1921"/>
    <w:rsid w:val="00EC3DD1"/>
    <w:rsid w:val="00EC5E2F"/>
    <w:rsid w:val="00EC76DE"/>
    <w:rsid w:val="00EE01A0"/>
    <w:rsid w:val="00EE1156"/>
    <w:rsid w:val="00EE3017"/>
    <w:rsid w:val="00EE5F56"/>
    <w:rsid w:val="00EE74E6"/>
    <w:rsid w:val="00EF4F79"/>
    <w:rsid w:val="00EF71D7"/>
    <w:rsid w:val="00F04593"/>
    <w:rsid w:val="00F05572"/>
    <w:rsid w:val="00F073D3"/>
    <w:rsid w:val="00F14EF2"/>
    <w:rsid w:val="00F164AE"/>
    <w:rsid w:val="00F16B26"/>
    <w:rsid w:val="00F176C2"/>
    <w:rsid w:val="00F428FB"/>
    <w:rsid w:val="00F439F9"/>
    <w:rsid w:val="00F5082C"/>
    <w:rsid w:val="00F60C59"/>
    <w:rsid w:val="00F62BEE"/>
    <w:rsid w:val="00F71316"/>
    <w:rsid w:val="00F75B01"/>
    <w:rsid w:val="00F84344"/>
    <w:rsid w:val="00F94F67"/>
    <w:rsid w:val="00F9552F"/>
    <w:rsid w:val="00FA4CB2"/>
    <w:rsid w:val="00FB12B2"/>
    <w:rsid w:val="00FB427A"/>
    <w:rsid w:val="00FB451C"/>
    <w:rsid w:val="00FB6FDA"/>
    <w:rsid w:val="00FC2D5C"/>
    <w:rsid w:val="00FC675F"/>
    <w:rsid w:val="00FD24B8"/>
    <w:rsid w:val="00FF019E"/>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8"/>
      </w:numPr>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4">
    <w:name w:val="heading 4"/>
    <w:basedOn w:val="Normal"/>
    <w:next w:val="Normal"/>
    <w:link w:val="Heading4Char"/>
    <w:uiPriority w:val="99"/>
    <w:qFormat/>
    <w:rsid w:val="00AB4D64"/>
    <w:pPr>
      <w:keepNext/>
      <w:keepLines/>
      <w:spacing w:before="40"/>
      <w:outlineLvl w:val="3"/>
    </w:pPr>
    <w:rPr>
      <w:rFonts w:ascii="Calibri" w:hAnsi="Calibri"/>
      <w:i/>
      <w:iCs/>
      <w:color w:val="365F91"/>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215D37"/>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4Char">
    <w:name w:val="Heading 4 Char"/>
    <w:basedOn w:val="DefaultParagraphFont"/>
    <w:link w:val="Heading4"/>
    <w:uiPriority w:val="99"/>
    <w:locked/>
    <w:rsid w:val="00AB4D64"/>
    <w:rPr>
      <w:rFonts w:ascii="Calibri" w:hAnsi="Calibri" w:cs="Times New Roman"/>
      <w:i/>
      <w:iCs/>
      <w:color w:val="365F91"/>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rsid w:val="00267AD3"/>
    <w:rPr>
      <w:rFonts w:cs="Times New Roman"/>
      <w:vertAlign w:val="superscript"/>
    </w:rPr>
  </w:style>
  <w:style w:type="paragraph" w:styleId="NoSpacing">
    <w:name w:val="No Spacing"/>
    <w:aliases w:val="Spacing"/>
    <w:basedOn w:val="Heading1"/>
    <w:link w:val="NoSpacingChar"/>
    <w:uiPriority w:val="99"/>
    <w:qFormat/>
    <w:rsid w:val="002E5E01"/>
    <w:rPr>
      <w:sz w:val="20"/>
      <w:szCs w:val="20"/>
      <w:lang w:val="bs-Latn-BA" w:eastAsia="bs-Latn-BA"/>
    </w:rPr>
  </w:style>
  <w:style w:type="paragraph" w:styleId="FootnoteText">
    <w:name w:val="footnote text"/>
    <w:aliases w:val="Char Char Char,Char Char"/>
    <w:basedOn w:val="Normal"/>
    <w:link w:val="FootnoteTextChar"/>
    <w:uiPriority w:val="99"/>
    <w:rsid w:val="00AF50F6"/>
    <w:pPr>
      <w:spacing w:before="0"/>
      <w:jc w:val="left"/>
    </w:pPr>
    <w:rPr>
      <w:sz w:val="20"/>
      <w:szCs w:val="20"/>
      <w:lang w:val="en-US"/>
    </w:rPr>
  </w:style>
  <w:style w:type="character" w:customStyle="1" w:styleId="FootnoteTextChar">
    <w:name w:val="Footnote Text Char"/>
    <w:aliases w:val="Char Char Char Char,Char Char Char1"/>
    <w:basedOn w:val="DefaultParagraphFont"/>
    <w:link w:val="FootnoteText"/>
    <w:uiPriority w:val="99"/>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1C52E2"/>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1C52E2"/>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rsid w:val="001C52E2"/>
    <w:rPr>
      <w:rFonts w:ascii="Times New Roman" w:hAnsi="Times New Roman"/>
      <w:sz w:val="0"/>
      <w:szCs w:val="0"/>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table" w:customStyle="1" w:styleId="TableGrid4">
    <w:name w:val="Table Grid4"/>
    <w:uiPriority w:val="99"/>
    <w:rsid w:val="00BD1833"/>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1">
    <w:name w:val="Neriješeno spominjanje1"/>
    <w:basedOn w:val="DefaultParagraphFont"/>
    <w:uiPriority w:val="99"/>
    <w:semiHidden/>
    <w:rsid w:val="004F0DD0"/>
    <w:rPr>
      <w:rFonts w:cs="Times New Roman"/>
      <w:color w:val="605E5C"/>
      <w:shd w:val="clear" w:color="auto" w:fill="E1DFDD"/>
    </w:rPr>
  </w:style>
  <w:style w:type="character" w:styleId="FollowedHyperlink">
    <w:name w:val="FollowedHyperlink"/>
    <w:basedOn w:val="DefaultParagraphFont"/>
    <w:uiPriority w:val="99"/>
    <w:semiHidden/>
    <w:rsid w:val="004F0DD0"/>
    <w:rPr>
      <w:rFonts w:cs="Times New Roman"/>
      <w:color w:val="800080"/>
      <w:u w:val="single"/>
    </w:rPr>
  </w:style>
  <w:style w:type="paragraph" w:styleId="HTMLPreformatted">
    <w:name w:val="HTML Preformatted"/>
    <w:basedOn w:val="Normal"/>
    <w:link w:val="HTMLPreformattedChar"/>
    <w:uiPriority w:val="99"/>
    <w:semiHidden/>
    <w:rsid w:val="004F0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lang w:val="hr-HR" w:eastAsia="hr-HR"/>
    </w:rPr>
  </w:style>
  <w:style w:type="character" w:customStyle="1" w:styleId="HTMLPreformattedChar">
    <w:name w:val="HTML Preformatted Char"/>
    <w:basedOn w:val="DefaultParagraphFont"/>
    <w:link w:val="HTMLPreformatted"/>
    <w:uiPriority w:val="99"/>
    <w:semiHidden/>
    <w:locked/>
    <w:rsid w:val="004F0DD0"/>
    <w:rPr>
      <w:rFonts w:ascii="Courier New" w:hAnsi="Courier New" w:cs="Courier New"/>
      <w:sz w:val="20"/>
      <w:szCs w:val="20"/>
      <w:lang w:val="hr-HR" w:eastAsia="hr-HR"/>
    </w:rPr>
  </w:style>
  <w:style w:type="paragraph" w:styleId="Subtitle">
    <w:name w:val="Subtitle"/>
    <w:basedOn w:val="Normal"/>
    <w:next w:val="Normal"/>
    <w:link w:val="SubtitleChar"/>
    <w:uiPriority w:val="99"/>
    <w:qFormat/>
    <w:rsid w:val="004F0DD0"/>
    <w:pPr>
      <w:numPr>
        <w:ilvl w:val="1"/>
      </w:numPr>
      <w:spacing w:before="0" w:after="160" w:line="259" w:lineRule="auto"/>
      <w:jc w:val="left"/>
    </w:pPr>
    <w:rPr>
      <w:rFonts w:ascii="Cambria" w:hAnsi="Cambria"/>
      <w:color w:val="5A5A5A"/>
      <w:spacing w:val="15"/>
      <w:sz w:val="22"/>
      <w:szCs w:val="22"/>
      <w:lang w:val="hr-HR"/>
    </w:rPr>
  </w:style>
  <w:style w:type="character" w:customStyle="1" w:styleId="SubtitleChar">
    <w:name w:val="Subtitle Char"/>
    <w:basedOn w:val="DefaultParagraphFont"/>
    <w:link w:val="Subtitle"/>
    <w:uiPriority w:val="99"/>
    <w:locked/>
    <w:rsid w:val="004F0DD0"/>
    <w:rPr>
      <w:rFonts w:cs="Times New Roman"/>
      <w:color w:val="5A5A5A"/>
      <w:spacing w:val="15"/>
      <w:sz w:val="22"/>
      <w:szCs w:val="22"/>
      <w:lang w:val="hr-HR"/>
    </w:rPr>
  </w:style>
  <w:style w:type="character" w:styleId="CommentReference">
    <w:name w:val="annotation reference"/>
    <w:basedOn w:val="DefaultParagraphFont"/>
    <w:uiPriority w:val="99"/>
    <w:semiHidden/>
    <w:rsid w:val="004F0DD0"/>
    <w:rPr>
      <w:rFonts w:cs="Times New Roman"/>
      <w:sz w:val="16"/>
      <w:szCs w:val="16"/>
    </w:rPr>
  </w:style>
  <w:style w:type="paragraph" w:styleId="CommentText">
    <w:name w:val="annotation text"/>
    <w:basedOn w:val="Normal"/>
    <w:link w:val="CommentTextChar"/>
    <w:uiPriority w:val="99"/>
    <w:semiHidden/>
    <w:rsid w:val="004F0DD0"/>
    <w:pPr>
      <w:spacing w:before="0" w:after="160"/>
      <w:jc w:val="left"/>
    </w:pPr>
    <w:rPr>
      <w:rFonts w:ascii="Cambria" w:hAnsi="Cambria"/>
      <w:sz w:val="20"/>
      <w:szCs w:val="20"/>
      <w:lang w:val="hr-HR"/>
    </w:rPr>
  </w:style>
  <w:style w:type="character" w:customStyle="1" w:styleId="CommentTextChar">
    <w:name w:val="Comment Text Char"/>
    <w:basedOn w:val="DefaultParagraphFont"/>
    <w:link w:val="CommentText"/>
    <w:uiPriority w:val="99"/>
    <w:semiHidden/>
    <w:locked/>
    <w:rsid w:val="004F0DD0"/>
    <w:rPr>
      <w:rFonts w:eastAsia="Times New Roman" w:cs="Times New Roman"/>
      <w:sz w:val="20"/>
      <w:szCs w:val="20"/>
      <w:lang w:val="hr-HR"/>
    </w:rPr>
  </w:style>
  <w:style w:type="paragraph" w:styleId="CommentSubject">
    <w:name w:val="annotation subject"/>
    <w:basedOn w:val="CommentText"/>
    <w:next w:val="CommentText"/>
    <w:link w:val="CommentSubjectChar"/>
    <w:uiPriority w:val="99"/>
    <w:semiHidden/>
    <w:rsid w:val="004F0DD0"/>
    <w:rPr>
      <w:b/>
      <w:bCs/>
    </w:rPr>
  </w:style>
  <w:style w:type="character" w:customStyle="1" w:styleId="CommentSubjectChar">
    <w:name w:val="Comment Subject Char"/>
    <w:basedOn w:val="CommentTextChar"/>
    <w:link w:val="CommentSubject"/>
    <w:uiPriority w:val="99"/>
    <w:semiHidden/>
    <w:locked/>
    <w:rsid w:val="004F0DD0"/>
    <w:rPr>
      <w:b/>
      <w:bCs/>
    </w:rPr>
  </w:style>
  <w:style w:type="character" w:customStyle="1" w:styleId="Nerijeenospominjanje2">
    <w:name w:val="Neriješeno spominjanje2"/>
    <w:basedOn w:val="DefaultParagraphFont"/>
    <w:uiPriority w:val="99"/>
    <w:semiHidden/>
    <w:rsid w:val="004F0DD0"/>
    <w:rPr>
      <w:rFonts w:cs="Times New Roman"/>
      <w:color w:val="605E5C"/>
      <w:shd w:val="clear" w:color="auto" w:fill="E1DFDD"/>
    </w:rPr>
  </w:style>
  <w:style w:type="table" w:customStyle="1" w:styleId="GridTable1LightAccent5">
    <w:name w:val="Grid Table 1 Light Accent 5"/>
    <w:uiPriority w:val="99"/>
    <w:rsid w:val="004F0DD0"/>
    <w:rPr>
      <w:lang w:val="hr-HR"/>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2" w:space="0" w:color="92CDDC"/>
        </w:tcBorders>
      </w:tcPr>
    </w:tblStylePr>
    <w:tblStylePr w:type="firstCol">
      <w:rPr>
        <w:rFonts w:cs="Times New Roman"/>
        <w:b/>
        <w:bCs/>
      </w:rPr>
    </w:tblStylePr>
    <w:tblStylePr w:type="lastCol">
      <w:rPr>
        <w:rFonts w:cs="Times New Roman"/>
        <w:b/>
        <w:bCs/>
      </w:rPr>
    </w:tblStylePr>
  </w:style>
  <w:style w:type="table" w:customStyle="1" w:styleId="GridTable1LightAccent1">
    <w:name w:val="Grid Table 1 Light Accent 1"/>
    <w:uiPriority w:val="99"/>
    <w:rsid w:val="004F0DD0"/>
    <w:rPr>
      <w:lang w:val="hr-HR"/>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character" w:customStyle="1" w:styleId="UnresolvedMention">
    <w:name w:val="Unresolved Mention"/>
    <w:basedOn w:val="DefaultParagraphFont"/>
    <w:uiPriority w:val="99"/>
    <w:semiHidden/>
    <w:rsid w:val="004F0DD0"/>
    <w:rPr>
      <w:rFonts w:cs="Times New Roman"/>
      <w:color w:val="605E5C"/>
      <w:shd w:val="clear" w:color="auto" w:fill="E1DFDD"/>
    </w:rPr>
  </w:style>
  <w:style w:type="paragraph" w:styleId="IntenseQuote">
    <w:name w:val="Intense Quote"/>
    <w:basedOn w:val="Normal"/>
    <w:next w:val="Normal"/>
    <w:link w:val="IntenseQuoteChar"/>
    <w:uiPriority w:val="99"/>
    <w:qFormat/>
    <w:rsid w:val="007B5AD1"/>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basedOn w:val="DefaultParagraphFont"/>
    <w:link w:val="IntenseQuote"/>
    <w:uiPriority w:val="99"/>
    <w:locked/>
    <w:rsid w:val="007B5AD1"/>
    <w:rPr>
      <w:rFonts w:ascii="Times New Roman" w:hAnsi="Times New Roman" w:cs="Times New Roman"/>
      <w:i/>
      <w:iCs/>
      <w:color w:val="4F81BD"/>
      <w:lang w:val="en-GB"/>
    </w:rPr>
  </w:style>
  <w:style w:type="paragraph" w:customStyle="1" w:styleId="tekst">
    <w:name w:val="tekst"/>
    <w:basedOn w:val="BodyText2"/>
    <w:link w:val="tekstChar"/>
    <w:uiPriority w:val="99"/>
    <w:rsid w:val="00A57BAE"/>
    <w:pPr>
      <w:spacing w:after="240" w:line="360" w:lineRule="auto"/>
      <w:ind w:firstLine="720"/>
      <w:jc w:val="both"/>
    </w:pPr>
    <w:rPr>
      <w:lang w:val="hr-HR" w:eastAsia="hr-HR"/>
    </w:rPr>
  </w:style>
  <w:style w:type="paragraph" w:customStyle="1" w:styleId="podnaslov">
    <w:name w:val="podnaslov"/>
    <w:basedOn w:val="ListParagraph"/>
    <w:uiPriority w:val="99"/>
    <w:rsid w:val="00A57BAE"/>
    <w:pPr>
      <w:spacing w:before="480" w:after="240"/>
      <w:contextualSpacing w:val="0"/>
      <w:jc w:val="both"/>
    </w:pPr>
    <w:rPr>
      <w:b/>
      <w:bCs/>
      <w:szCs w:val="20"/>
      <w:lang w:val="hr-HR" w:eastAsia="hr-HR"/>
    </w:rPr>
  </w:style>
  <w:style w:type="character" w:customStyle="1" w:styleId="tekstChar">
    <w:name w:val="tekst Char"/>
    <w:basedOn w:val="BodyText2Char"/>
    <w:link w:val="tekst"/>
    <w:uiPriority w:val="99"/>
    <w:locked/>
    <w:rsid w:val="00A57BAE"/>
    <w:rPr>
      <w:lang w:val="hr-HR" w:eastAsia="hr-HR"/>
    </w:rPr>
  </w:style>
</w:styles>
</file>

<file path=word/webSettings.xml><?xml version="1.0" encoding="utf-8"?>
<w:webSettings xmlns:r="http://schemas.openxmlformats.org/officeDocument/2006/relationships" xmlns:w="http://schemas.openxmlformats.org/wordprocessingml/2006/main">
  <w:divs>
    <w:div w:id="1893729891">
      <w:marLeft w:val="0"/>
      <w:marRight w:val="0"/>
      <w:marTop w:val="0"/>
      <w:marBottom w:val="0"/>
      <w:divBdr>
        <w:top w:val="none" w:sz="0" w:space="0" w:color="auto"/>
        <w:left w:val="none" w:sz="0" w:space="0" w:color="auto"/>
        <w:bottom w:val="none" w:sz="0" w:space="0" w:color="auto"/>
        <w:right w:val="none" w:sz="0" w:space="0" w:color="auto"/>
      </w:divBdr>
    </w:div>
    <w:div w:id="1893729892">
      <w:marLeft w:val="0"/>
      <w:marRight w:val="0"/>
      <w:marTop w:val="0"/>
      <w:marBottom w:val="0"/>
      <w:divBdr>
        <w:top w:val="none" w:sz="0" w:space="0" w:color="auto"/>
        <w:left w:val="none" w:sz="0" w:space="0" w:color="auto"/>
        <w:bottom w:val="none" w:sz="0" w:space="0" w:color="auto"/>
        <w:right w:val="none" w:sz="0" w:space="0" w:color="auto"/>
      </w:divBdr>
    </w:div>
    <w:div w:id="1893729897">
      <w:marLeft w:val="0"/>
      <w:marRight w:val="0"/>
      <w:marTop w:val="0"/>
      <w:marBottom w:val="0"/>
      <w:divBdr>
        <w:top w:val="none" w:sz="0" w:space="0" w:color="auto"/>
        <w:left w:val="none" w:sz="0" w:space="0" w:color="auto"/>
        <w:bottom w:val="none" w:sz="0" w:space="0" w:color="auto"/>
        <w:right w:val="none" w:sz="0" w:space="0" w:color="auto"/>
      </w:divBdr>
    </w:div>
    <w:div w:id="1893729898">
      <w:marLeft w:val="0"/>
      <w:marRight w:val="0"/>
      <w:marTop w:val="0"/>
      <w:marBottom w:val="0"/>
      <w:divBdr>
        <w:top w:val="none" w:sz="0" w:space="0" w:color="auto"/>
        <w:left w:val="none" w:sz="0" w:space="0" w:color="auto"/>
        <w:bottom w:val="none" w:sz="0" w:space="0" w:color="auto"/>
        <w:right w:val="none" w:sz="0" w:space="0" w:color="auto"/>
      </w:divBdr>
      <w:divsChild>
        <w:div w:id="1893729903">
          <w:marLeft w:val="0"/>
          <w:marRight w:val="0"/>
          <w:marTop w:val="0"/>
          <w:marBottom w:val="0"/>
          <w:divBdr>
            <w:top w:val="none" w:sz="0" w:space="0" w:color="auto"/>
            <w:left w:val="none" w:sz="0" w:space="0" w:color="auto"/>
            <w:bottom w:val="none" w:sz="0" w:space="0" w:color="auto"/>
            <w:right w:val="none" w:sz="0" w:space="0" w:color="auto"/>
          </w:divBdr>
          <w:divsChild>
            <w:div w:id="1893729894">
              <w:marLeft w:val="0"/>
              <w:marRight w:val="0"/>
              <w:marTop w:val="0"/>
              <w:marBottom w:val="0"/>
              <w:divBdr>
                <w:top w:val="none" w:sz="0" w:space="0" w:color="auto"/>
                <w:left w:val="none" w:sz="0" w:space="0" w:color="auto"/>
                <w:bottom w:val="none" w:sz="0" w:space="0" w:color="auto"/>
                <w:right w:val="none" w:sz="0" w:space="0" w:color="auto"/>
              </w:divBdr>
              <w:divsChild>
                <w:div w:id="18937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29899">
      <w:marLeft w:val="0"/>
      <w:marRight w:val="0"/>
      <w:marTop w:val="0"/>
      <w:marBottom w:val="0"/>
      <w:divBdr>
        <w:top w:val="none" w:sz="0" w:space="0" w:color="auto"/>
        <w:left w:val="none" w:sz="0" w:space="0" w:color="auto"/>
        <w:bottom w:val="none" w:sz="0" w:space="0" w:color="auto"/>
        <w:right w:val="none" w:sz="0" w:space="0" w:color="auto"/>
      </w:divBdr>
    </w:div>
    <w:div w:id="1893729900">
      <w:marLeft w:val="0"/>
      <w:marRight w:val="0"/>
      <w:marTop w:val="0"/>
      <w:marBottom w:val="0"/>
      <w:divBdr>
        <w:top w:val="none" w:sz="0" w:space="0" w:color="auto"/>
        <w:left w:val="none" w:sz="0" w:space="0" w:color="auto"/>
        <w:bottom w:val="none" w:sz="0" w:space="0" w:color="auto"/>
        <w:right w:val="none" w:sz="0" w:space="0" w:color="auto"/>
      </w:divBdr>
      <w:divsChild>
        <w:div w:id="1893729893">
          <w:marLeft w:val="0"/>
          <w:marRight w:val="0"/>
          <w:marTop w:val="0"/>
          <w:marBottom w:val="0"/>
          <w:divBdr>
            <w:top w:val="none" w:sz="0" w:space="0" w:color="auto"/>
            <w:left w:val="none" w:sz="0" w:space="0" w:color="auto"/>
            <w:bottom w:val="none" w:sz="0" w:space="0" w:color="auto"/>
            <w:right w:val="none" w:sz="0" w:space="0" w:color="auto"/>
          </w:divBdr>
          <w:divsChild>
            <w:div w:id="1893729896">
              <w:marLeft w:val="0"/>
              <w:marRight w:val="0"/>
              <w:marTop w:val="0"/>
              <w:marBottom w:val="0"/>
              <w:divBdr>
                <w:top w:val="none" w:sz="0" w:space="0" w:color="auto"/>
                <w:left w:val="none" w:sz="0" w:space="0" w:color="auto"/>
                <w:bottom w:val="none" w:sz="0" w:space="0" w:color="auto"/>
                <w:right w:val="none" w:sz="0" w:space="0" w:color="auto"/>
              </w:divBdr>
              <w:divsChild>
                <w:div w:id="18937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29901">
      <w:marLeft w:val="0"/>
      <w:marRight w:val="0"/>
      <w:marTop w:val="0"/>
      <w:marBottom w:val="0"/>
      <w:divBdr>
        <w:top w:val="none" w:sz="0" w:space="0" w:color="auto"/>
        <w:left w:val="none" w:sz="0" w:space="0" w:color="auto"/>
        <w:bottom w:val="none" w:sz="0" w:space="0" w:color="auto"/>
        <w:right w:val="none" w:sz="0" w:space="0" w:color="auto"/>
      </w:divBdr>
    </w:div>
    <w:div w:id="1893729902">
      <w:marLeft w:val="0"/>
      <w:marRight w:val="0"/>
      <w:marTop w:val="0"/>
      <w:marBottom w:val="0"/>
      <w:divBdr>
        <w:top w:val="none" w:sz="0" w:space="0" w:color="auto"/>
        <w:left w:val="none" w:sz="0" w:space="0" w:color="auto"/>
        <w:bottom w:val="none" w:sz="0" w:space="0" w:color="auto"/>
        <w:right w:val="none" w:sz="0" w:space="0" w:color="auto"/>
      </w:divBdr>
    </w:div>
    <w:div w:id="1893729904">
      <w:marLeft w:val="0"/>
      <w:marRight w:val="0"/>
      <w:marTop w:val="0"/>
      <w:marBottom w:val="0"/>
      <w:divBdr>
        <w:top w:val="none" w:sz="0" w:space="0" w:color="auto"/>
        <w:left w:val="none" w:sz="0" w:space="0" w:color="auto"/>
        <w:bottom w:val="none" w:sz="0" w:space="0" w:color="auto"/>
        <w:right w:val="none" w:sz="0" w:space="0" w:color="auto"/>
      </w:divBdr>
    </w:div>
    <w:div w:id="1893729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ladatk.kim.b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zs.b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cina-gracanica.b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ladatk.kim.ba" TargetMode="External"/><Relationship Id="rId4" Type="http://schemas.openxmlformats.org/officeDocument/2006/relationships/webSettings" Target="webSettings.xml"/><Relationship Id="rId9" Type="http://schemas.openxmlformats.org/officeDocument/2006/relationships/hyperlink" Target="http://www.doiserbia.nb.r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ladatk.kim.ba" TargetMode="External"/><Relationship Id="rId1" Type="http://schemas.openxmlformats.org/officeDocument/2006/relationships/hyperlink" Target="http://www.vladatk.kim.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4679</Words>
  <Characters>26675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Časopiszaekonomijuipolitikutranzicije  /  Journal of economic and politics of Transition     Godi</dc:title>
  <dc:subject/>
  <dc:creator>Joseph Lough</dc:creator>
  <cp:keywords/>
  <dc:description/>
  <cp:lastModifiedBy>Ferhat Cejvanovic</cp:lastModifiedBy>
  <cp:revision>2</cp:revision>
  <dcterms:created xsi:type="dcterms:W3CDTF">2019-08-07T12:15:00Z</dcterms:created>
  <dcterms:modified xsi:type="dcterms:W3CDTF">2019-08-07T12:15:00Z</dcterms:modified>
</cp:coreProperties>
</file>