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9B" w:rsidRPr="00FF0978" w:rsidRDefault="004A49F7" w:rsidP="000D3BE4">
      <w:pPr>
        <w:jc w:val="center"/>
        <w:rPr>
          <w:b/>
          <w:bCs/>
          <w:lang w:val="en-GB"/>
        </w:rPr>
      </w:pPr>
      <w:r>
        <w:rPr>
          <w:b/>
          <w:sz w:val="28"/>
          <w:szCs w:val="28"/>
        </w:rPr>
        <w:t>Testing for regime-s</w:t>
      </w:r>
      <w:r w:rsidR="000D3BE4" w:rsidRPr="00FF0978">
        <w:rPr>
          <w:b/>
          <w:sz w:val="28"/>
          <w:szCs w:val="28"/>
        </w:rPr>
        <w:t xml:space="preserve">witching </w:t>
      </w:r>
      <w:r w:rsidR="002A7E63" w:rsidRPr="00FF0978">
        <w:rPr>
          <w:b/>
          <w:sz w:val="28"/>
          <w:szCs w:val="28"/>
        </w:rPr>
        <w:t xml:space="preserve">CAPM </w:t>
      </w:r>
      <w:r w:rsidR="000D3BE4" w:rsidRPr="00FF0978">
        <w:rPr>
          <w:b/>
          <w:sz w:val="28"/>
          <w:szCs w:val="28"/>
        </w:rPr>
        <w:t>on Zagreb Stock Exchange</w:t>
      </w:r>
    </w:p>
    <w:p w:rsidR="000D3BE4" w:rsidRPr="00FF0978" w:rsidRDefault="000D3BE4" w:rsidP="002F6562">
      <w:pPr>
        <w:rPr>
          <w:b/>
          <w:bCs/>
          <w:lang w:val="en-GB"/>
        </w:rPr>
      </w:pPr>
    </w:p>
    <w:p w:rsidR="00DC1C9B" w:rsidRDefault="000D3BE4" w:rsidP="004A49F7">
      <w:pPr>
        <w:pStyle w:val="Heading1"/>
        <w:rPr>
          <w:bCs w:val="0"/>
          <w:szCs w:val="22"/>
          <w:lang w:val="en-US" w:bidi="en-US"/>
        </w:rPr>
      </w:pPr>
      <w:proofErr w:type="spellStart"/>
      <w:r w:rsidRPr="00FF0978">
        <w:rPr>
          <w:bCs w:val="0"/>
          <w:szCs w:val="22"/>
          <w:lang w:val="en-US" w:bidi="en-US"/>
        </w:rPr>
        <w:t>Tihana</w:t>
      </w:r>
      <w:proofErr w:type="spellEnd"/>
      <w:r w:rsidR="004A49F7">
        <w:rPr>
          <w:bCs w:val="0"/>
          <w:szCs w:val="22"/>
          <w:lang w:val="en-US" w:bidi="en-US"/>
        </w:rPr>
        <w:t xml:space="preserve"> </w:t>
      </w:r>
      <w:r w:rsidR="004A49F7" w:rsidRPr="00FF0978">
        <w:rPr>
          <w:bCs w:val="0"/>
          <w:szCs w:val="22"/>
          <w:lang w:val="en-US" w:bidi="en-US"/>
        </w:rPr>
        <w:t>Škrinjarić</w:t>
      </w:r>
      <w:r w:rsidR="009C213C">
        <w:rPr>
          <w:bCs w:val="0"/>
          <w:szCs w:val="22"/>
          <w:vertAlign w:val="superscript"/>
          <w:lang w:val="en-US" w:bidi="en-US"/>
        </w:rPr>
        <w:t>1,</w:t>
      </w:r>
      <w:r w:rsidR="000A50E5" w:rsidRPr="000A50E5">
        <w:rPr>
          <w:rStyle w:val="FootnoteReference"/>
          <w:bCs w:val="0"/>
          <w:szCs w:val="22"/>
          <w:lang w:val="en-US" w:bidi="en-US"/>
        </w:rPr>
        <w:footnoteReference w:customMarkFollows="1" w:id="1"/>
        <w:sym w:font="Symbol" w:char="F02A"/>
      </w:r>
    </w:p>
    <w:p w:rsidR="0026434D" w:rsidRPr="00A521BD" w:rsidRDefault="0026434D" w:rsidP="0026434D">
      <w:pPr>
        <w:rPr>
          <w:sz w:val="16"/>
          <w:lang w:bidi="en-US"/>
        </w:rPr>
      </w:pPr>
    </w:p>
    <w:p w:rsidR="000D3BE4" w:rsidRPr="0026434D" w:rsidRDefault="009C213C" w:rsidP="000D3BE4">
      <w:pPr>
        <w:jc w:val="center"/>
        <w:rPr>
          <w:i/>
          <w:sz w:val="22"/>
          <w:szCs w:val="22"/>
        </w:rPr>
      </w:pPr>
      <w:r w:rsidRPr="009C213C">
        <w:rPr>
          <w:sz w:val="22"/>
          <w:szCs w:val="22"/>
          <w:vertAlign w:val="superscript"/>
        </w:rPr>
        <w:t>1</w:t>
      </w:r>
      <w:r>
        <w:rPr>
          <w:sz w:val="22"/>
          <w:szCs w:val="22"/>
          <w:vertAlign w:val="superscript"/>
        </w:rPr>
        <w:t xml:space="preserve"> </w:t>
      </w:r>
      <w:r w:rsidR="000D3BE4" w:rsidRPr="0026434D">
        <w:rPr>
          <w:i/>
          <w:sz w:val="22"/>
          <w:szCs w:val="22"/>
        </w:rPr>
        <w:t>Faculty of Economics and Business, University of Zagreb</w:t>
      </w:r>
    </w:p>
    <w:p w:rsidR="000D3BE4" w:rsidRPr="0026434D" w:rsidRDefault="000D3BE4" w:rsidP="000D3BE4">
      <w:pPr>
        <w:jc w:val="center"/>
        <w:rPr>
          <w:i/>
          <w:sz w:val="22"/>
          <w:szCs w:val="22"/>
        </w:rPr>
      </w:pPr>
      <w:proofErr w:type="spellStart"/>
      <w:r w:rsidRPr="0026434D">
        <w:rPr>
          <w:i/>
          <w:sz w:val="22"/>
          <w:szCs w:val="22"/>
        </w:rPr>
        <w:t>Trg</w:t>
      </w:r>
      <w:proofErr w:type="spellEnd"/>
      <w:r w:rsidRPr="0026434D">
        <w:rPr>
          <w:i/>
          <w:sz w:val="22"/>
          <w:szCs w:val="22"/>
        </w:rPr>
        <w:t xml:space="preserve"> J.F. </w:t>
      </w:r>
      <w:proofErr w:type="spellStart"/>
      <w:r w:rsidRPr="0026434D">
        <w:rPr>
          <w:i/>
          <w:sz w:val="22"/>
          <w:szCs w:val="22"/>
        </w:rPr>
        <w:t>Kennedyja</w:t>
      </w:r>
      <w:proofErr w:type="spellEnd"/>
      <w:r w:rsidRPr="0026434D">
        <w:rPr>
          <w:i/>
          <w:sz w:val="22"/>
          <w:szCs w:val="22"/>
        </w:rPr>
        <w:t xml:space="preserve"> 6, 10000 Zagreb, Croatia</w:t>
      </w:r>
    </w:p>
    <w:p w:rsidR="0092656E" w:rsidRPr="000A50E5" w:rsidRDefault="00CD22B5" w:rsidP="0092656E">
      <w:pPr>
        <w:jc w:val="center"/>
        <w:rPr>
          <w:sz w:val="22"/>
        </w:rPr>
      </w:pPr>
      <w:r w:rsidRPr="0026434D">
        <w:rPr>
          <w:i/>
          <w:sz w:val="22"/>
        </w:rPr>
        <w:t xml:space="preserve">E-mail: </w:t>
      </w:r>
      <w:r w:rsidR="000A50E5" w:rsidRPr="000A50E5">
        <w:rPr>
          <w:rFonts w:ascii="SimHei" w:eastAsia="SimHei" w:hAnsi="SimHei" w:hint="eastAsia"/>
          <w:sz w:val="22"/>
        </w:rPr>
        <w:t>〈</w:t>
      </w:r>
      <w:r w:rsidR="000D3BE4" w:rsidRPr="0026434D">
        <w:rPr>
          <w:i/>
          <w:sz w:val="22"/>
          <w:szCs w:val="22"/>
        </w:rPr>
        <w:t>tskrinjaric@efzg.hr</w:t>
      </w:r>
      <w:r w:rsidR="00F62765" w:rsidRPr="00F62765">
        <w:rPr>
          <w:rFonts w:ascii="SimHei" w:eastAsia="SimHei" w:hAnsi="SimHei" w:hint="eastAsia"/>
          <w:sz w:val="22"/>
          <w:szCs w:val="22"/>
        </w:rPr>
        <w:t>〉</w:t>
      </w:r>
    </w:p>
    <w:p w:rsidR="00DC1C9B" w:rsidRPr="00FF0978" w:rsidRDefault="00DC1C9B" w:rsidP="000D3BE4">
      <w:pPr>
        <w:rPr>
          <w:b/>
          <w:bCs/>
          <w:lang w:val="en-GB"/>
        </w:rPr>
      </w:pPr>
    </w:p>
    <w:p w:rsidR="000D3BE4" w:rsidRPr="0026434D" w:rsidRDefault="00D5211A" w:rsidP="0026434D">
      <w:pPr>
        <w:jc w:val="both"/>
        <w:rPr>
          <w:b/>
          <w:bCs/>
          <w:lang w:val="en-GB"/>
        </w:rPr>
      </w:pPr>
      <w:r w:rsidRPr="00FF0978">
        <w:rPr>
          <w:b/>
          <w:bCs/>
          <w:lang w:val="en-GB"/>
        </w:rPr>
        <w:t>Abstract</w:t>
      </w:r>
      <w:r w:rsidR="0026434D">
        <w:rPr>
          <w:b/>
          <w:bCs/>
          <w:lang w:val="en-GB"/>
        </w:rPr>
        <w:t xml:space="preserve">. </w:t>
      </w:r>
      <w:r w:rsidR="000D3BE4" w:rsidRPr="00FF0978">
        <w:rPr>
          <w:sz w:val="22"/>
          <w:szCs w:val="22"/>
          <w:lang w:bidi="en-US"/>
        </w:rPr>
        <w:t xml:space="preserve">The standard Capital Asset Pricing Model assumes that a linear relationship exists between the risk (beta) and </w:t>
      </w:r>
      <w:r w:rsidR="002E30EC">
        <w:rPr>
          <w:sz w:val="22"/>
          <w:szCs w:val="22"/>
          <w:lang w:bidi="en-US"/>
        </w:rPr>
        <w:t xml:space="preserve">the </w:t>
      </w:r>
      <w:r w:rsidR="000D3BE4" w:rsidRPr="00FF0978">
        <w:rPr>
          <w:sz w:val="22"/>
          <w:szCs w:val="22"/>
          <w:lang w:bidi="en-US"/>
        </w:rPr>
        <w:t xml:space="preserve">expected excess return of a stock. However, empirical findings have shown </w:t>
      </w:r>
      <w:r w:rsidR="002E30EC" w:rsidRPr="00FF0978">
        <w:rPr>
          <w:sz w:val="22"/>
          <w:szCs w:val="22"/>
          <w:lang w:bidi="en-US"/>
        </w:rPr>
        <w:t xml:space="preserve">over the years </w:t>
      </w:r>
      <w:r w:rsidR="000D3BE4" w:rsidRPr="00FF0978">
        <w:rPr>
          <w:sz w:val="22"/>
          <w:szCs w:val="22"/>
          <w:lang w:bidi="en-US"/>
        </w:rPr>
        <w:t xml:space="preserve">that this relationship varies over time. Stock markets undergo phases of greater and smaller volatility in which beta varies accordingly (undergoes different regimes). Given that </w:t>
      </w:r>
      <w:r w:rsidR="002E30EC">
        <w:rPr>
          <w:sz w:val="22"/>
          <w:szCs w:val="22"/>
          <w:lang w:bidi="en-US"/>
        </w:rPr>
        <w:t xml:space="preserve">the </w:t>
      </w:r>
      <w:r w:rsidR="000D3BE4" w:rsidRPr="00FF0978">
        <w:rPr>
          <w:sz w:val="22"/>
          <w:szCs w:val="22"/>
          <w:lang w:bidi="en-US"/>
        </w:rPr>
        <w:t xml:space="preserve">Croatian capital market is still insufficiently investigated, the aim of this paper </w:t>
      </w:r>
      <w:r w:rsidR="002E30EC">
        <w:rPr>
          <w:sz w:val="22"/>
          <w:szCs w:val="22"/>
          <w:lang w:bidi="en-US"/>
        </w:rPr>
        <w:t xml:space="preserve">is </w:t>
      </w:r>
      <w:r w:rsidR="000D3BE4" w:rsidRPr="00FF0978">
        <w:rPr>
          <w:sz w:val="22"/>
          <w:szCs w:val="22"/>
          <w:lang w:bidi="en-US"/>
        </w:rPr>
        <w:t xml:space="preserve">to explore the possibility of </w:t>
      </w:r>
      <w:r w:rsidR="002E30EC">
        <w:rPr>
          <w:sz w:val="22"/>
          <w:szCs w:val="22"/>
          <w:lang w:bidi="en-US"/>
        </w:rPr>
        <w:t xml:space="preserve">a </w:t>
      </w:r>
      <w:r w:rsidR="000D3BE4" w:rsidRPr="00FF0978">
        <w:rPr>
          <w:sz w:val="22"/>
          <w:szCs w:val="22"/>
          <w:lang w:bidi="en-US"/>
        </w:rPr>
        <w:t xml:space="preserve">non-linear relationship between the stock risk and return. Linear and Markov-switching models (Hamilton 1989) </w:t>
      </w:r>
      <w:r w:rsidR="002E30EC">
        <w:rPr>
          <w:sz w:val="22"/>
          <w:szCs w:val="22"/>
          <w:lang w:bidi="en-US"/>
        </w:rPr>
        <w:t>are</w:t>
      </w:r>
      <w:r w:rsidR="000D3BE4" w:rsidRPr="00FF0978">
        <w:rPr>
          <w:sz w:val="22"/>
          <w:szCs w:val="22"/>
          <w:lang w:bidi="en-US"/>
        </w:rPr>
        <w:t xml:space="preserve"> examined on the Zagreb Stock Exchange based on monthly data on 21 stocks, ranging from January 2005 to December 2013. In that way, investors can use the results based on the best model when making decisions about buying stocks. Since this is one of the first papers on regime-switching on</w:t>
      </w:r>
      <w:r w:rsidR="002E30EC">
        <w:rPr>
          <w:sz w:val="22"/>
          <w:szCs w:val="22"/>
          <w:lang w:bidi="en-US"/>
        </w:rPr>
        <w:t xml:space="preserve"> the</w:t>
      </w:r>
      <w:r w:rsidR="000D3BE4" w:rsidRPr="00FF0978">
        <w:rPr>
          <w:sz w:val="22"/>
          <w:szCs w:val="22"/>
          <w:lang w:bidi="en-US"/>
        </w:rPr>
        <w:t xml:space="preserve"> Croatian capital market, it will hopefully contribute to the existing literature on investing.</w:t>
      </w:r>
    </w:p>
    <w:p w:rsidR="00D5211A" w:rsidRPr="00FF0978" w:rsidRDefault="00D5211A" w:rsidP="00C956C2">
      <w:pPr>
        <w:jc w:val="center"/>
        <w:rPr>
          <w:b/>
          <w:bCs/>
        </w:rPr>
      </w:pPr>
    </w:p>
    <w:p w:rsidR="001760F5" w:rsidRPr="00747FBC" w:rsidRDefault="00DC1C9B" w:rsidP="00C956C2">
      <w:pPr>
        <w:jc w:val="both"/>
        <w:rPr>
          <w:i/>
          <w:iCs/>
          <w:sz w:val="22"/>
          <w:lang w:val="en-GB" w:bidi="en-US"/>
        </w:rPr>
      </w:pPr>
      <w:r w:rsidRPr="00FF0978">
        <w:rPr>
          <w:b/>
          <w:bCs/>
          <w:lang w:val="en-GB"/>
        </w:rPr>
        <w:t xml:space="preserve">Keywords: </w:t>
      </w:r>
      <w:r w:rsidRPr="00FF0978">
        <w:rPr>
          <w:b/>
          <w:bCs/>
          <w:lang w:val="en-GB"/>
        </w:rPr>
        <w:tab/>
      </w:r>
      <w:r w:rsidR="000D3BE4" w:rsidRPr="00747FBC">
        <w:rPr>
          <w:i/>
          <w:iCs/>
          <w:sz w:val="22"/>
          <w:lang w:val="en-GB" w:bidi="en-US"/>
        </w:rPr>
        <w:t>regime-switching, Zagreb Stock Exchange, CAPM, time-varying beta.</w:t>
      </w:r>
    </w:p>
    <w:p w:rsidR="000D3BE4" w:rsidRPr="00FF0978" w:rsidRDefault="000D3BE4" w:rsidP="00C956C2">
      <w:pPr>
        <w:jc w:val="both"/>
        <w:rPr>
          <w:iCs/>
          <w:lang w:val="en-GB"/>
        </w:rPr>
      </w:pPr>
    </w:p>
    <w:p w:rsidR="001760F5" w:rsidRPr="002E30EC" w:rsidRDefault="001760F5" w:rsidP="001760F5">
      <w:pPr>
        <w:jc w:val="center"/>
        <w:rPr>
          <w:iCs/>
          <w:sz w:val="22"/>
          <w:lang w:val="en-GB"/>
        </w:rPr>
      </w:pPr>
      <w:r w:rsidRPr="002E30EC">
        <w:rPr>
          <w:iCs/>
          <w:sz w:val="22"/>
          <w:lang w:val="en-GB"/>
        </w:rPr>
        <w:t xml:space="preserve">Received: xx </w:t>
      </w:r>
      <w:proofErr w:type="spellStart"/>
      <w:r w:rsidRPr="002E30EC">
        <w:rPr>
          <w:iCs/>
          <w:sz w:val="22"/>
          <w:lang w:val="en-GB"/>
        </w:rPr>
        <w:t>xx</w:t>
      </w:r>
      <w:proofErr w:type="spellEnd"/>
      <w:r w:rsidRPr="002E30EC">
        <w:rPr>
          <w:iCs/>
          <w:sz w:val="22"/>
          <w:lang w:val="en-GB"/>
        </w:rPr>
        <w:t xml:space="preserve">, 201x; accepted: </w:t>
      </w:r>
      <w:proofErr w:type="spellStart"/>
      <w:r w:rsidRPr="002E30EC">
        <w:rPr>
          <w:iCs/>
          <w:sz w:val="22"/>
          <w:lang w:val="en-GB"/>
        </w:rPr>
        <w:t>yy</w:t>
      </w:r>
      <w:proofErr w:type="spellEnd"/>
      <w:r w:rsidRPr="002E30EC">
        <w:rPr>
          <w:iCs/>
          <w:sz w:val="22"/>
          <w:lang w:val="en-GB"/>
        </w:rPr>
        <w:t xml:space="preserve"> </w:t>
      </w:r>
      <w:proofErr w:type="spellStart"/>
      <w:r w:rsidRPr="002E30EC">
        <w:rPr>
          <w:iCs/>
          <w:sz w:val="22"/>
          <w:lang w:val="en-GB"/>
        </w:rPr>
        <w:t>yy</w:t>
      </w:r>
      <w:proofErr w:type="spellEnd"/>
      <w:r w:rsidRPr="002E30EC">
        <w:rPr>
          <w:iCs/>
          <w:sz w:val="22"/>
          <w:lang w:val="en-GB"/>
        </w:rPr>
        <w:t xml:space="preserve"> 201x; available online: </w:t>
      </w:r>
      <w:proofErr w:type="spellStart"/>
      <w:r w:rsidRPr="002E30EC">
        <w:rPr>
          <w:iCs/>
          <w:sz w:val="22"/>
          <w:lang w:val="en-GB"/>
        </w:rPr>
        <w:t>zz</w:t>
      </w:r>
      <w:proofErr w:type="spellEnd"/>
      <w:r w:rsidRPr="002E30EC">
        <w:rPr>
          <w:iCs/>
          <w:sz w:val="22"/>
          <w:lang w:val="en-GB"/>
        </w:rPr>
        <w:t xml:space="preserve"> </w:t>
      </w:r>
      <w:proofErr w:type="spellStart"/>
      <w:r w:rsidRPr="002E30EC">
        <w:rPr>
          <w:iCs/>
          <w:sz w:val="22"/>
          <w:lang w:val="en-GB"/>
        </w:rPr>
        <w:t>zz</w:t>
      </w:r>
      <w:proofErr w:type="spellEnd"/>
      <w:r w:rsidRPr="002E30EC">
        <w:rPr>
          <w:iCs/>
          <w:sz w:val="22"/>
          <w:lang w:val="en-GB"/>
        </w:rPr>
        <w:t>; 201x</w:t>
      </w:r>
    </w:p>
    <w:p w:rsidR="00CE6038" w:rsidRPr="00FF0978" w:rsidRDefault="00CE6038" w:rsidP="00C956C2">
      <w:pPr>
        <w:pBdr>
          <w:bottom w:val="single" w:sz="6" w:space="1" w:color="auto"/>
        </w:pBdr>
        <w:jc w:val="both"/>
        <w:rPr>
          <w:b/>
          <w:bCs/>
          <w:lang w:val="en-GB"/>
        </w:rPr>
      </w:pPr>
    </w:p>
    <w:p w:rsidR="006D6858" w:rsidRPr="00FF0978" w:rsidRDefault="006D6858">
      <w:pPr>
        <w:jc w:val="both"/>
        <w:rPr>
          <w:b/>
          <w:bCs/>
          <w:lang w:val="en-GB"/>
        </w:rPr>
      </w:pPr>
    </w:p>
    <w:p w:rsidR="00DC1C9B" w:rsidRPr="00FF0978" w:rsidRDefault="00DC1C9B">
      <w:pPr>
        <w:jc w:val="both"/>
        <w:rPr>
          <w:lang w:val="en-GB"/>
        </w:rPr>
      </w:pPr>
    </w:p>
    <w:p w:rsidR="00D65E8F" w:rsidRPr="00FF0978" w:rsidRDefault="00CE6038">
      <w:pPr>
        <w:jc w:val="both"/>
        <w:rPr>
          <w:b/>
          <w:bCs/>
          <w:sz w:val="28"/>
          <w:szCs w:val="28"/>
          <w:lang w:val="en-GB"/>
        </w:rPr>
      </w:pPr>
      <w:r w:rsidRPr="00FF0978">
        <w:rPr>
          <w:b/>
          <w:bCs/>
          <w:sz w:val="28"/>
          <w:szCs w:val="28"/>
          <w:lang w:val="en-GB"/>
        </w:rPr>
        <w:t>1.</w:t>
      </w:r>
      <w:r w:rsidR="006D6858" w:rsidRPr="00FF0978">
        <w:rPr>
          <w:b/>
          <w:bCs/>
          <w:sz w:val="28"/>
          <w:szCs w:val="28"/>
          <w:lang w:val="en-GB"/>
        </w:rPr>
        <w:t xml:space="preserve"> </w:t>
      </w:r>
      <w:r w:rsidR="00C956C2" w:rsidRPr="00FF0978">
        <w:rPr>
          <w:b/>
          <w:bCs/>
          <w:sz w:val="28"/>
          <w:szCs w:val="28"/>
          <w:lang w:val="en-GB"/>
        </w:rPr>
        <w:t>Introduction</w:t>
      </w:r>
    </w:p>
    <w:p w:rsidR="00D65E8F" w:rsidRPr="00FF0978" w:rsidRDefault="00D65E8F">
      <w:pPr>
        <w:jc w:val="both"/>
        <w:rPr>
          <w:b/>
          <w:bCs/>
          <w:lang w:val="en-GB"/>
        </w:rPr>
      </w:pPr>
    </w:p>
    <w:p w:rsidR="000D3BE4" w:rsidRPr="00FF0978" w:rsidRDefault="000D3BE4" w:rsidP="00285EA2">
      <w:pPr>
        <w:jc w:val="both"/>
      </w:pPr>
      <w:r w:rsidRPr="00FF0978">
        <w:t>Modern portfolio theory has derived many useful concepts of stock (as well as other securities) evaluation, in which quantifying stock risk is important for portfolio construction, as well as in fi</w:t>
      </w:r>
      <w:r w:rsidR="002E30EC">
        <w:t>nancial management in general. The C</w:t>
      </w:r>
      <w:r w:rsidRPr="00FF0978">
        <w:t xml:space="preserve">apital Asset Pricing Model (CAPM) (W. Sharpe [42] and J. </w:t>
      </w:r>
      <w:proofErr w:type="spellStart"/>
      <w:r w:rsidRPr="00FF0978">
        <w:t>Lintner</w:t>
      </w:r>
      <w:proofErr w:type="spellEnd"/>
      <w:r w:rsidRPr="00FF0978">
        <w:t xml:space="preserve"> [37]) is probably one of the most famous evaluation models in finance theory. The model is used to estimate the market risk of an individual stock or a well-diversified portfolio. In that way</w:t>
      </w:r>
      <w:r w:rsidR="002E30EC">
        <w:t>,</w:t>
      </w:r>
      <w:r w:rsidRPr="00FF0978">
        <w:t xml:space="preserve"> an investor can measure the sensitivity of an asset’s excess return to changes in </w:t>
      </w:r>
      <w:r w:rsidRPr="00FF0978">
        <w:lastRenderedPageBreak/>
        <w:t>market’s excess return. It is a linear model (</w:t>
      </w:r>
      <w:proofErr w:type="spellStart"/>
      <w:r w:rsidRPr="00FF0978">
        <w:t>Aljinović</w:t>
      </w:r>
      <w:proofErr w:type="spellEnd"/>
      <w:r w:rsidRPr="00FF0978">
        <w:t xml:space="preserve">, </w:t>
      </w:r>
      <w:proofErr w:type="spellStart"/>
      <w:r w:rsidRPr="00FF0978">
        <w:t>Marasović</w:t>
      </w:r>
      <w:proofErr w:type="spellEnd"/>
      <w:r w:rsidRPr="00FF0978">
        <w:t xml:space="preserve"> and </w:t>
      </w:r>
      <w:proofErr w:type="spellStart"/>
      <w:r w:rsidRPr="00FF0978">
        <w:t>Šego</w:t>
      </w:r>
      <w:proofErr w:type="spellEnd"/>
      <w:r w:rsidRPr="00FF0978">
        <w:t xml:space="preserve"> [2]), which means that the excess stock return is linearly related to the non-diversifiable risk (</w:t>
      </w:r>
      <w:proofErr w:type="spellStart"/>
      <w:r w:rsidRPr="00FF0978">
        <w:t>Džaja</w:t>
      </w:r>
      <w:proofErr w:type="spellEnd"/>
      <w:r w:rsidRPr="00FF0978">
        <w:t xml:space="preserve"> and </w:t>
      </w:r>
      <w:proofErr w:type="spellStart"/>
      <w:r w:rsidRPr="00FF0978">
        <w:t>Aljinović</w:t>
      </w:r>
      <w:proofErr w:type="spellEnd"/>
      <w:r w:rsidRPr="00FF0978">
        <w:t xml:space="preserve"> [13:164]). It has been empirically tested numerous times on</w:t>
      </w:r>
      <w:r w:rsidR="002E30EC">
        <w:t xml:space="preserve"> both</w:t>
      </w:r>
      <w:r w:rsidRPr="00FF0978">
        <w:t xml:space="preserve"> developed markets, </w:t>
      </w:r>
      <w:r w:rsidR="002E30EC">
        <w:t>and</w:t>
      </w:r>
      <w:r w:rsidRPr="00FF0978">
        <w:t xml:space="preserve"> on markets in development. Despite its many flaws (see, for example</w:t>
      </w:r>
      <w:r w:rsidR="002E30EC">
        <w:t>,</w:t>
      </w:r>
      <w:r w:rsidRPr="00FF0978">
        <w:t xml:space="preserve"> </w:t>
      </w:r>
      <w:proofErr w:type="spellStart"/>
      <w:r w:rsidRPr="00FF0978">
        <w:t>Fama</w:t>
      </w:r>
      <w:proofErr w:type="spellEnd"/>
      <w:r w:rsidRPr="00FF0978">
        <w:t xml:space="preserve"> and French [19])</w:t>
      </w:r>
      <w:r w:rsidR="002E30EC">
        <w:t>,</w:t>
      </w:r>
      <w:r w:rsidRPr="00FF0978">
        <w:t xml:space="preserve"> it is still tested today, not only in its original form, but also </w:t>
      </w:r>
      <w:r w:rsidR="002E30EC">
        <w:t>by</w:t>
      </w:r>
      <w:r w:rsidRPr="00FF0978">
        <w:t xml:space="preserve"> taking into account different modifications (see </w:t>
      </w:r>
      <w:proofErr w:type="spellStart"/>
      <w:r w:rsidRPr="00FF0978">
        <w:t>Fama</w:t>
      </w:r>
      <w:proofErr w:type="spellEnd"/>
      <w:r w:rsidRPr="00FF0978">
        <w:t xml:space="preserve"> and French [17, 18]). On the Croatian capital market</w:t>
      </w:r>
      <w:r w:rsidR="002E30EC">
        <w:t>,</w:t>
      </w:r>
      <w:r w:rsidRPr="00FF0978">
        <w:t xml:space="preserve"> it has been tested several times</w:t>
      </w:r>
      <w:r w:rsidR="002E30EC">
        <w:t xml:space="preserve"> </w:t>
      </w:r>
      <w:r w:rsidR="002E30EC" w:rsidRPr="00FF0978">
        <w:t>only in its original form</w:t>
      </w:r>
      <w:r w:rsidRPr="00FF0978">
        <w:t xml:space="preserve"> with conclusions that deny its power of a systematic risk prediction. </w:t>
      </w:r>
    </w:p>
    <w:p w:rsidR="000D3BE4" w:rsidRPr="00FF0978" w:rsidRDefault="000D3BE4" w:rsidP="003C6E58">
      <w:pPr>
        <w:ind w:firstLine="432"/>
        <w:jc w:val="both"/>
      </w:pPr>
      <w:r w:rsidRPr="00FF0978">
        <w:t xml:space="preserve">Over the past 30 years many authors have shown that a stock’s average return and risk fluctuate over time and the original CAPM model cannot explain stock return anomalies. Furthermore, it has been determined that beta varies over time (see </w:t>
      </w:r>
      <w:proofErr w:type="spellStart"/>
      <w:r w:rsidRPr="00FF0978">
        <w:t>Fabozzi</w:t>
      </w:r>
      <w:proofErr w:type="spellEnd"/>
      <w:r w:rsidRPr="00FF0978">
        <w:t xml:space="preserve"> and Francis [14], Chen [10], </w:t>
      </w:r>
      <w:proofErr w:type="spellStart"/>
      <w:r w:rsidRPr="00FF0978">
        <w:t>Fama</w:t>
      </w:r>
      <w:proofErr w:type="spellEnd"/>
      <w:r w:rsidRPr="00FF0978">
        <w:t xml:space="preserve"> and French [17, 18], </w:t>
      </w:r>
      <w:proofErr w:type="spellStart"/>
      <w:r w:rsidRPr="00FF0978">
        <w:t>Jagannathan</w:t>
      </w:r>
      <w:proofErr w:type="spellEnd"/>
      <w:r w:rsidRPr="00FF0978">
        <w:t xml:space="preserve"> and Wang [27], Faff and Brooks [15], Kim, Morley and Nelson [29], etc.). </w:t>
      </w:r>
      <w:proofErr w:type="spellStart"/>
      <w:r w:rsidRPr="00FF0978">
        <w:t>Fruk</w:t>
      </w:r>
      <w:proofErr w:type="spellEnd"/>
      <w:r w:rsidRPr="00FF0978">
        <w:t xml:space="preserve"> and </w:t>
      </w:r>
      <w:proofErr w:type="spellStart"/>
      <w:r w:rsidRPr="00FF0978">
        <w:t>Huljak</w:t>
      </w:r>
      <w:proofErr w:type="spellEnd"/>
      <w:r w:rsidRPr="00FF0978">
        <w:t xml:space="preserve"> [20] concluded that investors should be careful when using betas as a risk measure on</w:t>
      </w:r>
      <w:r w:rsidR="002E30EC">
        <w:t xml:space="preserve"> the</w:t>
      </w:r>
      <w:r w:rsidRPr="00FF0978">
        <w:t xml:space="preserve"> Zagreb Stock Exchange, while </w:t>
      </w:r>
      <w:proofErr w:type="spellStart"/>
      <w:r w:rsidRPr="00FF0978">
        <w:t>Perković</w:t>
      </w:r>
      <w:proofErr w:type="spellEnd"/>
      <w:r w:rsidRPr="00FF0978">
        <w:t xml:space="preserve"> [40] </w:t>
      </w:r>
      <w:r w:rsidR="003C6E58">
        <w:t xml:space="preserve">and </w:t>
      </w:r>
      <w:proofErr w:type="spellStart"/>
      <w:r w:rsidR="003C6E58" w:rsidRPr="00FF0978">
        <w:rPr>
          <w:rFonts w:eastAsia="Calibri"/>
          <w:lang w:eastAsia="hr-HR"/>
        </w:rPr>
        <w:t>Džaja</w:t>
      </w:r>
      <w:proofErr w:type="spellEnd"/>
      <w:r w:rsidR="003C6E58" w:rsidRPr="00FF0978">
        <w:rPr>
          <w:rFonts w:eastAsia="Calibri"/>
          <w:lang w:eastAsia="hr-HR"/>
        </w:rPr>
        <w:t xml:space="preserve"> and </w:t>
      </w:r>
      <w:proofErr w:type="spellStart"/>
      <w:r w:rsidR="003C6E58" w:rsidRPr="00FF0978">
        <w:rPr>
          <w:rFonts w:eastAsia="Calibri"/>
          <w:lang w:eastAsia="hr-HR"/>
        </w:rPr>
        <w:t>Aljinović</w:t>
      </w:r>
      <w:proofErr w:type="spellEnd"/>
      <w:r w:rsidR="003C6E58" w:rsidRPr="00FF0978">
        <w:rPr>
          <w:rFonts w:eastAsia="Calibri"/>
          <w:lang w:eastAsia="hr-HR"/>
        </w:rPr>
        <w:t xml:space="preserve"> [13]</w:t>
      </w:r>
      <w:r w:rsidR="003C6E58">
        <w:rPr>
          <w:rFonts w:eastAsia="Calibri"/>
          <w:lang w:eastAsia="hr-HR"/>
        </w:rPr>
        <w:t xml:space="preserve"> </w:t>
      </w:r>
      <w:r w:rsidR="003C6E58" w:rsidRPr="00FF0978">
        <w:t>demonstrated that beta cannot be trusted</w:t>
      </w:r>
      <w:r w:rsidR="003C6E58">
        <w:t xml:space="preserve"> </w:t>
      </w:r>
      <w:r w:rsidR="003C6E58" w:rsidRPr="00FF0978">
        <w:t>as a risk measure</w:t>
      </w:r>
      <w:r w:rsidR="003C6E58">
        <w:t xml:space="preserve"> </w:t>
      </w:r>
      <w:r w:rsidRPr="00FF0978">
        <w:t>when making investment decisions on</w:t>
      </w:r>
      <w:r w:rsidR="003C6E58">
        <w:t xml:space="preserve"> the</w:t>
      </w:r>
      <w:r w:rsidRPr="00FF0978">
        <w:t xml:space="preserve"> </w:t>
      </w:r>
      <w:r w:rsidR="003C6E58">
        <w:rPr>
          <w:rFonts w:eastAsia="Calibri"/>
          <w:lang w:eastAsia="hr-HR"/>
        </w:rPr>
        <w:t>Croatian stock market</w:t>
      </w:r>
      <w:r w:rsidRPr="00FF0978">
        <w:rPr>
          <w:rFonts w:eastAsia="Calibri"/>
          <w:lang w:eastAsia="hr-HR"/>
        </w:rPr>
        <w:t xml:space="preserve">. </w:t>
      </w:r>
      <w:r w:rsidR="003C6E58">
        <w:t xml:space="preserve">The relationship between </w:t>
      </w:r>
      <w:r w:rsidRPr="00FF0978">
        <w:t xml:space="preserve">risk and return is not always linear, and the original CAPM as a linear model fails to explain the movements in stock return and risk. There are even econometric consequences: “When betas vary over time, standard OLS inference is </w:t>
      </w:r>
      <w:proofErr w:type="spellStart"/>
      <w:r w:rsidRPr="00FF0978">
        <w:t>misspecified</w:t>
      </w:r>
      <w:proofErr w:type="spellEnd"/>
      <w:r w:rsidRPr="00FF0978">
        <w:t xml:space="preserve"> and cannot be used to assess the fit of a conditional CAPM. Moreover, when betas vary over time and are correlated with time-varying market risk </w:t>
      </w:r>
      <w:proofErr w:type="spellStart"/>
      <w:r w:rsidRPr="00FF0978">
        <w:t>premia</w:t>
      </w:r>
      <w:proofErr w:type="spellEnd"/>
      <w:r w:rsidRPr="00FF0978">
        <w:t>, OLS alphas and betas provide inconsistent estimates of conditional alphas and conditional betas, respectively.” (</w:t>
      </w:r>
      <w:proofErr w:type="spellStart"/>
      <w:r w:rsidRPr="00FF0978">
        <w:t>Ang</w:t>
      </w:r>
      <w:proofErr w:type="spellEnd"/>
      <w:r w:rsidRPr="00FF0978">
        <w:t xml:space="preserve"> and Chen [5:1]).</w:t>
      </w:r>
    </w:p>
    <w:p w:rsidR="000D3BE4" w:rsidRPr="00FF0978" w:rsidRDefault="000D3BE4" w:rsidP="00285EA2">
      <w:pPr>
        <w:ind w:firstLine="432"/>
        <w:jc w:val="both"/>
      </w:pPr>
      <w:r w:rsidRPr="00FF0978">
        <w:t>This problem was solved by introducing regime switching models which incorporate changes in</w:t>
      </w:r>
      <w:r w:rsidR="003C6E58">
        <w:t xml:space="preserve"> the</w:t>
      </w:r>
      <w:r w:rsidRPr="00FF0978">
        <w:t xml:space="preserve"> observed variables by modeling not only the mean equation, but also the probabilities of staying in different states of</w:t>
      </w:r>
      <w:r w:rsidR="003C6E58">
        <w:t xml:space="preserve"> the</w:t>
      </w:r>
      <w:r w:rsidRPr="00FF0978">
        <w:t xml:space="preserve"> world. The most popular regime switching model is the one Hamilton [23] developed. It is broadly used for detecting bull and bear markets</w:t>
      </w:r>
      <w:r w:rsidRPr="00FF0978">
        <w:rPr>
          <w:rStyle w:val="FootnoteReference"/>
        </w:rPr>
        <w:footnoteReference w:id="2"/>
      </w:r>
      <w:r w:rsidRPr="00FF0978">
        <w:t xml:space="preserve"> and in modeling </w:t>
      </w:r>
      <w:r w:rsidR="003C6E58">
        <w:t xml:space="preserve">an </w:t>
      </w:r>
      <w:r w:rsidRPr="00FF0978">
        <w:t>unobserved discrete-time, discrete-state Markov process (Kim [30]). This paper follows the Hamilton (1989) [23] and</w:t>
      </w:r>
      <w:r w:rsidR="003C6E58">
        <w:t xml:space="preserve"> the</w:t>
      </w:r>
      <w:r w:rsidRPr="00FF0978">
        <w:t xml:space="preserve"> popular Huang [26] approach of modeling stock returns on </w:t>
      </w:r>
      <w:r w:rsidR="003C6E58">
        <w:t xml:space="preserve">the </w:t>
      </w:r>
      <w:r w:rsidRPr="00FF0978">
        <w:lastRenderedPageBreak/>
        <w:t xml:space="preserve">Zagreb Stock Exchange. In that way, it can finally be seen whether the CAPM model modified by regime switching behavior can explain the relationship between stock return and risk on Croatian capital market. There are only several papers in </w:t>
      </w:r>
      <w:r w:rsidR="003C6E58">
        <w:t xml:space="preserve">the </w:t>
      </w:r>
      <w:r w:rsidRPr="00FF0978">
        <w:t xml:space="preserve">Croatia dealing with the CAPM and switching regime methodology. Thus, we are hoping to contribute to the scarce literature on that topic. The paper is organized as follows. </w:t>
      </w:r>
      <w:r w:rsidR="003C6E58">
        <w:t>Section 2</w:t>
      </w:r>
      <w:r w:rsidRPr="00FF0978">
        <w:t xml:space="preserve"> deals with previous theoretical and empirical research regarding</w:t>
      </w:r>
      <w:r w:rsidR="003C6E58">
        <w:t xml:space="preserve"> the</w:t>
      </w:r>
      <w:r w:rsidRPr="00FF0978">
        <w:t xml:space="preserve"> origi</w:t>
      </w:r>
      <w:r w:rsidR="003C6E58">
        <w:t>nal and regime switching CAPM. The m</w:t>
      </w:r>
      <w:r w:rsidRPr="00FF0978">
        <w:t xml:space="preserve">ethodology used in this paper is described in the </w:t>
      </w:r>
      <w:r w:rsidR="003C6E58">
        <w:t>Section 3</w:t>
      </w:r>
      <w:r w:rsidRPr="00FF0978">
        <w:t xml:space="preserve">, while empirical investigation and results are given in </w:t>
      </w:r>
      <w:r w:rsidR="003C6E58">
        <w:t>Section 4</w:t>
      </w:r>
      <w:r w:rsidRPr="00FF0978">
        <w:t xml:space="preserve">. </w:t>
      </w:r>
      <w:r w:rsidR="003C6E58">
        <w:t>Section 5</w:t>
      </w:r>
      <w:r w:rsidRPr="00FF0978">
        <w:t xml:space="preserve"> concludes the paper.</w:t>
      </w:r>
    </w:p>
    <w:p w:rsidR="000D3BE4" w:rsidRPr="001B487D" w:rsidRDefault="000D3BE4" w:rsidP="006D6858">
      <w:pPr>
        <w:autoSpaceDE w:val="0"/>
        <w:autoSpaceDN w:val="0"/>
        <w:adjustRightInd w:val="0"/>
        <w:rPr>
          <w:szCs w:val="22"/>
          <w:lang w:val="hr-HR" w:eastAsia="hr-HR"/>
        </w:rPr>
      </w:pPr>
    </w:p>
    <w:p w:rsidR="000D3BE4" w:rsidRPr="007049E4" w:rsidRDefault="006D6858" w:rsidP="000D3BE4">
      <w:pPr>
        <w:jc w:val="both"/>
        <w:rPr>
          <w:b/>
          <w:sz w:val="28"/>
          <w:szCs w:val="28"/>
        </w:rPr>
      </w:pPr>
      <w:r w:rsidRPr="007049E4">
        <w:rPr>
          <w:b/>
          <w:sz w:val="28"/>
          <w:szCs w:val="28"/>
          <w:lang w:val="hr-HR" w:eastAsia="hr-HR"/>
        </w:rPr>
        <w:t xml:space="preserve">2. </w:t>
      </w:r>
      <w:r w:rsidR="000D3BE4" w:rsidRPr="007049E4">
        <w:rPr>
          <w:b/>
          <w:sz w:val="28"/>
          <w:szCs w:val="28"/>
        </w:rPr>
        <w:t>Short survey of previous literature</w:t>
      </w:r>
    </w:p>
    <w:p w:rsidR="000D3BE4" w:rsidRPr="00FF0978" w:rsidRDefault="000D3BE4" w:rsidP="006D6858">
      <w:pPr>
        <w:autoSpaceDE w:val="0"/>
        <w:autoSpaceDN w:val="0"/>
        <w:adjustRightInd w:val="0"/>
        <w:rPr>
          <w:b/>
          <w:szCs w:val="28"/>
          <w:lang w:val="hr-HR" w:eastAsia="hr-HR"/>
        </w:rPr>
      </w:pPr>
    </w:p>
    <w:p w:rsidR="000D3BE4" w:rsidRPr="00FF0978" w:rsidRDefault="000D3BE4" w:rsidP="00285EA2">
      <w:pPr>
        <w:jc w:val="both"/>
      </w:pPr>
      <w:r w:rsidRPr="00FF0978">
        <w:t>By analyzing previous foreign and domestic research it can be concluded that regime switching methodology is widely used in finance practice in foreign literature</w:t>
      </w:r>
      <w:r w:rsidR="00AC0212">
        <w:t>, while domestic research lacks</w:t>
      </w:r>
      <w:r w:rsidRPr="00FF0978">
        <w:t xml:space="preserve"> CAPM analyses and even more</w:t>
      </w:r>
      <w:r w:rsidR="00AC0212">
        <w:t xml:space="preserve"> a</w:t>
      </w:r>
      <w:r w:rsidRPr="00FF0978">
        <w:t xml:space="preserve"> regime switching approach. Since many </w:t>
      </w:r>
      <w:r w:rsidR="00AC0212">
        <w:t>papers</w:t>
      </w:r>
      <w:r w:rsidRPr="00FF0978">
        <w:t xml:space="preserve"> referring to the linear CAPM model are mentioned very often in the literature, only those applying regime switching models will be reviewed. </w:t>
      </w:r>
    </w:p>
    <w:p w:rsidR="000D3BE4" w:rsidRPr="00FF0978" w:rsidRDefault="000D3BE4" w:rsidP="00285EA2">
      <w:pPr>
        <w:ind w:firstLine="432"/>
        <w:jc w:val="both"/>
      </w:pPr>
      <w:r w:rsidRPr="00FF0978">
        <w:t>Huang [26] is one of the researche</w:t>
      </w:r>
      <w:r w:rsidR="00AC0212">
        <w:t>r</w:t>
      </w:r>
      <w:r w:rsidRPr="00FF0978">
        <w:t xml:space="preserve">s whose approach is very popular. He applied the first order Markov chain in order to model switching behavior of beta in the CAPM model on the Microsoft Corporation monthly stock returns for the period from April 1986 to December 1993. </w:t>
      </w:r>
      <w:proofErr w:type="spellStart"/>
      <w:r w:rsidRPr="00FF0978">
        <w:t>Assoe</w:t>
      </w:r>
      <w:proofErr w:type="spellEnd"/>
      <w:r w:rsidRPr="00FF0978">
        <w:t xml:space="preserve"> [7] found strong evidence of two regime switching in nine emerging market returns for monthly data on stock market price indices from December 1975 to December 1997. </w:t>
      </w:r>
      <w:proofErr w:type="spellStart"/>
      <w:r w:rsidRPr="00FF0978">
        <w:t>Korkmaz</w:t>
      </w:r>
      <w:proofErr w:type="spellEnd"/>
      <w:r w:rsidRPr="00FF0978">
        <w:t xml:space="preserve">, </w:t>
      </w:r>
      <w:proofErr w:type="spellStart"/>
      <w:r w:rsidRPr="00FF0978">
        <w:t>Çevik</w:t>
      </w:r>
      <w:proofErr w:type="spellEnd"/>
      <w:r w:rsidRPr="00FF0978">
        <w:t xml:space="preserve"> and </w:t>
      </w:r>
      <w:proofErr w:type="spellStart"/>
      <w:r w:rsidRPr="00FF0978">
        <w:t>Gürkan</w:t>
      </w:r>
      <w:proofErr w:type="spellEnd"/>
      <w:r w:rsidRPr="00FF0978">
        <w:t xml:space="preserve"> [31] dealt with 23 emerging markets and examined the period from</w:t>
      </w:r>
      <w:r w:rsidRPr="00FF0978">
        <w:rPr>
          <w:rFonts w:eastAsia="Calibri"/>
          <w:lang w:eastAsia="hr-HR"/>
        </w:rPr>
        <w:t xml:space="preserve"> January 1995 to April 2009 in order to compare the linear to the Markov switching model. The results of their investigation have shown that risk can be time varying, depending on the regime prevailing on the market. </w:t>
      </w:r>
      <w:proofErr w:type="spellStart"/>
      <w:r w:rsidRPr="00FF0978">
        <w:t>Galagadera</w:t>
      </w:r>
      <w:proofErr w:type="spellEnd"/>
      <w:r w:rsidRPr="00FF0978">
        <w:t xml:space="preserve"> and </w:t>
      </w:r>
      <w:proofErr w:type="spellStart"/>
      <w:r w:rsidRPr="00FF0978">
        <w:t>Shami</w:t>
      </w:r>
      <w:proofErr w:type="spellEnd"/>
      <w:r w:rsidRPr="00FF0978">
        <w:t xml:space="preserve"> [21] used daily data on 30 securities in the DJI index for </w:t>
      </w:r>
      <w:r w:rsidR="00AC0212">
        <w:rPr>
          <w:rFonts w:eastAsia="Calibri"/>
          <w:lang w:eastAsia="hr-HR"/>
        </w:rPr>
        <w:t xml:space="preserve">the period from </w:t>
      </w:r>
      <w:r w:rsidR="00AC0212" w:rsidRPr="00FF0978">
        <w:rPr>
          <w:rFonts w:eastAsia="Calibri"/>
          <w:lang w:eastAsia="hr-HR"/>
        </w:rPr>
        <w:t>2</w:t>
      </w:r>
      <w:r w:rsidR="00AC0212">
        <w:rPr>
          <w:rFonts w:eastAsia="Calibri"/>
          <w:lang w:eastAsia="hr-HR"/>
        </w:rPr>
        <w:t xml:space="preserve"> January 1990 to </w:t>
      </w:r>
      <w:r w:rsidR="00AC0212" w:rsidRPr="00FF0978">
        <w:rPr>
          <w:rFonts w:eastAsia="Calibri"/>
          <w:lang w:eastAsia="hr-HR"/>
        </w:rPr>
        <w:t>23</w:t>
      </w:r>
      <w:r w:rsidR="00AC0212">
        <w:rPr>
          <w:rFonts w:eastAsia="Calibri"/>
          <w:lang w:eastAsia="hr-HR"/>
        </w:rPr>
        <w:t xml:space="preserve"> May</w:t>
      </w:r>
      <w:r w:rsidRPr="00FF0978">
        <w:rPr>
          <w:rFonts w:eastAsia="Calibri"/>
          <w:lang w:eastAsia="hr-HR"/>
        </w:rPr>
        <w:t xml:space="preserve"> 1996. They classified stocks by probability of being in a low or</w:t>
      </w:r>
      <w:r w:rsidR="00AC0212">
        <w:rPr>
          <w:rFonts w:eastAsia="Calibri"/>
          <w:lang w:eastAsia="hr-HR"/>
        </w:rPr>
        <w:t xml:space="preserve"> a</w:t>
      </w:r>
      <w:r w:rsidRPr="00FF0978">
        <w:rPr>
          <w:rFonts w:eastAsia="Calibri"/>
          <w:lang w:eastAsia="hr-HR"/>
        </w:rPr>
        <w:t xml:space="preserve"> high risk state and concluded that some stock returns produce strong switching behavior. </w:t>
      </w:r>
      <w:proofErr w:type="spellStart"/>
      <w:r w:rsidRPr="00FF0978">
        <w:t>Abdymomunov</w:t>
      </w:r>
      <w:proofErr w:type="spellEnd"/>
      <w:r w:rsidRPr="00FF0978">
        <w:t xml:space="preserve"> and Morley [1] analyzed stock returns on value weighted </w:t>
      </w:r>
      <w:proofErr w:type="spellStart"/>
      <w:r w:rsidRPr="00FF0978">
        <w:t>decile</w:t>
      </w:r>
      <w:proofErr w:type="spellEnd"/>
      <w:r w:rsidRPr="00FF0978">
        <w:t xml:space="preserve"> portfolios of all stocks listed on the New York Stock Exchange, AMEX and NASDAQ for the period from July 1963 to December 2010. Using a two-state Markov-switching process, they found evidence of time variation betas, which rejects the original unconditional CAPM model. They concluded that the regime-switching model</w:t>
      </w:r>
      <w:r w:rsidR="00AC0212">
        <w:t xml:space="preserve"> explains returns much </w:t>
      </w:r>
      <w:r w:rsidR="00AC0212">
        <w:lastRenderedPageBreak/>
        <w:t>better. A l</w:t>
      </w:r>
      <w:r w:rsidRPr="00FF0978">
        <w:t xml:space="preserve">ist of some other applications of Markov switching approaches in finance is given in Wang [49] and </w:t>
      </w:r>
      <w:proofErr w:type="spellStart"/>
      <w:r w:rsidRPr="00FF0978">
        <w:t>Guidolin</w:t>
      </w:r>
      <w:proofErr w:type="spellEnd"/>
      <w:r w:rsidRPr="00FF0978">
        <w:t xml:space="preserve"> [22].</w:t>
      </w:r>
    </w:p>
    <w:p w:rsidR="002F6562" w:rsidRDefault="000D3BE4" w:rsidP="002F6562">
      <w:pPr>
        <w:ind w:firstLine="360"/>
        <w:jc w:val="both"/>
      </w:pPr>
      <w:r w:rsidRPr="00FF0978">
        <w:t xml:space="preserve">By observing the domestic literature, only several papers on the CAPM or switching regime can be found. </w:t>
      </w:r>
      <w:proofErr w:type="spellStart"/>
      <w:r w:rsidRPr="00FF0978">
        <w:t>Fruk</w:t>
      </w:r>
      <w:proofErr w:type="spellEnd"/>
      <w:r w:rsidRPr="00FF0978">
        <w:t xml:space="preserve"> and </w:t>
      </w:r>
      <w:proofErr w:type="spellStart"/>
      <w:r w:rsidRPr="00FF0978">
        <w:t>Huljak</w:t>
      </w:r>
      <w:proofErr w:type="spellEnd"/>
      <w:r w:rsidRPr="00FF0978">
        <w:t xml:space="preserve"> [20] tested the original CAPM model for 17 stocks on</w:t>
      </w:r>
      <w:r w:rsidR="00AC0212">
        <w:t xml:space="preserve"> the</w:t>
      </w:r>
      <w:r w:rsidRPr="00FF0978">
        <w:t xml:space="preserve"> Zagreb Stock Exchange for the period from September 1998 to August 2003. They concluded that despite a positive relationship between returns and beta, investors should be careful when making decisions about investing. </w:t>
      </w:r>
      <w:proofErr w:type="spellStart"/>
      <w:r w:rsidRPr="00FF0978">
        <w:t>Perković</w:t>
      </w:r>
      <w:proofErr w:type="spellEnd"/>
      <w:r w:rsidRPr="00FF0978">
        <w:t xml:space="preserve"> [40] conducted regression estimation of the model for 15 stocks for a </w:t>
      </w:r>
      <w:r w:rsidR="00AC0212">
        <w:t>more recent</w:t>
      </w:r>
      <w:r w:rsidRPr="00FF0978">
        <w:t xml:space="preserve"> period (July 2005 to December 2009) in order to test whether beta can be used as a suitable risk measure. Based on the </w:t>
      </w:r>
      <w:r w:rsidR="00765F39" w:rsidRPr="00FF0978">
        <w:t xml:space="preserve">estimation </w:t>
      </w:r>
      <w:r w:rsidRPr="00FF0978">
        <w:t>results, he concluded that beta is not an adequate risk measure on</w:t>
      </w:r>
      <w:r w:rsidR="00765F39">
        <w:t xml:space="preserve"> the</w:t>
      </w:r>
      <w:r w:rsidRPr="00FF0978">
        <w:t xml:space="preserve"> Croatian capital market. Finally, </w:t>
      </w:r>
      <w:proofErr w:type="spellStart"/>
      <w:r w:rsidRPr="00FF0978">
        <w:t>Džaja</w:t>
      </w:r>
      <w:proofErr w:type="spellEnd"/>
      <w:r w:rsidRPr="00FF0978">
        <w:t xml:space="preserve"> and </w:t>
      </w:r>
      <w:proofErr w:type="spellStart"/>
      <w:r w:rsidRPr="00FF0978">
        <w:t>Aljinović</w:t>
      </w:r>
      <w:proofErr w:type="spellEnd"/>
      <w:r w:rsidRPr="00FF0978">
        <w:t xml:space="preserve"> [13] tested the model for nine Central and South-East European markets, including Croati</w:t>
      </w:r>
      <w:r w:rsidR="00765F39">
        <w:t xml:space="preserve">a. Their sample was the newest, </w:t>
      </w:r>
      <w:r w:rsidRPr="00FF0978">
        <w:t xml:space="preserve">ranging from January 2006 to December 2010. For all of the countries, they found that bigger returns do not mean a bigger beta, thus they confirmed the previous results that beta is not a valid measure of risk on the observed markets. Markov chain and regime switching methodology is also rarely present in the </w:t>
      </w:r>
      <w:r w:rsidR="00765F39">
        <w:t>domestic research. B</w:t>
      </w:r>
      <w:r w:rsidRPr="00FF0978">
        <w:t>ased on monthly data on CROBEX fro</w:t>
      </w:r>
      <w:r w:rsidR="00765F39">
        <w:t xml:space="preserve">m January 2001 to December 2009 </w:t>
      </w:r>
      <w:proofErr w:type="spellStart"/>
      <w:r w:rsidR="00765F39">
        <w:t>Kunovac</w:t>
      </w:r>
      <w:proofErr w:type="spellEnd"/>
      <w:r w:rsidR="00765F39">
        <w:t xml:space="preserve"> [34]</w:t>
      </w:r>
      <w:r w:rsidRPr="00FF0978">
        <w:t xml:space="preserve"> identified two regimes on the Zagreb Stock Exchange. He compared the results from forming a Markowitz model based on three stocks when the regimes are taken under consideration and </w:t>
      </w:r>
      <w:r w:rsidR="00765F39">
        <w:t xml:space="preserve">when they are </w:t>
      </w:r>
      <w:r w:rsidRPr="00FF0978">
        <w:t xml:space="preserve">not. His results have shown that forming portfolios based on switching regimes result </w:t>
      </w:r>
      <w:r w:rsidR="00765F39">
        <w:t>in</w:t>
      </w:r>
      <w:r w:rsidRPr="00FF0978">
        <w:t xml:space="preserve"> better performance compared to others. Some other regime switching works combine Markov switching with GARCH</w:t>
      </w:r>
      <w:r w:rsidRPr="00FF0978">
        <w:rPr>
          <w:rStyle w:val="FootnoteReference"/>
        </w:rPr>
        <w:footnoteReference w:id="3"/>
      </w:r>
      <w:r w:rsidRPr="00FF0978">
        <w:t xml:space="preserve"> methodology (see </w:t>
      </w:r>
      <w:proofErr w:type="spellStart"/>
      <w:r w:rsidRPr="00FF0978">
        <w:t>Arnerić</w:t>
      </w:r>
      <w:proofErr w:type="spellEnd"/>
      <w:r w:rsidRPr="00FF0978">
        <w:t xml:space="preserve"> and </w:t>
      </w:r>
      <w:proofErr w:type="spellStart"/>
      <w:r w:rsidRPr="00FF0978">
        <w:t>Erjavec</w:t>
      </w:r>
      <w:proofErr w:type="spellEnd"/>
      <w:r w:rsidRPr="00FF0978">
        <w:t xml:space="preserve"> [6] or </w:t>
      </w:r>
      <w:proofErr w:type="spellStart"/>
      <w:r w:rsidRPr="00FF0978">
        <w:t>Visković</w:t>
      </w:r>
      <w:proofErr w:type="spellEnd"/>
      <w:r w:rsidRPr="00FF0978">
        <w:t xml:space="preserve">, </w:t>
      </w:r>
      <w:proofErr w:type="spellStart"/>
      <w:r w:rsidRPr="00FF0978">
        <w:t>Arnerić</w:t>
      </w:r>
      <w:proofErr w:type="spellEnd"/>
      <w:r w:rsidRPr="00FF0978">
        <w:t xml:space="preserve"> and </w:t>
      </w:r>
      <w:proofErr w:type="spellStart"/>
      <w:r w:rsidRPr="00FF0978">
        <w:t>Rozga</w:t>
      </w:r>
      <w:proofErr w:type="spellEnd"/>
      <w:r w:rsidRPr="00FF0978">
        <w:t xml:space="preserve"> [49]), while others combine Markov Chain methodology with Markowitz portfolio optimization (</w:t>
      </w:r>
      <w:proofErr w:type="spellStart"/>
      <w:r w:rsidRPr="00FF0978">
        <w:t>Škrinjarić</w:t>
      </w:r>
      <w:proofErr w:type="spellEnd"/>
      <w:r w:rsidRPr="00FF0978">
        <w:t xml:space="preserve"> and </w:t>
      </w:r>
      <w:proofErr w:type="spellStart"/>
      <w:r w:rsidRPr="00FF0978">
        <w:t>Šostarić</w:t>
      </w:r>
      <w:proofErr w:type="spellEnd"/>
      <w:r w:rsidRPr="00FF0978">
        <w:t xml:space="preserve"> [45]), and some apply</w:t>
      </w:r>
      <w:r w:rsidR="00765F39">
        <w:t xml:space="preserve"> a</w:t>
      </w:r>
      <w:r w:rsidRPr="00FF0978">
        <w:t xml:space="preserve"> nonparametric approach to Markov Chain modeling (</w:t>
      </w:r>
      <w:proofErr w:type="spellStart"/>
      <w:r w:rsidRPr="00FF0978">
        <w:t>Škrinjarić</w:t>
      </w:r>
      <w:proofErr w:type="spellEnd"/>
      <w:r w:rsidRPr="00FF0978">
        <w:t xml:space="preserve"> and </w:t>
      </w:r>
      <w:proofErr w:type="spellStart"/>
      <w:r w:rsidRPr="00FF0978">
        <w:t>Kojić</w:t>
      </w:r>
      <w:proofErr w:type="spellEnd"/>
      <w:r w:rsidRPr="00FF0978">
        <w:t xml:space="preserve"> [44]). As can be seen, a general deficiency of regime switching methodology is present in the domestic research.</w:t>
      </w:r>
    </w:p>
    <w:p w:rsidR="002F6562" w:rsidRDefault="002F6562" w:rsidP="002F6562">
      <w:pPr>
        <w:ind w:firstLine="360"/>
        <w:jc w:val="both"/>
        <w:rPr>
          <w:b/>
          <w:sz w:val="28"/>
          <w:szCs w:val="28"/>
          <w:lang w:bidi="en-US"/>
        </w:rPr>
      </w:pPr>
    </w:p>
    <w:p w:rsidR="000D3BE4" w:rsidRPr="002F6562" w:rsidRDefault="000D3BE4" w:rsidP="002F6562">
      <w:pPr>
        <w:pStyle w:val="ListParagraph"/>
        <w:numPr>
          <w:ilvl w:val="0"/>
          <w:numId w:val="22"/>
        </w:numPr>
        <w:jc w:val="both"/>
      </w:pPr>
      <w:r w:rsidRPr="002F6562">
        <w:rPr>
          <w:b/>
          <w:sz w:val="28"/>
          <w:szCs w:val="28"/>
          <w:lang w:bidi="en-US"/>
        </w:rPr>
        <w:t xml:space="preserve">Methodology </w:t>
      </w:r>
    </w:p>
    <w:p w:rsidR="000D3BE4" w:rsidRPr="00FF0978" w:rsidRDefault="000D3BE4" w:rsidP="00285EA2">
      <w:pPr>
        <w:jc w:val="both"/>
      </w:pPr>
    </w:p>
    <w:p w:rsidR="000D3BE4" w:rsidRPr="00FF0978" w:rsidRDefault="000D3BE4" w:rsidP="00285EA2">
      <w:pPr>
        <w:tabs>
          <w:tab w:val="left" w:pos="851"/>
        </w:tabs>
        <w:jc w:val="both"/>
      </w:pPr>
      <w:r w:rsidRPr="00FF0978">
        <w:t xml:space="preserve">W. Sharpe [42] and J. </w:t>
      </w:r>
      <w:proofErr w:type="spellStart"/>
      <w:r w:rsidRPr="00FF0978">
        <w:t>Lintner</w:t>
      </w:r>
      <w:proofErr w:type="spellEnd"/>
      <w:r w:rsidRPr="00FF0978">
        <w:t xml:space="preserve"> [37] independently developed the Capital Asset Pricing Model, which is used to explain the excess return of an asset. It is assumed that all investors seek the efficient portfolio in a </w:t>
      </w:r>
      <w:r w:rsidRPr="00FF0978">
        <w:lastRenderedPageBreak/>
        <w:t xml:space="preserve">Markowitz [38] framework, and combine risky assets in combination with a risk-free asset. An important aspect of the models is a risk measure, named beta, which measures </w:t>
      </w:r>
      <w:r w:rsidR="00930BB9">
        <w:t>sensitivity of an asset</w:t>
      </w:r>
      <w:r w:rsidRPr="00FF0978">
        <w:t xml:space="preserve"> to changes in market's excess return. Formally, beta of</w:t>
      </w:r>
      <w:r w:rsidR="00930BB9">
        <w:t xml:space="preserve"> </w:t>
      </w:r>
      <w:proofErr w:type="gramStart"/>
      <w:r w:rsidR="00930BB9">
        <w:t>the</w:t>
      </w:r>
      <w:r w:rsidRPr="00FF0978">
        <w:t xml:space="preserve"> </w:t>
      </w:r>
      <w:proofErr w:type="spellStart"/>
      <w:r w:rsidRPr="00FF0978">
        <w:rPr>
          <w:i/>
        </w:rPr>
        <w:t>i</w:t>
      </w:r>
      <w:proofErr w:type="gramEnd"/>
      <w:r w:rsidRPr="00FF0978">
        <w:t>-th</w:t>
      </w:r>
      <w:proofErr w:type="spellEnd"/>
      <w:r w:rsidRPr="00FF0978">
        <w:t xml:space="preserve"> stock is calculated as:</w:t>
      </w:r>
    </w:p>
    <w:p w:rsidR="000D3BE4" w:rsidRPr="00FF0978" w:rsidRDefault="00A23E59" w:rsidP="00A23E59">
      <w:pPr>
        <w:tabs>
          <w:tab w:val="center" w:pos="4536"/>
          <w:tab w:val="right" w:pos="8789"/>
        </w:tabs>
        <w:jc w:val="right"/>
      </w:pPr>
      <w:r>
        <w:t xml:space="preserve">  </w:t>
      </w:r>
      <w:r w:rsidR="000D3BE4" w:rsidRPr="00FF0978">
        <w:rPr>
          <w:position w:val="-28"/>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o:ole="">
            <v:imagedata r:id="rId9" o:title=""/>
          </v:shape>
          <o:OLEObject Type="Embed" ProgID="Equation.DSMT4" ShapeID="_x0000_i1025" DrawAspect="Content" ObjectID="_1479797589" r:id="rId10"/>
        </w:object>
      </w:r>
      <w:r w:rsidR="000D3BE4" w:rsidRPr="00FF0978">
        <w:t>,</w:t>
      </w:r>
      <w:r w:rsidR="000D3BE4" w:rsidRPr="00FF0978">
        <w:tab/>
        <w:t>(1)</w:t>
      </w:r>
    </w:p>
    <w:p w:rsidR="000D3BE4" w:rsidRPr="00FF0978" w:rsidRDefault="000D3BE4" w:rsidP="000D3BE4">
      <w:pPr>
        <w:tabs>
          <w:tab w:val="center" w:pos="4536"/>
          <w:tab w:val="right" w:pos="8789"/>
        </w:tabs>
        <w:jc w:val="both"/>
      </w:pPr>
      <w:proofErr w:type="gramStart"/>
      <w:r w:rsidRPr="00FF0978">
        <w:t>where</w:t>
      </w:r>
      <w:proofErr w:type="gramEnd"/>
      <w:r w:rsidRPr="00FF0978">
        <w:t xml:space="preserve"> </w:t>
      </w:r>
      <w:proofErr w:type="spellStart"/>
      <w:r w:rsidRPr="00FF0978">
        <w:rPr>
          <w:i/>
        </w:rPr>
        <w:t>r</w:t>
      </w:r>
      <w:r w:rsidRPr="00FF0978">
        <w:rPr>
          <w:i/>
          <w:vertAlign w:val="subscript"/>
        </w:rPr>
        <w:t>it</w:t>
      </w:r>
      <w:proofErr w:type="spellEnd"/>
      <w:r w:rsidRPr="00FF0978">
        <w:t xml:space="preserve"> represents excess return</w:t>
      </w:r>
      <w:r w:rsidRPr="00FF0978">
        <w:rPr>
          <w:rStyle w:val="FootnoteReference"/>
        </w:rPr>
        <w:footnoteReference w:id="4"/>
      </w:r>
      <w:r w:rsidRPr="00FF0978">
        <w:t xml:space="preserve"> on</w:t>
      </w:r>
      <w:r w:rsidR="00930BB9">
        <w:t xml:space="preserve"> the</w:t>
      </w:r>
      <w:r w:rsidRPr="00FF0978">
        <w:t xml:space="preserve"> </w:t>
      </w:r>
      <w:proofErr w:type="spellStart"/>
      <w:r w:rsidRPr="00FF0978">
        <w:rPr>
          <w:i/>
        </w:rPr>
        <w:t>i</w:t>
      </w:r>
      <w:r w:rsidRPr="00FF0978">
        <w:t>-th</w:t>
      </w:r>
      <w:proofErr w:type="spellEnd"/>
      <w:r w:rsidRPr="00FF0978">
        <w:t xml:space="preserve"> stock (asset) in moment </w:t>
      </w:r>
      <w:r w:rsidRPr="00FF0978">
        <w:rPr>
          <w:i/>
        </w:rPr>
        <w:t>t</w:t>
      </w:r>
      <w:r w:rsidRPr="00FF0978">
        <w:t xml:space="preserve">, </w:t>
      </w:r>
      <w:r w:rsidRPr="00FF0978">
        <w:rPr>
          <w:position w:val="-14"/>
        </w:rPr>
        <w:object w:dxaOrig="1300" w:dyaOrig="400">
          <v:shape id="_x0000_i1026" type="#_x0000_t75" style="width:65.25pt;height:20.25pt" o:ole="">
            <v:imagedata r:id="rId11" o:title=""/>
          </v:shape>
          <o:OLEObject Type="Embed" ProgID="Equation.DSMT4" ShapeID="_x0000_i1026" DrawAspect="Content" ObjectID="_1479797590" r:id="rId12"/>
        </w:object>
      </w:r>
      <w:r w:rsidRPr="00FF0978">
        <w:t xml:space="preserve">, </w:t>
      </w:r>
      <w:proofErr w:type="spellStart"/>
      <w:r w:rsidRPr="00FF0978">
        <w:rPr>
          <w:i/>
        </w:rPr>
        <w:t>r</w:t>
      </w:r>
      <w:r w:rsidRPr="00FF0978">
        <w:rPr>
          <w:i/>
          <w:vertAlign w:val="subscript"/>
        </w:rPr>
        <w:t>mt</w:t>
      </w:r>
      <w:proofErr w:type="spellEnd"/>
      <w:r w:rsidRPr="00FF0978">
        <w:t xml:space="preserve"> excess stock market return in moment </w:t>
      </w:r>
      <w:r w:rsidRPr="00FF0978">
        <w:rPr>
          <w:i/>
        </w:rPr>
        <w:t>t</w:t>
      </w:r>
      <w:r w:rsidRPr="00FF0978">
        <w:t xml:space="preserve"> and </w:t>
      </w:r>
      <w:r w:rsidRPr="00FF0978">
        <w:rPr>
          <w:position w:val="-12"/>
        </w:rPr>
        <w:object w:dxaOrig="340" w:dyaOrig="400">
          <v:shape id="_x0000_i1027" type="#_x0000_t75" style="width:16.5pt;height:20.25pt" o:ole="">
            <v:imagedata r:id="rId13" o:title=""/>
          </v:shape>
          <o:OLEObject Type="Embed" ProgID="Equation.DSMT4" ShapeID="_x0000_i1027" DrawAspect="Content" ObjectID="_1479797591" r:id="rId14"/>
        </w:object>
      </w:r>
      <w:r w:rsidRPr="00FF0978">
        <w:t xml:space="preserve"> is the variance of market return. Jensen [28] introduced a time-series regression test (</w:t>
      </w:r>
      <w:proofErr w:type="spellStart"/>
      <w:r w:rsidRPr="00FF0978">
        <w:t>Fama</w:t>
      </w:r>
      <w:proofErr w:type="spellEnd"/>
      <w:r w:rsidRPr="00FF0978">
        <w:t xml:space="preserve"> and French [19]), in which the excess return should be explained completely by the risk premium, and thus Jensen’s alpha should be zero for each asset. Empirical evaluation of the CAPM model is given by:</w:t>
      </w:r>
    </w:p>
    <w:p w:rsidR="000D3BE4" w:rsidRPr="00FF0978" w:rsidRDefault="000D3BE4" w:rsidP="00A23E59">
      <w:pPr>
        <w:tabs>
          <w:tab w:val="center" w:pos="4536"/>
          <w:tab w:val="right" w:pos="8789"/>
        </w:tabs>
        <w:jc w:val="right"/>
      </w:pPr>
      <w:r w:rsidRPr="00FF0978">
        <w:rPr>
          <w:position w:val="-12"/>
        </w:rPr>
        <w:object w:dxaOrig="2900" w:dyaOrig="360">
          <v:shape id="_x0000_i1028" type="#_x0000_t75" style="width:144.75pt;height:18pt" o:ole="">
            <v:imagedata r:id="rId15" o:title=""/>
          </v:shape>
          <o:OLEObject Type="Embed" ProgID="Equation.DSMT4" ShapeID="_x0000_i1028" DrawAspect="Content" ObjectID="_1479797592" r:id="rId16"/>
        </w:object>
      </w:r>
      <w:r w:rsidR="00A23E59">
        <w:t xml:space="preserve">,     </w:t>
      </w:r>
      <w:r w:rsidR="00A23E59">
        <w:tab/>
        <w:t xml:space="preserve">             </w:t>
      </w:r>
      <w:r w:rsidRPr="00FF0978">
        <w:t>(2)</w:t>
      </w:r>
    </w:p>
    <w:p w:rsidR="000D3BE4" w:rsidRPr="00FF0978" w:rsidRDefault="000D3BE4" w:rsidP="000D3BE4">
      <w:pPr>
        <w:tabs>
          <w:tab w:val="center" w:pos="4536"/>
          <w:tab w:val="right" w:pos="8789"/>
        </w:tabs>
        <w:jc w:val="both"/>
      </w:pPr>
      <w:proofErr w:type="gramStart"/>
      <w:r w:rsidRPr="00FF0978">
        <w:t>where</w:t>
      </w:r>
      <w:proofErr w:type="gramEnd"/>
      <w:r w:rsidRPr="00FF0978">
        <w:t xml:space="preserve"> </w:t>
      </w:r>
      <w:r w:rsidRPr="00FF0978">
        <w:rPr>
          <w:i/>
        </w:rPr>
        <w:t>α</w:t>
      </w:r>
      <w:proofErr w:type="spellStart"/>
      <w:r w:rsidRPr="00FF0978">
        <w:rPr>
          <w:i/>
          <w:vertAlign w:val="subscript"/>
        </w:rPr>
        <w:t>i</w:t>
      </w:r>
      <w:proofErr w:type="spellEnd"/>
      <w:r w:rsidRPr="00FF0978">
        <w:t xml:space="preserve"> represents the </w:t>
      </w:r>
      <w:proofErr w:type="spellStart"/>
      <w:r w:rsidRPr="00FF0978">
        <w:rPr>
          <w:i/>
        </w:rPr>
        <w:t>i</w:t>
      </w:r>
      <w:r w:rsidRPr="00FF0978">
        <w:t>-th</w:t>
      </w:r>
      <w:proofErr w:type="spellEnd"/>
      <w:r w:rsidRPr="00FF0978">
        <w:t xml:space="preserve"> stock’s Jensen’s alpha, which measures the abnormal stock return, </w:t>
      </w:r>
      <w:r w:rsidRPr="00FF0978">
        <w:rPr>
          <w:i/>
        </w:rPr>
        <w:t>β</w:t>
      </w:r>
      <w:proofErr w:type="spellStart"/>
      <w:r w:rsidRPr="00FF0978">
        <w:rPr>
          <w:i/>
          <w:vertAlign w:val="subscript"/>
        </w:rPr>
        <w:t>i</w:t>
      </w:r>
      <w:proofErr w:type="spellEnd"/>
      <w:r w:rsidRPr="00FF0978">
        <w:t xml:space="preserve"> is the mentioned risk measure of the </w:t>
      </w:r>
      <w:proofErr w:type="spellStart"/>
      <w:r w:rsidRPr="00FF0978">
        <w:rPr>
          <w:i/>
        </w:rPr>
        <w:t>i</w:t>
      </w:r>
      <w:r w:rsidRPr="00FF0978">
        <w:t>-th</w:t>
      </w:r>
      <w:proofErr w:type="spellEnd"/>
      <w:r w:rsidRPr="00FF0978">
        <w:t xml:space="preserve"> stock and </w:t>
      </w:r>
      <w:proofErr w:type="spellStart"/>
      <w:r w:rsidRPr="00FF0978">
        <w:rPr>
          <w:i/>
        </w:rPr>
        <w:t>ε</w:t>
      </w:r>
      <w:r w:rsidRPr="00FF0978">
        <w:rPr>
          <w:i/>
          <w:vertAlign w:val="subscript"/>
        </w:rPr>
        <w:t>it</w:t>
      </w:r>
      <w:proofErr w:type="spellEnd"/>
      <w:r w:rsidRPr="00FF0978">
        <w:t xml:space="preserve"> is the error term, which is assumed to be </w:t>
      </w:r>
      <w:proofErr w:type="spellStart"/>
      <w:r w:rsidRPr="00FF0978">
        <w:t>iid</w:t>
      </w:r>
      <w:proofErr w:type="spellEnd"/>
      <w:r w:rsidRPr="00FF0978">
        <w:t xml:space="preserve"> N(0, σ</w:t>
      </w:r>
      <w:r w:rsidRPr="00FF0978">
        <w:rPr>
          <w:vertAlign w:val="superscript"/>
        </w:rPr>
        <w:t>2</w:t>
      </w:r>
      <w:r w:rsidRPr="00FF0978">
        <w:t xml:space="preserve">). </w:t>
      </w:r>
      <w:r w:rsidRPr="00FF0978">
        <w:rPr>
          <w:i/>
        </w:rPr>
        <w:t>I</w:t>
      </w:r>
      <w:r w:rsidRPr="00FF0978">
        <w:t xml:space="preserve"> </w:t>
      </w:r>
      <w:proofErr w:type="gramStart"/>
      <w:r w:rsidRPr="00FF0978">
        <w:t>is</w:t>
      </w:r>
      <w:proofErr w:type="gramEnd"/>
      <w:r w:rsidRPr="00FF0978">
        <w:t xml:space="preserve"> the number of stocks. </w:t>
      </w:r>
      <w:r w:rsidR="00802D6B">
        <w:t>The m</w:t>
      </w:r>
      <w:r w:rsidRPr="00FF0978">
        <w:t xml:space="preserve">odel given in equation (2) will be marked as </w:t>
      </w:r>
      <w:r w:rsidRPr="00FF0978">
        <w:rPr>
          <w:i/>
        </w:rPr>
        <w:t>M</w:t>
      </w:r>
      <w:r w:rsidRPr="00FF0978">
        <w:rPr>
          <w:vertAlign w:val="subscript"/>
        </w:rPr>
        <w:t>1</w:t>
      </w:r>
      <w:r w:rsidRPr="00FF0978">
        <w:t>.</w:t>
      </w:r>
    </w:p>
    <w:p w:rsidR="000D3BE4" w:rsidRPr="00FF0978" w:rsidRDefault="00285EA2" w:rsidP="00285EA2">
      <w:pPr>
        <w:jc w:val="both"/>
      </w:pPr>
      <w:r w:rsidRPr="00FF0978">
        <w:tab/>
      </w:r>
      <w:r w:rsidR="000D3BE4" w:rsidRPr="00FF0978">
        <w:t xml:space="preserve">Since many authors have shown that the CAPM failed to explain stock return and risk (in addition to the mentioned works, see </w:t>
      </w:r>
      <w:proofErr w:type="spellStart"/>
      <w:r w:rsidR="000D3BE4" w:rsidRPr="00FF0978">
        <w:t>Blume</w:t>
      </w:r>
      <w:proofErr w:type="spellEnd"/>
      <w:r w:rsidR="000D3BE4" w:rsidRPr="00FF0978">
        <w:t xml:space="preserve"> [8], Levy [36], </w:t>
      </w:r>
      <w:proofErr w:type="spellStart"/>
      <w:r w:rsidR="000D3BE4" w:rsidRPr="00FF0978">
        <w:t>Lettau</w:t>
      </w:r>
      <w:proofErr w:type="spellEnd"/>
      <w:r w:rsidR="000D3BE4" w:rsidRPr="00FF0978">
        <w:t xml:space="preserve"> and </w:t>
      </w:r>
      <w:proofErr w:type="spellStart"/>
      <w:r w:rsidR="000D3BE4" w:rsidRPr="00FF0978">
        <w:t>Ludivgson</w:t>
      </w:r>
      <w:proofErr w:type="spellEnd"/>
      <w:r w:rsidR="000D3BE4" w:rsidRPr="00FF0978">
        <w:t xml:space="preserve"> [35], </w:t>
      </w:r>
      <w:proofErr w:type="spellStart"/>
      <w:r w:rsidR="000D3BE4" w:rsidRPr="00FF0978">
        <w:t>Ang</w:t>
      </w:r>
      <w:proofErr w:type="spellEnd"/>
      <w:r w:rsidR="000D3BE4" w:rsidRPr="00FF0978">
        <w:t xml:space="preserve"> and Chen [5], Brooks, Faff and Lee [9], etc.), many studies employing the regime switching CAPM have been emerging in the last two decades. The first ones focused on developed markets, and successively emerging markets</w:t>
      </w:r>
      <w:r w:rsidR="00802D6B">
        <w:t xml:space="preserve"> that</w:t>
      </w:r>
      <w:r w:rsidR="000D3BE4" w:rsidRPr="00FF0978">
        <w:t xml:space="preserve"> started </w:t>
      </w:r>
      <w:r w:rsidR="00802D6B">
        <w:t>to be</w:t>
      </w:r>
      <w:r w:rsidR="000D3BE4" w:rsidRPr="00FF0978">
        <w:t xml:space="preserve"> exam</w:t>
      </w:r>
      <w:r w:rsidR="00802D6B">
        <w:t>ined. Here, we follow Turner et</w:t>
      </w:r>
      <w:r w:rsidR="000D3BE4" w:rsidRPr="00FF0978">
        <w:t xml:space="preserve"> al. [48], </w:t>
      </w:r>
      <w:proofErr w:type="spellStart"/>
      <w:r w:rsidR="000D3BE4" w:rsidRPr="00FF0978">
        <w:t>Abdymomunov</w:t>
      </w:r>
      <w:proofErr w:type="spellEnd"/>
      <w:r w:rsidR="000D3BE4" w:rsidRPr="00FF0978">
        <w:t xml:space="preserve"> and Morley [1] and especially Huang [26] </w:t>
      </w:r>
      <w:r w:rsidR="00802D6B">
        <w:t xml:space="preserve">and their </w:t>
      </w:r>
      <w:r w:rsidR="000D3BE4" w:rsidRPr="00FF0978">
        <w:t xml:space="preserve">approach </w:t>
      </w:r>
      <w:r w:rsidR="00802D6B">
        <w:t>to</w:t>
      </w:r>
      <w:r w:rsidR="000D3BE4" w:rsidRPr="00FF0978">
        <w:t xml:space="preserve"> modeling</w:t>
      </w:r>
      <w:r w:rsidR="00802D6B">
        <w:t xml:space="preserve"> the</w:t>
      </w:r>
      <w:r w:rsidR="000D3BE4" w:rsidRPr="00FF0978">
        <w:t xml:space="preserve"> Markov regime-switching CAPM. It is assumed that the model is specified for two different states or regimes. One state is a low, and </w:t>
      </w:r>
      <w:r w:rsidR="00802D6B">
        <w:t xml:space="preserve">the </w:t>
      </w:r>
      <w:r w:rsidR="000D3BE4" w:rsidRPr="00FF0978">
        <w:t>other is a high volatility regime, which corresponds to bull and bear markets. A Markov process is a stochastic process {</w:t>
      </w:r>
      <w:proofErr w:type="spellStart"/>
      <w:r w:rsidR="000D3BE4" w:rsidRPr="00FF0978">
        <w:rPr>
          <w:i/>
        </w:rPr>
        <w:t>X</w:t>
      </w:r>
      <w:r w:rsidR="000D3BE4" w:rsidRPr="00FF0978">
        <w:rPr>
          <w:i/>
          <w:vertAlign w:val="subscript"/>
        </w:rPr>
        <w:t>t</w:t>
      </w:r>
      <w:proofErr w:type="spellEnd"/>
      <w:r w:rsidR="000D3BE4" w:rsidRPr="00FF0978">
        <w:t xml:space="preserve">} if it has the property that, given the value of </w:t>
      </w:r>
      <w:proofErr w:type="spellStart"/>
      <w:r w:rsidR="000D3BE4" w:rsidRPr="00FF0978">
        <w:rPr>
          <w:i/>
        </w:rPr>
        <w:t>X</w:t>
      </w:r>
      <w:r w:rsidR="000D3BE4" w:rsidRPr="00FF0978">
        <w:rPr>
          <w:i/>
          <w:vertAlign w:val="subscript"/>
        </w:rPr>
        <w:t>t</w:t>
      </w:r>
      <w:proofErr w:type="spellEnd"/>
      <w:r w:rsidR="000D3BE4" w:rsidRPr="00FF0978">
        <w:t xml:space="preserve">, the values of </w:t>
      </w:r>
      <w:proofErr w:type="spellStart"/>
      <w:r w:rsidR="000D3BE4" w:rsidRPr="00FF0978">
        <w:rPr>
          <w:i/>
        </w:rPr>
        <w:t>X</w:t>
      </w:r>
      <w:r w:rsidR="000D3BE4" w:rsidRPr="00FF0978">
        <w:rPr>
          <w:i/>
          <w:vertAlign w:val="subscript"/>
        </w:rPr>
        <w:t>s</w:t>
      </w:r>
      <w:proofErr w:type="spellEnd"/>
      <w:proofErr w:type="gramStart"/>
      <w:r w:rsidR="000D3BE4" w:rsidRPr="00FF0978">
        <w:t xml:space="preserve">, </w:t>
      </w:r>
      <w:proofErr w:type="gramEnd"/>
      <w:r w:rsidR="000D3BE4" w:rsidRPr="00FF0978">
        <w:rPr>
          <w:position w:val="-6"/>
        </w:rPr>
        <w:object w:dxaOrig="499" w:dyaOrig="240">
          <v:shape id="_x0000_i1029" type="#_x0000_t75" style="width:24pt;height:12pt" o:ole="">
            <v:imagedata r:id="rId17" o:title=""/>
          </v:shape>
          <o:OLEObject Type="Embed" ProgID="Equation.DSMT4" ShapeID="_x0000_i1029" DrawAspect="Content" ObjectID="_1479797593" r:id="rId18"/>
        </w:object>
      </w:r>
      <w:r w:rsidR="00802D6B">
        <w:t>,</w:t>
      </w:r>
      <w:r w:rsidR="000D3BE4" w:rsidRPr="00FF0978">
        <w:t xml:space="preserve"> do not depend on the values </w:t>
      </w:r>
      <w:proofErr w:type="spellStart"/>
      <w:r w:rsidR="000D3BE4" w:rsidRPr="00FF0978">
        <w:rPr>
          <w:i/>
        </w:rPr>
        <w:t>X</w:t>
      </w:r>
      <w:r w:rsidR="000D3BE4" w:rsidRPr="00FF0978">
        <w:rPr>
          <w:i/>
          <w:vertAlign w:val="subscript"/>
        </w:rPr>
        <w:t>r</w:t>
      </w:r>
      <w:proofErr w:type="spellEnd"/>
      <w:r w:rsidR="000D3BE4" w:rsidRPr="00FF0978">
        <w:t xml:space="preserve">, </w:t>
      </w:r>
      <w:r w:rsidR="000D3BE4" w:rsidRPr="00FF0978">
        <w:rPr>
          <w:position w:val="-6"/>
        </w:rPr>
        <w:object w:dxaOrig="499" w:dyaOrig="240">
          <v:shape id="_x0000_i1030" type="#_x0000_t75" style="width:24pt;height:12pt" o:ole="">
            <v:imagedata r:id="rId19" o:title=""/>
          </v:shape>
          <o:OLEObject Type="Embed" ProgID="Equation.DSMT4" ShapeID="_x0000_i1030" DrawAspect="Content" ObjectID="_1479797594" r:id="rId20"/>
        </w:object>
      </w:r>
      <w:r w:rsidR="000D3BE4" w:rsidRPr="00FF0978">
        <w:t xml:space="preserve">: </w:t>
      </w:r>
      <w:r w:rsidR="000D3BE4" w:rsidRPr="00FF0978">
        <w:rPr>
          <w:position w:val="-14"/>
        </w:rPr>
        <w:object w:dxaOrig="3540" w:dyaOrig="400">
          <v:shape id="_x0000_i1031" type="#_x0000_t75" style="width:177pt;height:20.25pt" o:ole="">
            <v:imagedata r:id="rId21" o:title=""/>
          </v:shape>
          <o:OLEObject Type="Embed" ProgID="Equation.DSMT4" ShapeID="_x0000_i1031" DrawAspect="Content" ObjectID="_1479797595" r:id="rId22"/>
        </w:object>
      </w:r>
      <w:r w:rsidR="000D3BE4" w:rsidRPr="00FF0978">
        <w:t xml:space="preserve"> (</w:t>
      </w:r>
      <w:proofErr w:type="spellStart"/>
      <w:r w:rsidR="000D3BE4" w:rsidRPr="00FF0978">
        <w:t>Tsay</w:t>
      </w:r>
      <w:proofErr w:type="spellEnd"/>
      <w:r w:rsidR="000D3BE4" w:rsidRPr="00FF0978">
        <w:t xml:space="preserve"> [47]). Two different Markov regime switching models will be examined. The first one assumes that only beta varies over time. Thus, equation (2) becomes:</w:t>
      </w:r>
    </w:p>
    <w:p w:rsidR="000D3BE4" w:rsidRPr="00FF0978" w:rsidRDefault="000D3BE4" w:rsidP="00A23E59">
      <w:pPr>
        <w:tabs>
          <w:tab w:val="center" w:pos="4536"/>
          <w:tab w:val="right" w:pos="8789"/>
        </w:tabs>
        <w:jc w:val="right"/>
      </w:pPr>
      <w:r w:rsidRPr="00FF0978">
        <w:rPr>
          <w:position w:val="-14"/>
        </w:rPr>
        <w:object w:dxaOrig="3080" w:dyaOrig="380">
          <v:shape id="_x0000_i1032" type="#_x0000_t75" style="width:153.75pt;height:18.75pt" o:ole="">
            <v:imagedata r:id="rId23" o:title=""/>
          </v:shape>
          <o:OLEObject Type="Embed" ProgID="Equation.DSMT4" ShapeID="_x0000_i1032" DrawAspect="Content" ObjectID="_1479797596" r:id="rId24"/>
        </w:object>
      </w:r>
      <w:r w:rsidRPr="00FF0978">
        <w:t>,</w:t>
      </w:r>
      <w:r w:rsidRPr="00FF0978">
        <w:tab/>
      </w:r>
      <w:r w:rsidR="008677CE">
        <w:t xml:space="preserve"> </w:t>
      </w:r>
      <w:r w:rsidR="00A23E59">
        <w:t xml:space="preserve">           </w:t>
      </w:r>
      <w:r w:rsidRPr="00FF0978">
        <w:t>(3)</w:t>
      </w:r>
    </w:p>
    <w:p w:rsidR="00A23E59" w:rsidRDefault="000D3BE4" w:rsidP="00A23E59">
      <w:pPr>
        <w:tabs>
          <w:tab w:val="center" w:pos="4536"/>
          <w:tab w:val="right" w:pos="8789"/>
        </w:tabs>
        <w:jc w:val="both"/>
      </w:pPr>
      <w:proofErr w:type="gramStart"/>
      <w:r w:rsidRPr="00FF0978">
        <w:t>where</w:t>
      </w:r>
      <w:proofErr w:type="gramEnd"/>
      <w:r w:rsidRPr="00FF0978">
        <w:t xml:space="preserve"> we can see that beta is charac</w:t>
      </w:r>
      <w:r w:rsidR="00802D6B">
        <w:t>terized with switching behavior</w:t>
      </w:r>
      <w:r w:rsidRPr="00FF0978">
        <w:t xml:space="preserve"> as well as the error term. Henceforward, the model in (3) will be marked as </w:t>
      </w:r>
      <w:r w:rsidRPr="00FF0978">
        <w:rPr>
          <w:i/>
        </w:rPr>
        <w:t>M</w:t>
      </w:r>
      <w:r w:rsidRPr="00FF0978">
        <w:rPr>
          <w:vertAlign w:val="subscript"/>
        </w:rPr>
        <w:t>2</w:t>
      </w:r>
      <w:r w:rsidRPr="00FF0978">
        <w:t xml:space="preserve">. </w:t>
      </w:r>
      <w:r w:rsidRPr="00FF0978">
        <w:rPr>
          <w:i/>
        </w:rPr>
        <w:t>S</w:t>
      </w:r>
      <w:r w:rsidRPr="00FF0978">
        <w:rPr>
          <w:i/>
          <w:vertAlign w:val="subscript"/>
        </w:rPr>
        <w:t>t</w:t>
      </w:r>
      <w:r w:rsidRPr="00FF0978">
        <w:t xml:space="preserve"> is the unobservable state variable, which evolves according to the first order Markov switching process defined as:</w:t>
      </w:r>
    </w:p>
    <w:p w:rsidR="00A23E59" w:rsidRDefault="000D3BE4" w:rsidP="00A23E59">
      <w:pPr>
        <w:tabs>
          <w:tab w:val="center" w:pos="4536"/>
          <w:tab w:val="right" w:pos="8789"/>
        </w:tabs>
        <w:jc w:val="center"/>
      </w:pPr>
      <w:r w:rsidRPr="00FF0978">
        <w:rPr>
          <w:position w:val="-14"/>
        </w:rPr>
        <w:object w:dxaOrig="2659" w:dyaOrig="400">
          <v:shape id="_x0000_i1033" type="#_x0000_t75" style="width:132.75pt;height:20.25pt" o:ole="">
            <v:imagedata r:id="rId25" o:title=""/>
          </v:shape>
          <o:OLEObject Type="Embed" ProgID="Equation.DSMT4" ShapeID="_x0000_i1033" DrawAspect="Content" ObjectID="_1479797597" r:id="rId26"/>
        </w:object>
      </w:r>
      <w:r w:rsidR="00A23E59">
        <w:t xml:space="preserve">, </w:t>
      </w:r>
      <w:r w:rsidRPr="00FF0978">
        <w:rPr>
          <w:position w:val="-14"/>
        </w:rPr>
        <w:object w:dxaOrig="3019" w:dyaOrig="400">
          <v:shape id="_x0000_i1034" type="#_x0000_t75" style="width:150.75pt;height:20.25pt" o:ole="">
            <v:imagedata r:id="rId27" o:title=""/>
          </v:shape>
          <o:OLEObject Type="Embed" ProgID="Equation.DSMT4" ShapeID="_x0000_i1034" DrawAspect="Content" ObjectID="_1479797598" r:id="rId28"/>
        </w:object>
      </w:r>
      <w:r w:rsidRPr="00FF0978">
        <w:t>,</w:t>
      </w:r>
    </w:p>
    <w:p w:rsidR="00A23E59" w:rsidRDefault="000D3BE4" w:rsidP="00A23E59">
      <w:pPr>
        <w:tabs>
          <w:tab w:val="center" w:pos="4536"/>
          <w:tab w:val="right" w:pos="8789"/>
        </w:tabs>
        <w:jc w:val="center"/>
      </w:pPr>
      <w:r w:rsidRPr="00FF0978">
        <w:rPr>
          <w:position w:val="-14"/>
        </w:rPr>
        <w:object w:dxaOrig="2760" w:dyaOrig="400">
          <v:shape id="_x0000_i1035" type="#_x0000_t75" style="width:138.75pt;height:20.25pt" o:ole="">
            <v:imagedata r:id="rId29" o:title=""/>
          </v:shape>
          <o:OLEObject Type="Embed" ProgID="Equation.DSMT4" ShapeID="_x0000_i1035" DrawAspect="Content" ObjectID="_1479797599" r:id="rId30"/>
        </w:object>
      </w:r>
      <w:r w:rsidRPr="00FF0978">
        <w:t xml:space="preserve">, </w:t>
      </w:r>
      <w:r w:rsidRPr="00FF0978">
        <w:rPr>
          <w:position w:val="-14"/>
        </w:rPr>
        <w:object w:dxaOrig="2980" w:dyaOrig="400">
          <v:shape id="_x0000_i1036" type="#_x0000_t75" style="width:149.25pt;height:20.25pt" o:ole="">
            <v:imagedata r:id="rId31" o:title=""/>
          </v:shape>
          <o:OLEObject Type="Embed" ProgID="Equation.DSMT4" ShapeID="_x0000_i1036" DrawAspect="Content" ObjectID="_1479797600" r:id="rId32"/>
        </w:object>
      </w:r>
      <w:r w:rsidRPr="00FF0978">
        <w:t>,</w:t>
      </w:r>
    </w:p>
    <w:p w:rsidR="000D3BE4" w:rsidRPr="00FF0978" w:rsidRDefault="000D3BE4" w:rsidP="00A23E59">
      <w:pPr>
        <w:tabs>
          <w:tab w:val="center" w:pos="4536"/>
          <w:tab w:val="right" w:pos="8789"/>
        </w:tabs>
        <w:jc w:val="both"/>
      </w:pPr>
      <w:proofErr w:type="gramStart"/>
      <w:r w:rsidRPr="00FF0978">
        <w:t>where</w:t>
      </w:r>
      <w:proofErr w:type="gramEnd"/>
      <w:r w:rsidRPr="00FF0978">
        <w:t xml:space="preserve"> </w:t>
      </w:r>
      <w:r w:rsidRPr="00FF0978">
        <w:rPr>
          <w:position w:val="-14"/>
        </w:rPr>
        <w:object w:dxaOrig="1780" w:dyaOrig="400">
          <v:shape id="_x0000_i1037" type="#_x0000_t75" style="width:88.5pt;height:20.25pt" o:ole="">
            <v:imagedata r:id="rId33" o:title=""/>
          </v:shape>
          <o:OLEObject Type="Embed" ProgID="Equation.DSMT4" ShapeID="_x0000_i1037" DrawAspect="Content" ObjectID="_1479797601" r:id="rId34"/>
        </w:object>
      </w:r>
      <w:r w:rsidRPr="00FF0978">
        <w:t xml:space="preserve"> gives the probability that state </w:t>
      </w:r>
      <w:proofErr w:type="spellStart"/>
      <w:r w:rsidRPr="00FF0978">
        <w:rPr>
          <w:i/>
        </w:rPr>
        <w:t>i</w:t>
      </w:r>
      <w:proofErr w:type="spellEnd"/>
      <w:r w:rsidRPr="00FF0978">
        <w:t xml:space="preserve"> </w:t>
      </w:r>
      <w:r w:rsidR="00143DEB">
        <w:t xml:space="preserve">is </w:t>
      </w:r>
      <w:r w:rsidRPr="00FF0978">
        <w:t xml:space="preserve">followed by state </w:t>
      </w:r>
      <w:r w:rsidRPr="00FF0978">
        <w:rPr>
          <w:i/>
        </w:rPr>
        <w:t>j</w:t>
      </w:r>
      <w:r w:rsidRPr="00FF0978">
        <w:t xml:space="preserve"> (Huang [26:575]). </w:t>
      </w:r>
      <w:proofErr w:type="gramStart"/>
      <w:r w:rsidRPr="00FF0978">
        <w:rPr>
          <w:i/>
        </w:rPr>
        <w:t>p</w:t>
      </w:r>
      <w:proofErr w:type="gramEnd"/>
      <w:r w:rsidRPr="00FF0978">
        <w:rPr>
          <w:i/>
        </w:rPr>
        <w:t xml:space="preserve"> </w:t>
      </w:r>
      <w:r w:rsidRPr="00FF0978">
        <w:t xml:space="preserve">and </w:t>
      </w:r>
      <w:r w:rsidRPr="00FF0978">
        <w:rPr>
          <w:i/>
        </w:rPr>
        <w:t xml:space="preserve">q </w:t>
      </w:r>
      <w:r w:rsidRPr="00FF0978">
        <w:t xml:space="preserve">are fixed transition probabilities of being in </w:t>
      </w:r>
      <w:r w:rsidR="00143DEB">
        <w:t>a</w:t>
      </w:r>
      <w:r w:rsidR="00802D6B">
        <w:t xml:space="preserve"> </w:t>
      </w:r>
      <w:r w:rsidRPr="00FF0978">
        <w:t>low or</w:t>
      </w:r>
      <w:r w:rsidR="00802D6B">
        <w:t xml:space="preserve"> a</w:t>
      </w:r>
      <w:r w:rsidRPr="00FF0978">
        <w:t xml:space="preserve"> high volatility regime. In a matrix notation, we can define the probability transition matrix as:</w:t>
      </w:r>
    </w:p>
    <w:p w:rsidR="000D3BE4" w:rsidRPr="00FF0978" w:rsidRDefault="00A23E59" w:rsidP="00A23E59">
      <w:pPr>
        <w:tabs>
          <w:tab w:val="center" w:pos="4536"/>
          <w:tab w:val="right" w:pos="8789"/>
        </w:tabs>
        <w:jc w:val="right"/>
      </w:pPr>
      <w:r>
        <w:t xml:space="preserve">  </w:t>
      </w:r>
      <w:r w:rsidR="008677CE">
        <w:t xml:space="preserve">  </w:t>
      </w:r>
      <w:r w:rsidR="000D3BE4" w:rsidRPr="00FF0978">
        <w:rPr>
          <w:position w:val="-28"/>
        </w:rPr>
        <w:object w:dxaOrig="1460" w:dyaOrig="680">
          <v:shape id="_x0000_i1038" type="#_x0000_t75" style="width:72.75pt;height:33.75pt" o:ole="">
            <v:imagedata r:id="rId35" o:title=""/>
          </v:shape>
          <o:OLEObject Type="Embed" ProgID="Equation.DSMT4" ShapeID="_x0000_i1038" DrawAspect="Content" ObjectID="_1479797602" r:id="rId36"/>
        </w:object>
      </w:r>
      <w:r w:rsidR="000D3BE4" w:rsidRPr="00FF0978">
        <w:t>,</w:t>
      </w:r>
      <w:r w:rsidR="008677CE">
        <w:t xml:space="preserve">  </w:t>
      </w:r>
      <w:r w:rsidR="000D3BE4" w:rsidRPr="00FF0978">
        <w:tab/>
        <w:t>(4)</w:t>
      </w:r>
    </w:p>
    <w:p w:rsidR="000D3BE4" w:rsidRPr="00FF0978" w:rsidRDefault="000D3BE4" w:rsidP="000D3BE4">
      <w:pPr>
        <w:tabs>
          <w:tab w:val="center" w:pos="4536"/>
          <w:tab w:val="right" w:pos="8789"/>
        </w:tabs>
        <w:jc w:val="both"/>
      </w:pPr>
      <w:proofErr w:type="gramStart"/>
      <w:r w:rsidRPr="00FF0978">
        <w:t>and</w:t>
      </w:r>
      <w:proofErr w:type="gramEnd"/>
      <w:r w:rsidRPr="00FF0978">
        <w:t xml:space="preserve"> since we are dealing with probabilities, it holds that </w:t>
      </w:r>
      <w:r w:rsidRPr="00FF0978">
        <w:rPr>
          <w:position w:val="-14"/>
        </w:rPr>
        <w:object w:dxaOrig="1680" w:dyaOrig="380">
          <v:shape id="_x0000_i1039" type="#_x0000_t75" style="width:84pt;height:18.75pt" o:ole="">
            <v:imagedata r:id="rId37" o:title=""/>
          </v:shape>
          <o:OLEObject Type="Embed" ProgID="Equation.DSMT4" ShapeID="_x0000_i1039" DrawAspect="Content" ObjectID="_1479797603" r:id="rId38"/>
        </w:object>
      </w:r>
      <w:r w:rsidRPr="00FF0978">
        <w:t xml:space="preserve"> and </w:t>
      </w:r>
      <w:r w:rsidRPr="00FF0978">
        <w:rPr>
          <w:position w:val="-34"/>
        </w:rPr>
        <w:object w:dxaOrig="1340" w:dyaOrig="760">
          <v:shape id="_x0000_i1040" type="#_x0000_t75" style="width:66.75pt;height:38.25pt" o:ole="">
            <v:imagedata r:id="rId39" o:title=""/>
          </v:shape>
          <o:OLEObject Type="Embed" ProgID="Equation.DSMT4" ShapeID="_x0000_i1040" DrawAspect="Content" ObjectID="_1479797604" r:id="rId40"/>
        </w:object>
      </w:r>
      <w:r w:rsidRPr="00FF0978">
        <w:t xml:space="preserve"> Thus, it follows that:</w:t>
      </w:r>
    </w:p>
    <w:p w:rsidR="000D3BE4" w:rsidRPr="00FF0978" w:rsidRDefault="000D3BE4" w:rsidP="008677CE">
      <w:pPr>
        <w:tabs>
          <w:tab w:val="center" w:pos="4536"/>
          <w:tab w:val="right" w:pos="8789"/>
        </w:tabs>
        <w:jc w:val="right"/>
      </w:pPr>
      <w:r w:rsidRPr="00FF0978">
        <w:rPr>
          <w:position w:val="-28"/>
        </w:rPr>
        <w:object w:dxaOrig="3800" w:dyaOrig="660">
          <v:shape id="_x0000_i1041" type="#_x0000_t75" style="width:189.75pt;height:33pt" o:ole="">
            <v:imagedata r:id="rId41" o:title=""/>
          </v:shape>
          <o:OLEObject Type="Embed" ProgID="Equation.DSMT4" ShapeID="_x0000_i1041" DrawAspect="Content" ObjectID="_1479797605" r:id="rId42"/>
        </w:object>
      </w:r>
      <w:r w:rsidRPr="00FF0978">
        <w:tab/>
      </w:r>
      <w:r w:rsidR="00A23E59">
        <w:t xml:space="preserve">               </w:t>
      </w:r>
      <w:r w:rsidR="008677CE">
        <w:t xml:space="preserve"> </w:t>
      </w:r>
      <w:r w:rsidR="00A23E59">
        <w:t xml:space="preserve">        </w:t>
      </w:r>
      <w:r w:rsidRPr="00FF0978">
        <w:t>(5)</w:t>
      </w:r>
    </w:p>
    <w:p w:rsidR="000D3BE4" w:rsidRPr="00FF0978" w:rsidRDefault="000D3BE4" w:rsidP="000D3BE4">
      <w:pPr>
        <w:tabs>
          <w:tab w:val="center" w:pos="4536"/>
          <w:tab w:val="right" w:pos="8789"/>
        </w:tabs>
        <w:jc w:val="both"/>
      </w:pPr>
      <w:r w:rsidRPr="00FF0978">
        <w:t xml:space="preserve">The error term is characterized as </w:t>
      </w:r>
      <w:proofErr w:type="spellStart"/>
      <w:r w:rsidRPr="00FF0978">
        <w:t>iid</w:t>
      </w:r>
      <w:proofErr w:type="spellEnd"/>
      <w:r w:rsidRPr="00FF0978">
        <w:t xml:space="preserve"> </w:t>
      </w:r>
      <w:proofErr w:type="gramStart"/>
      <w:r w:rsidRPr="00FF0978">
        <w:t>N(</w:t>
      </w:r>
      <w:proofErr w:type="gramEnd"/>
      <w:r w:rsidRPr="00FF0978">
        <w:t>0,</w:t>
      </w:r>
      <w:r w:rsidRPr="00FF0978">
        <w:rPr>
          <w:position w:val="-16"/>
        </w:rPr>
        <w:object w:dxaOrig="380" w:dyaOrig="440">
          <v:shape id="_x0000_i1042" type="#_x0000_t75" style="width:18.75pt;height:21.75pt" o:ole="">
            <v:imagedata r:id="rId43" o:title=""/>
          </v:shape>
          <o:OLEObject Type="Embed" ProgID="Equation.DSMT4" ShapeID="_x0000_i1042" DrawAspect="Content" ObjectID="_1479797606" r:id="rId44"/>
        </w:object>
      </w:r>
      <w:r w:rsidRPr="00FF0978">
        <w:t>)</w:t>
      </w:r>
      <w:r w:rsidRPr="00FF0978">
        <w:rPr>
          <w:rStyle w:val="FootnoteReference"/>
        </w:rPr>
        <w:footnoteReference w:id="5"/>
      </w:r>
      <w:r w:rsidRPr="00FF0978">
        <w:t>. The second regime switching model, which will be examined, is the following:</w:t>
      </w:r>
    </w:p>
    <w:p w:rsidR="000D3BE4" w:rsidRPr="00FF0978" w:rsidRDefault="000D3BE4" w:rsidP="00A23E59">
      <w:pPr>
        <w:tabs>
          <w:tab w:val="center" w:pos="4536"/>
          <w:tab w:val="right" w:pos="8789"/>
        </w:tabs>
        <w:jc w:val="right"/>
      </w:pPr>
      <w:r w:rsidRPr="00FF0978">
        <w:rPr>
          <w:position w:val="-14"/>
        </w:rPr>
        <w:object w:dxaOrig="3260" w:dyaOrig="380">
          <v:shape id="_x0000_i1043" type="#_x0000_t75" style="width:162pt;height:18.75pt" o:ole="">
            <v:imagedata r:id="rId45" o:title=""/>
          </v:shape>
          <o:OLEObject Type="Embed" ProgID="Equation.DSMT4" ShapeID="_x0000_i1043" DrawAspect="Content" ObjectID="_1479797607" r:id="rId46"/>
        </w:object>
      </w:r>
      <w:r w:rsidRPr="00FF0978">
        <w:t>,</w:t>
      </w:r>
      <w:r w:rsidRPr="00FF0978">
        <w:tab/>
      </w:r>
      <w:r w:rsidR="00A23E59">
        <w:t xml:space="preserve">            </w:t>
      </w:r>
      <w:r w:rsidRPr="00FF0978">
        <w:t>(6)</w:t>
      </w:r>
    </w:p>
    <w:p w:rsidR="000D3BE4" w:rsidRPr="00FF0978" w:rsidRDefault="000D3BE4" w:rsidP="000D3BE4">
      <w:pPr>
        <w:tabs>
          <w:tab w:val="center" w:pos="4536"/>
          <w:tab w:val="right" w:pos="8789"/>
        </w:tabs>
        <w:jc w:val="both"/>
      </w:pPr>
      <w:proofErr w:type="gramStart"/>
      <w:r w:rsidRPr="00FF0978">
        <w:t>where</w:t>
      </w:r>
      <w:proofErr w:type="gramEnd"/>
      <w:r w:rsidRPr="00FF0978">
        <w:t xml:space="preserve"> both beta and Jensen’s alpha vary due to the state variable </w:t>
      </w:r>
      <w:r w:rsidRPr="00FF0978">
        <w:rPr>
          <w:i/>
        </w:rPr>
        <w:t>S</w:t>
      </w:r>
      <w:r w:rsidRPr="00FF0978">
        <w:rPr>
          <w:i/>
          <w:vertAlign w:val="subscript"/>
        </w:rPr>
        <w:t>t</w:t>
      </w:r>
      <w:r w:rsidRPr="00FF0978">
        <w:t>, so an addition to (5) is made as:</w:t>
      </w:r>
    </w:p>
    <w:p w:rsidR="000D3BE4" w:rsidRPr="00FF0978" w:rsidRDefault="00A23E59" w:rsidP="008677CE">
      <w:pPr>
        <w:tabs>
          <w:tab w:val="center" w:pos="4536"/>
          <w:tab w:val="right" w:pos="8789"/>
        </w:tabs>
        <w:jc w:val="right"/>
      </w:pPr>
      <w:r>
        <w:t xml:space="preserve">   </w:t>
      </w:r>
      <w:r w:rsidR="000D3BE4" w:rsidRPr="00FF0978">
        <w:rPr>
          <w:position w:val="-28"/>
        </w:rPr>
        <w:object w:dxaOrig="1860" w:dyaOrig="660">
          <v:shape id="_x0000_i1044" type="#_x0000_t75" style="width:92.25pt;height:33pt" o:ole="">
            <v:imagedata r:id="rId47" o:title=""/>
          </v:shape>
          <o:OLEObject Type="Embed" ProgID="Equation.DSMT4" ShapeID="_x0000_i1044" DrawAspect="Content" ObjectID="_1479797608" r:id="rId48"/>
        </w:object>
      </w:r>
      <w:r w:rsidR="008677CE">
        <w:t xml:space="preserve">   </w:t>
      </w:r>
      <w:r w:rsidR="000D3BE4" w:rsidRPr="00FF0978">
        <w:tab/>
      </w:r>
      <w:r w:rsidR="008677CE">
        <w:t xml:space="preserve">   </w:t>
      </w:r>
      <w:r w:rsidR="000D3BE4" w:rsidRPr="00FF0978">
        <w:t>(7)</w:t>
      </w:r>
    </w:p>
    <w:p w:rsidR="000D3BE4" w:rsidRPr="00FF0978" w:rsidRDefault="000D3BE4" w:rsidP="000D3BE4">
      <w:pPr>
        <w:tabs>
          <w:tab w:val="center" w:pos="4536"/>
          <w:tab w:val="right" w:pos="8789"/>
        </w:tabs>
        <w:jc w:val="both"/>
      </w:pPr>
      <w:r w:rsidRPr="00FF0978">
        <w:t xml:space="preserve">Expected duration of the </w:t>
      </w:r>
      <w:r w:rsidRPr="00FF0978">
        <w:rPr>
          <w:i/>
        </w:rPr>
        <w:t>j</w:t>
      </w:r>
      <w:r w:rsidRPr="00FF0978">
        <w:t>-</w:t>
      </w:r>
      <w:proofErr w:type="spellStart"/>
      <w:r w:rsidRPr="00FF0978">
        <w:t>th</w:t>
      </w:r>
      <w:proofErr w:type="spellEnd"/>
      <w:r w:rsidRPr="00FF0978">
        <w:t xml:space="preserve"> state can be calculated as (Hamilton [24]): </w:t>
      </w:r>
      <w:r w:rsidRPr="00FF0978">
        <w:rPr>
          <w:position w:val="-24"/>
        </w:rPr>
        <w:object w:dxaOrig="940" w:dyaOrig="560">
          <v:shape id="_x0000_i1045" type="#_x0000_t75" style="width:48pt;height:27.75pt" o:ole="">
            <v:imagedata r:id="rId49" o:title=""/>
          </v:shape>
          <o:OLEObject Type="Embed" ProgID="Equation.DSMT4" ShapeID="_x0000_i1045" DrawAspect="Content" ObjectID="_1479797609" r:id="rId50"/>
        </w:object>
      </w:r>
      <w:r w:rsidRPr="00FF0978">
        <w:t xml:space="preserve">  </w:t>
      </w:r>
      <w:proofErr w:type="gramStart"/>
      <w:r w:rsidRPr="00FF0978">
        <w:t xml:space="preserve">and  </w:t>
      </w:r>
      <w:proofErr w:type="gramEnd"/>
      <w:r w:rsidRPr="00FF0978">
        <w:rPr>
          <w:position w:val="-24"/>
        </w:rPr>
        <w:object w:dxaOrig="940" w:dyaOrig="560">
          <v:shape id="_x0000_i1046" type="#_x0000_t75" style="width:48pt;height:27.75pt" o:ole="">
            <v:imagedata r:id="rId51" o:title=""/>
          </v:shape>
          <o:OLEObject Type="Embed" ProgID="Equation.DSMT4" ShapeID="_x0000_i1046" DrawAspect="Content" ObjectID="_1479797610" r:id="rId52"/>
        </w:object>
      </w:r>
      <w:r w:rsidRPr="00FF0978">
        <w:t>. Details on maximum likelihood estimation of parameters in switching regime model</w:t>
      </w:r>
      <w:r w:rsidRPr="00FF0978">
        <w:rPr>
          <w:position w:val="-12"/>
        </w:rPr>
        <w:object w:dxaOrig="3440" w:dyaOrig="400">
          <v:shape id="_x0000_i1047" type="#_x0000_t75" style="width:171.75pt;height:20.25pt" o:ole="">
            <v:imagedata r:id="rId53" o:title=""/>
          </v:shape>
          <o:OLEObject Type="Embed" ProgID="Equation.DSMT4" ShapeID="_x0000_i1047" DrawAspect="Content" ObjectID="_1479797611" r:id="rId54"/>
        </w:object>
      </w:r>
      <w:r w:rsidR="00A60347">
        <w:t xml:space="preserve"> </w:t>
      </w:r>
      <w:r w:rsidRPr="00FF0978">
        <w:t xml:space="preserve">by using numerical optimization or </w:t>
      </w:r>
      <w:r w:rsidR="00143DEB">
        <w:t xml:space="preserve">the </w:t>
      </w:r>
      <w:r w:rsidRPr="00FF0978">
        <w:t xml:space="preserve">EM algorithm and on filtered and smoothed probabilities are given in Hamilton [23, 24] Wang [50], </w:t>
      </w:r>
      <w:proofErr w:type="spellStart"/>
      <w:r w:rsidRPr="00FF0978">
        <w:t>Kuan</w:t>
      </w:r>
      <w:proofErr w:type="spellEnd"/>
      <w:r w:rsidRPr="00FF0978">
        <w:t xml:space="preserve"> [33] and Huang [26]. </w:t>
      </w:r>
    </w:p>
    <w:p w:rsidR="000D3BE4" w:rsidRPr="00FF0978" w:rsidRDefault="00285EA2" w:rsidP="00285EA2">
      <w:pPr>
        <w:jc w:val="both"/>
      </w:pPr>
      <w:r w:rsidRPr="00FF0978">
        <w:lastRenderedPageBreak/>
        <w:tab/>
      </w:r>
      <w:r w:rsidR="000D3BE4" w:rsidRPr="00FF0978">
        <w:t xml:space="preserve">In order to determine which model is most suitable for assets on </w:t>
      </w:r>
      <w:r w:rsidR="00143DEB">
        <w:t xml:space="preserve">the </w:t>
      </w:r>
      <w:r w:rsidR="000D3BE4" w:rsidRPr="00FF0978">
        <w:t>Croatian capital market (is it justifiable to apply</w:t>
      </w:r>
      <w:r w:rsidR="00143DEB">
        <w:t xml:space="preserve"> the</w:t>
      </w:r>
      <w:r w:rsidR="000D3BE4" w:rsidRPr="00FF0978">
        <w:t xml:space="preserve"> Markov switching model)</w:t>
      </w:r>
      <w:proofErr w:type="gramStart"/>
      <w:r w:rsidR="000D3BE4" w:rsidRPr="00FF0978">
        <w:t>,</w:t>
      </w:r>
      <w:proofErr w:type="gramEnd"/>
      <w:r w:rsidR="000D3BE4" w:rsidRPr="00FF0978">
        <w:t xml:space="preserve"> a test for switching parameters should be conducted. </w:t>
      </w:r>
      <w:r w:rsidRPr="00FF0978">
        <w:t xml:space="preserve"> </w:t>
      </w:r>
      <w:r w:rsidR="000D3BE4" w:rsidRPr="00FF0978">
        <w:t xml:space="preserve">However, standard likelihood ratio tests of the null hypothesis of no breaks cannot be performed, due to the fact that values </w:t>
      </w:r>
      <w:r w:rsidR="000D3BE4" w:rsidRPr="00FF0978">
        <w:rPr>
          <w:i/>
        </w:rPr>
        <w:t>p</w:t>
      </w:r>
      <w:r w:rsidR="000D3BE4" w:rsidRPr="00FF0978">
        <w:rPr>
          <w:vertAlign w:val="subscript"/>
        </w:rPr>
        <w:t>11</w:t>
      </w:r>
      <w:r w:rsidR="000D3BE4" w:rsidRPr="00FF0978">
        <w:t xml:space="preserve"> and </w:t>
      </w:r>
      <w:r w:rsidR="000D3BE4" w:rsidRPr="00FF0978">
        <w:rPr>
          <w:i/>
        </w:rPr>
        <w:t>p</w:t>
      </w:r>
      <w:r w:rsidR="000D3BE4" w:rsidRPr="00FF0978">
        <w:rPr>
          <w:vertAlign w:val="subscript"/>
        </w:rPr>
        <w:t>22</w:t>
      </w:r>
      <w:r w:rsidR="000D3BE4" w:rsidRPr="00FF0978">
        <w:t xml:space="preserve"> are not identified under the null hypothesis (nuisance parameters). When there are unidentified parameters under the null hypothesis, the likelihood function is flat with respect to them, and the optimum is not unique. This problem is solved by conducting a supremum statistics test, of which Davies [11, 12], Hansen [25], Andrews [3], Andrews and </w:t>
      </w:r>
      <w:proofErr w:type="spellStart"/>
      <w:r w:rsidR="000D3BE4" w:rsidRPr="00FF0978">
        <w:t>Ploberger</w:t>
      </w:r>
      <w:proofErr w:type="spellEnd"/>
      <w:r w:rsidR="000D3BE4" w:rsidRPr="00FF0978">
        <w:t xml:space="preserve"> [4] are</w:t>
      </w:r>
      <w:r w:rsidR="00143DEB">
        <w:t xml:space="preserve"> most</w:t>
      </w:r>
      <w:r w:rsidR="000D3BE4" w:rsidRPr="00FF0978">
        <w:t xml:space="preserve"> popular (for more discussion and tests</w:t>
      </w:r>
      <w:r w:rsidR="00143DEB">
        <w:t>,</w:t>
      </w:r>
      <w:r w:rsidR="000D3BE4" w:rsidRPr="00FF0978">
        <w:t xml:space="preserve"> see Smith [46]). This research applies the sup-Wald test of Andrews</w:t>
      </w:r>
      <w:r w:rsidR="00143DEB">
        <w:t>,</w:t>
      </w:r>
      <w:r w:rsidR="000D3BE4" w:rsidRPr="00FF0978">
        <w:t xml:space="preserve"> where the </w:t>
      </w:r>
      <w:r w:rsidR="000D3BE4" w:rsidRPr="00FF0978">
        <w:rPr>
          <w:i/>
        </w:rPr>
        <w:t>LM</w:t>
      </w:r>
      <w:r w:rsidR="000D3BE4" w:rsidRPr="00FF0978">
        <w:t xml:space="preserve"> test statistic </w:t>
      </w:r>
      <w:proofErr w:type="gramStart"/>
      <w:r w:rsidR="000D3BE4" w:rsidRPr="00FF0978">
        <w:rPr>
          <w:i/>
        </w:rPr>
        <w:t>LM</w:t>
      </w:r>
      <w:r w:rsidR="000D3BE4" w:rsidRPr="00FF0978">
        <w:rPr>
          <w:i/>
          <w:vertAlign w:val="subscript"/>
        </w:rPr>
        <w:t>T</w:t>
      </w:r>
      <w:r w:rsidR="000D3BE4" w:rsidRPr="00FF0978">
        <w:t>(</w:t>
      </w:r>
      <w:proofErr w:type="gramEnd"/>
      <w:r w:rsidR="000D3BE4" w:rsidRPr="00FF0978">
        <w:t>π) is calculated as given in Andrews [3:837], as well as asymptotic critical values. Three tests will be applied for each stock: two regime switching models ((3) and (6)) will be compared to the linear model and to each other. In that way, the best relationship between the stock and market return can be estimated.</w:t>
      </w:r>
    </w:p>
    <w:p w:rsidR="006D6858" w:rsidRPr="00FF0978" w:rsidRDefault="006D6858" w:rsidP="006D6858">
      <w:pPr>
        <w:autoSpaceDE w:val="0"/>
        <w:autoSpaceDN w:val="0"/>
        <w:adjustRightInd w:val="0"/>
        <w:rPr>
          <w:szCs w:val="22"/>
          <w:lang w:val="hr-HR" w:eastAsia="hr-HR"/>
        </w:rPr>
      </w:pPr>
    </w:p>
    <w:p w:rsidR="000D3BE4" w:rsidRPr="007049E4" w:rsidRDefault="000D3BE4" w:rsidP="00285EA2">
      <w:pPr>
        <w:pStyle w:val="ListParagraph"/>
        <w:numPr>
          <w:ilvl w:val="0"/>
          <w:numId w:val="19"/>
        </w:numPr>
        <w:tabs>
          <w:tab w:val="left" w:pos="851"/>
        </w:tabs>
        <w:jc w:val="both"/>
        <w:rPr>
          <w:b/>
          <w:sz w:val="28"/>
          <w:szCs w:val="28"/>
          <w:lang w:bidi="en-US"/>
        </w:rPr>
      </w:pPr>
      <w:r w:rsidRPr="007049E4">
        <w:rPr>
          <w:b/>
          <w:sz w:val="28"/>
          <w:szCs w:val="28"/>
          <w:lang w:bidi="en-US"/>
        </w:rPr>
        <w:t>Empirical analysis</w:t>
      </w:r>
    </w:p>
    <w:p w:rsidR="00285EA2" w:rsidRPr="00FF0978" w:rsidRDefault="00285EA2" w:rsidP="00285EA2">
      <w:pPr>
        <w:tabs>
          <w:tab w:val="left" w:pos="851"/>
        </w:tabs>
        <w:jc w:val="both"/>
      </w:pPr>
    </w:p>
    <w:p w:rsidR="000D3BE4" w:rsidRPr="00FF0978" w:rsidRDefault="000D3BE4" w:rsidP="00285EA2">
      <w:pPr>
        <w:tabs>
          <w:tab w:val="left" w:pos="851"/>
        </w:tabs>
        <w:jc w:val="both"/>
      </w:pPr>
      <w:r w:rsidRPr="00FF0978">
        <w:t xml:space="preserve">For the purpose of empirical analysis, monthly data on most liquid stocks on </w:t>
      </w:r>
      <w:r w:rsidR="00143DEB">
        <w:t xml:space="preserve">the </w:t>
      </w:r>
      <w:r w:rsidRPr="00FF0978">
        <w:t>Zagreb Stock Exchange was collected from ZSE [51]. The data consists of price data on 21 stock</w:t>
      </w:r>
      <w:r w:rsidR="00143DEB">
        <w:t>s</w:t>
      </w:r>
      <w:r w:rsidRPr="00FF0978">
        <w:t xml:space="preserve"> and CROBEX</w:t>
      </w:r>
      <w:r w:rsidR="00143DEB">
        <w:t xml:space="preserve"> </w:t>
      </w:r>
      <w:r w:rsidR="00143DEB" w:rsidRPr="00FF0978">
        <w:t>index</w:t>
      </w:r>
      <w:r w:rsidRPr="00FF0978">
        <w:t xml:space="preserve"> for the period from January 2005 to December 2013. Since excess returns needed to be calculated, a risk-free interest rate on Treasury Bills was obtained from the Ministry of Finance [39]. The analysis was conducted by using TSM 4.42 software. Stock returns were calculated as continuously compounded returns:</w:t>
      </w:r>
    </w:p>
    <w:p w:rsidR="000D3BE4" w:rsidRPr="00FF0978" w:rsidRDefault="00A23E59" w:rsidP="00A23E59">
      <w:pPr>
        <w:tabs>
          <w:tab w:val="center" w:pos="4536"/>
          <w:tab w:val="right" w:pos="8789"/>
        </w:tabs>
        <w:jc w:val="right"/>
      </w:pPr>
      <w:r>
        <w:t xml:space="preserve">     </w:t>
      </w:r>
      <w:r w:rsidR="000D3BE4" w:rsidRPr="00FF0978">
        <w:rPr>
          <w:position w:val="-30"/>
        </w:rPr>
        <w:object w:dxaOrig="1359" w:dyaOrig="700">
          <v:shape id="_x0000_i1048" type="#_x0000_t75" style="width:68.25pt;height:35.25pt" o:ole="">
            <v:imagedata r:id="rId55" o:title=""/>
          </v:shape>
          <o:OLEObject Type="Embed" ProgID="Equation.DSMT4" ShapeID="_x0000_i1048" DrawAspect="Content" ObjectID="_1479797612" r:id="rId56"/>
        </w:object>
      </w:r>
      <w:r w:rsidR="000D3BE4" w:rsidRPr="00FF0978">
        <w:t xml:space="preserve"> ,</w:t>
      </w:r>
      <w:r w:rsidR="000D3BE4" w:rsidRPr="00FF0978">
        <w:tab/>
        <w:t>(8)</w:t>
      </w:r>
    </w:p>
    <w:p w:rsidR="000D3BE4" w:rsidRPr="00FF0978" w:rsidRDefault="000D3BE4" w:rsidP="000D3BE4">
      <w:pPr>
        <w:tabs>
          <w:tab w:val="center" w:pos="4536"/>
          <w:tab w:val="right" w:pos="8789"/>
        </w:tabs>
        <w:jc w:val="both"/>
      </w:pPr>
      <w:proofErr w:type="gramStart"/>
      <w:r w:rsidRPr="00FF0978">
        <w:t>where</w:t>
      </w:r>
      <w:proofErr w:type="gramEnd"/>
      <w:r w:rsidRPr="00FF0978">
        <w:t xml:space="preserve"> </w:t>
      </w:r>
      <w:proofErr w:type="spellStart"/>
      <w:r w:rsidRPr="00FF0978">
        <w:rPr>
          <w:i/>
        </w:rPr>
        <w:t>R</w:t>
      </w:r>
      <w:r w:rsidRPr="00FF0978">
        <w:rPr>
          <w:i/>
          <w:vertAlign w:val="subscript"/>
        </w:rPr>
        <w:t>it</w:t>
      </w:r>
      <w:proofErr w:type="spellEnd"/>
      <w:r w:rsidRPr="00FF0978">
        <w:t xml:space="preserve"> represents the return on</w:t>
      </w:r>
      <w:r w:rsidR="00143DEB">
        <w:t xml:space="preserve"> the</w:t>
      </w:r>
      <w:r w:rsidRPr="00FF0978">
        <w:t xml:space="preserve"> </w:t>
      </w:r>
      <w:proofErr w:type="spellStart"/>
      <w:r w:rsidRPr="00FF0978">
        <w:rPr>
          <w:i/>
        </w:rPr>
        <w:t>i</w:t>
      </w:r>
      <w:r w:rsidRPr="00FF0978">
        <w:t>-th</w:t>
      </w:r>
      <w:proofErr w:type="spellEnd"/>
      <w:r w:rsidRPr="00FF0978">
        <w:t xml:space="preserve"> stock</w:t>
      </w:r>
      <w:r w:rsidRPr="00FF0978">
        <w:rPr>
          <w:rStyle w:val="FootnoteReference"/>
        </w:rPr>
        <w:footnoteReference w:id="6"/>
      </w:r>
      <w:r w:rsidRPr="00FF0978">
        <w:t xml:space="preserve"> in moment </w:t>
      </w:r>
      <w:r w:rsidRPr="00FF0978">
        <w:rPr>
          <w:i/>
        </w:rPr>
        <w:t>t</w:t>
      </w:r>
      <w:r w:rsidRPr="00FF0978">
        <w:t xml:space="preserve">, </w:t>
      </w:r>
      <w:r w:rsidRPr="00FF0978">
        <w:rPr>
          <w:i/>
        </w:rPr>
        <w:t>P</w:t>
      </w:r>
      <w:r w:rsidRPr="00FF0978">
        <w:rPr>
          <w:i/>
          <w:vertAlign w:val="subscript"/>
        </w:rPr>
        <w:t>it</w:t>
      </w:r>
      <w:r w:rsidRPr="00FF0978">
        <w:t xml:space="preserve"> </w:t>
      </w:r>
      <w:r w:rsidR="00DE3863">
        <w:t xml:space="preserve">the </w:t>
      </w:r>
      <w:r w:rsidRPr="00FF0978">
        <w:t xml:space="preserve">price of the </w:t>
      </w:r>
      <w:proofErr w:type="spellStart"/>
      <w:r w:rsidRPr="00FF0978">
        <w:rPr>
          <w:i/>
        </w:rPr>
        <w:t>i</w:t>
      </w:r>
      <w:r w:rsidRPr="00FF0978">
        <w:t>-th</w:t>
      </w:r>
      <w:proofErr w:type="spellEnd"/>
      <w:r w:rsidRPr="00FF0978">
        <w:t xml:space="preserve"> stock in moment </w:t>
      </w:r>
      <w:r w:rsidRPr="00FF0978">
        <w:rPr>
          <w:i/>
        </w:rPr>
        <w:t>t</w:t>
      </w:r>
      <w:r w:rsidRPr="00FF0978">
        <w:t xml:space="preserve"> and ln stands for</w:t>
      </w:r>
      <w:r w:rsidR="00DE3863">
        <w:t xml:space="preserve"> the</w:t>
      </w:r>
      <w:r w:rsidRPr="00FF0978">
        <w:t xml:space="preserve"> natural logarithm. Each r</w:t>
      </w:r>
      <w:r w:rsidR="00DE3863">
        <w:t>eturn was adjusted for the risk-</w:t>
      </w:r>
      <w:r w:rsidRPr="00FF0978">
        <w:t>free rate in order to obtain</w:t>
      </w:r>
      <w:r w:rsidR="00DE3863">
        <w:t xml:space="preserve"> the</w:t>
      </w:r>
      <w:r w:rsidRPr="00FF0978">
        <w:t xml:space="preserve"> excess return as</w:t>
      </w:r>
      <w:proofErr w:type="gramStart"/>
      <w:r w:rsidRPr="00FF0978">
        <w:t>:</w:t>
      </w:r>
      <w:r w:rsidR="00A60347">
        <w:t xml:space="preserve"> </w:t>
      </w:r>
      <w:proofErr w:type="gramEnd"/>
      <w:r w:rsidRPr="00FF0978">
        <w:rPr>
          <w:position w:val="-14"/>
        </w:rPr>
        <w:object w:dxaOrig="1180" w:dyaOrig="380">
          <v:shape id="_x0000_i1049" type="#_x0000_t75" style="width:59.25pt;height:18.75pt" o:ole="">
            <v:imagedata r:id="rId57" o:title=""/>
          </v:shape>
          <o:OLEObject Type="Embed" ProgID="Equation.DSMT4" ShapeID="_x0000_i1049" DrawAspect="Content" ObjectID="_1479797613" r:id="rId58"/>
        </w:object>
      </w:r>
      <w:r w:rsidRPr="00FF0978">
        <w:t xml:space="preserve">, where </w:t>
      </w:r>
      <w:proofErr w:type="spellStart"/>
      <w:r w:rsidRPr="00FF0978">
        <w:rPr>
          <w:i/>
        </w:rPr>
        <w:t>r</w:t>
      </w:r>
      <w:r w:rsidRPr="00FF0978">
        <w:rPr>
          <w:i/>
          <w:vertAlign w:val="subscript"/>
        </w:rPr>
        <w:t>ft</w:t>
      </w:r>
      <w:proofErr w:type="spellEnd"/>
      <w:r w:rsidRPr="00FF0978">
        <w:t xml:space="preserve"> represents</w:t>
      </w:r>
      <w:r w:rsidR="00DE3863">
        <w:t xml:space="preserve"> the</w:t>
      </w:r>
      <w:r w:rsidRPr="00FF0978">
        <w:t xml:space="preserve"> risk-free return in moment </w:t>
      </w:r>
      <w:r w:rsidRPr="00FF0978">
        <w:rPr>
          <w:i/>
        </w:rPr>
        <w:t>t</w:t>
      </w:r>
      <w:r w:rsidRPr="00FF0978">
        <w:t>.</w:t>
      </w:r>
    </w:p>
    <w:p w:rsidR="005E07A7" w:rsidRDefault="000D3BE4" w:rsidP="005E07A7">
      <w:pPr>
        <w:tabs>
          <w:tab w:val="center" w:pos="4536"/>
          <w:tab w:val="right" w:pos="8789"/>
        </w:tabs>
        <w:jc w:val="both"/>
      </w:pPr>
      <w:r w:rsidRPr="00FF0978">
        <w:lastRenderedPageBreak/>
        <w:t>Unit root tests</w:t>
      </w:r>
      <w:r w:rsidRPr="00FF0978">
        <w:rPr>
          <w:rStyle w:val="FootnoteReference"/>
        </w:rPr>
        <w:footnoteReference w:id="7"/>
      </w:r>
      <w:r w:rsidRPr="00FF0978">
        <w:t xml:space="preserve"> were performed for each stock and CROBEX excess return, which resulted </w:t>
      </w:r>
      <w:r w:rsidR="00DE3863">
        <w:t>in the</w:t>
      </w:r>
      <w:r w:rsidRPr="00FF0978">
        <w:t xml:space="preserve"> conclusion that all excess returns are stationary. Then, an OLS estimation of the original CAPM model was conducted</w:t>
      </w:r>
      <w:r w:rsidRPr="00FF0978">
        <w:rPr>
          <w:rStyle w:val="FootnoteReference"/>
        </w:rPr>
        <w:footnoteReference w:id="8"/>
      </w:r>
      <w:r w:rsidRPr="00FF0978">
        <w:t>. Out of 21 regressions, 13 Jensen’s alphas were not statistically significant on the usual levels of significance. In 10 regressions</w:t>
      </w:r>
      <w:r w:rsidR="00DE3863">
        <w:t xml:space="preserve">, </w:t>
      </w:r>
      <w:r w:rsidRPr="00FF0978">
        <w:rPr>
          <w:i/>
        </w:rPr>
        <w:t>R</w:t>
      </w:r>
      <w:r w:rsidRPr="00FF0978">
        <w:rPr>
          <w:vertAlign w:val="superscript"/>
        </w:rPr>
        <w:t>2</w:t>
      </w:r>
      <w:r w:rsidRPr="00FF0978">
        <w:t xml:space="preserve"> was less than 0.2, with the highest one being 0.43. Overall, this means that the original CAPM model has a very weak explanatory power, as </w:t>
      </w:r>
      <w:r w:rsidR="00DE3863" w:rsidRPr="00FF0978">
        <w:t xml:space="preserve">concluded </w:t>
      </w:r>
      <w:r w:rsidR="00DE3863">
        <w:t xml:space="preserve">by </w:t>
      </w:r>
      <w:r w:rsidRPr="00FF0978">
        <w:t xml:space="preserve">previous research. Thus, we move on to the regime switching models. Andrews [3] </w:t>
      </w:r>
      <w:r w:rsidRPr="00FF0978">
        <w:rPr>
          <w:i/>
        </w:rPr>
        <w:t>LM</w:t>
      </w:r>
      <w:r w:rsidRPr="00FF0978">
        <w:t xml:space="preserve"> test was performed in order to determine which model is the most adequate one. The regime switching models were estimated by </w:t>
      </w:r>
      <w:proofErr w:type="spellStart"/>
      <w:r w:rsidRPr="00FF0978">
        <w:t>Broyden</w:t>
      </w:r>
      <w:proofErr w:type="spellEnd"/>
      <w:r w:rsidRPr="00FF0978">
        <w:t xml:space="preserve">, Fletcher, Goldfarb and </w:t>
      </w:r>
      <w:proofErr w:type="spellStart"/>
      <w:r w:rsidRPr="00FF0978">
        <w:t>Shanno</w:t>
      </w:r>
      <w:proofErr w:type="spellEnd"/>
      <w:r w:rsidRPr="00FF0978">
        <w:t xml:space="preserve"> numerical quasi-Newton optimization algorithm</w:t>
      </w:r>
      <w:r w:rsidR="00BC0626">
        <w:rPr>
          <w:rStyle w:val="FootnoteReference"/>
        </w:rPr>
        <w:footnoteReference w:id="9"/>
      </w:r>
      <w:r w:rsidR="00DE3863">
        <w:t>. The results are given in T</w:t>
      </w:r>
      <w:r w:rsidRPr="00FF0978">
        <w:t xml:space="preserve">able 1, where test </w:t>
      </w:r>
      <w:proofErr w:type="gramStart"/>
      <w:r w:rsidRPr="00FF0978">
        <w:rPr>
          <w:i/>
        </w:rPr>
        <w:t>LM</w:t>
      </w:r>
      <w:r w:rsidRPr="00FF0978">
        <w:rPr>
          <w:i/>
          <w:vertAlign w:val="subscript"/>
        </w:rPr>
        <w:t>T</w:t>
      </w:r>
      <w:r w:rsidRPr="00FF0978">
        <w:t>(</w:t>
      </w:r>
      <w:proofErr w:type="gramEnd"/>
      <w:r w:rsidRPr="00FF0978">
        <w:t xml:space="preserve">π) statistics is given and the </w:t>
      </w:r>
      <w:r w:rsidRPr="00FF0978">
        <w:rPr>
          <w:i/>
        </w:rPr>
        <w:t>p</w:t>
      </w:r>
      <w:r w:rsidRPr="00FF0978">
        <w:t xml:space="preserve">-values are in </w:t>
      </w:r>
      <w:r w:rsidR="00DE3863">
        <w:t>parenthese</w:t>
      </w:r>
      <w:r w:rsidRPr="00FF0978">
        <w:t xml:space="preserve">s. The first column of each stock, labeled </w:t>
      </w:r>
      <w:r w:rsidRPr="00FF0978">
        <w:rPr>
          <w:bCs/>
        </w:rPr>
        <w:t>M</w:t>
      </w:r>
      <w:r w:rsidRPr="00FF0978">
        <w:rPr>
          <w:bCs/>
          <w:vertAlign w:val="subscript"/>
        </w:rPr>
        <w:t>1</w:t>
      </w:r>
      <w:r w:rsidRPr="00FF0978">
        <w:rPr>
          <w:bCs/>
        </w:rPr>
        <w:t>|M</w:t>
      </w:r>
      <w:r w:rsidRPr="00FF0978">
        <w:rPr>
          <w:bCs/>
          <w:vertAlign w:val="subscript"/>
        </w:rPr>
        <w:t>2</w:t>
      </w:r>
      <w:r w:rsidRPr="00FF0978">
        <w:rPr>
          <w:bCs/>
        </w:rPr>
        <w:t xml:space="preserve">, </w:t>
      </w:r>
      <w:r w:rsidRPr="00FF0978">
        <w:t>compares model M</w:t>
      </w:r>
      <w:r w:rsidRPr="00FF0978">
        <w:rPr>
          <w:vertAlign w:val="subscript"/>
        </w:rPr>
        <w:t>1</w:t>
      </w:r>
      <w:r w:rsidRPr="00FF0978">
        <w:t xml:space="preserve"> to M</w:t>
      </w:r>
      <w:r w:rsidRPr="00FF0978">
        <w:rPr>
          <w:vertAlign w:val="subscript"/>
        </w:rPr>
        <w:t>2</w:t>
      </w:r>
      <w:r w:rsidRPr="00FF0978">
        <w:t>, etc. As can be seen, the results of the first test prefer the beta switching regime model on</w:t>
      </w:r>
      <w:r w:rsidR="00303013">
        <w:t xml:space="preserve"> a</w:t>
      </w:r>
      <w:r w:rsidRPr="00FF0978">
        <w:t xml:space="preserve"> 1% significance level, except for stocks HUPZ, PODR and BLJE (5%) and KOEI (10%). When comparing model M</w:t>
      </w:r>
      <w:r w:rsidRPr="00FF0978">
        <w:rPr>
          <w:vertAlign w:val="subscript"/>
        </w:rPr>
        <w:t>3</w:t>
      </w:r>
      <w:r w:rsidRPr="00FF0978">
        <w:t xml:space="preserve"> (alpha and beta switching regime) to M</w:t>
      </w:r>
      <w:r w:rsidRPr="00FF0978">
        <w:rPr>
          <w:vertAlign w:val="subscript"/>
        </w:rPr>
        <w:t>1</w:t>
      </w:r>
      <w:r w:rsidRPr="00FF0978">
        <w:t>, the test prefers model M</w:t>
      </w:r>
      <w:r w:rsidRPr="00FF0978">
        <w:rPr>
          <w:vertAlign w:val="subscript"/>
        </w:rPr>
        <w:t>3</w:t>
      </w:r>
      <w:r w:rsidRPr="00FF0978">
        <w:t xml:space="preserve"> for each stock on</w:t>
      </w:r>
      <w:r w:rsidR="00303013">
        <w:t xml:space="preserve"> a</w:t>
      </w:r>
      <w:r w:rsidRPr="00FF0978">
        <w:t xml:space="preserve"> 1% significance level, except HUPZ (5%) and PODR (model M</w:t>
      </w:r>
      <w:r w:rsidRPr="00FF0978">
        <w:rPr>
          <w:vertAlign w:val="subscript"/>
        </w:rPr>
        <w:t>1</w:t>
      </w:r>
      <w:r w:rsidRPr="00FF0978">
        <w:t xml:space="preserve"> is better). Since models M</w:t>
      </w:r>
      <w:r w:rsidRPr="00FF0978">
        <w:rPr>
          <w:vertAlign w:val="subscript"/>
        </w:rPr>
        <w:t>2</w:t>
      </w:r>
      <w:r w:rsidRPr="00FF0978">
        <w:t xml:space="preserve"> and M</w:t>
      </w:r>
      <w:r w:rsidRPr="00FF0978">
        <w:rPr>
          <w:vertAlign w:val="subscript"/>
        </w:rPr>
        <w:t>3</w:t>
      </w:r>
      <w:r w:rsidRPr="00FF0978">
        <w:t xml:space="preserve"> are preferable to M</w:t>
      </w:r>
      <w:r w:rsidRPr="00FF0978">
        <w:rPr>
          <w:vertAlign w:val="subscript"/>
        </w:rPr>
        <w:t>1</w:t>
      </w:r>
      <w:r w:rsidRPr="00FF0978">
        <w:t xml:space="preserve"> for most of the stocks, the final </w:t>
      </w:r>
      <w:r w:rsidRPr="00FF0978">
        <w:rPr>
          <w:i/>
        </w:rPr>
        <w:t>LM</w:t>
      </w:r>
      <w:r w:rsidRPr="00FF0978">
        <w:t xml:space="preserve"> test was performed in order to choose the best model for each stock. By looking at the third column of each stock, it can be seen that model M</w:t>
      </w:r>
      <w:r w:rsidRPr="00FF0978">
        <w:rPr>
          <w:vertAlign w:val="subscript"/>
        </w:rPr>
        <w:t>3</w:t>
      </w:r>
      <w:r w:rsidRPr="00FF0978">
        <w:t xml:space="preserve"> is preferred to M</w:t>
      </w:r>
      <w:r w:rsidRPr="00FF0978">
        <w:rPr>
          <w:vertAlign w:val="subscript"/>
        </w:rPr>
        <w:t>2</w:t>
      </w:r>
      <w:r w:rsidRPr="00FF0978">
        <w:t xml:space="preserve"> for each stock on</w:t>
      </w:r>
      <w:r w:rsidR="00616CA4">
        <w:t xml:space="preserve"> a</w:t>
      </w:r>
      <w:r w:rsidRPr="00FF0978">
        <w:t xml:space="preserve"> 1% significance level, except ADPL, KORF (5%), PODR (10%), ARNT and HUPZ (M</w:t>
      </w:r>
      <w:r w:rsidRPr="00FF0978">
        <w:rPr>
          <w:vertAlign w:val="subscript"/>
        </w:rPr>
        <w:t>2</w:t>
      </w:r>
      <w:r w:rsidRPr="00FF0978">
        <w:t xml:space="preserve"> is preferable). Clearly, there exists evidence on regime switching behavior in alphas and betas (which means that OLS provides inconsistent estimates).</w:t>
      </w:r>
      <w:r w:rsidR="005E07A7">
        <w:t xml:space="preserve"> </w:t>
      </w:r>
    </w:p>
    <w:p w:rsidR="000D3BE4" w:rsidRDefault="005E07A7" w:rsidP="00A60347">
      <w:pPr>
        <w:tabs>
          <w:tab w:val="center" w:pos="4536"/>
          <w:tab w:val="right" w:pos="8789"/>
        </w:tabs>
        <w:jc w:val="both"/>
      </w:pPr>
      <w:r w:rsidRPr="00FF0978">
        <w:t xml:space="preserve">Since test results were ambiguous, log likelihood maxima </w:t>
      </w:r>
      <w:r>
        <w:t>were</w:t>
      </w:r>
      <w:r w:rsidRPr="00FF0978">
        <w:t xml:space="preserve"> compared, as well as </w:t>
      </w:r>
      <w:proofErr w:type="spellStart"/>
      <w:r w:rsidRPr="00FF0978">
        <w:t>Akaike</w:t>
      </w:r>
      <w:proofErr w:type="spellEnd"/>
      <w:r w:rsidRPr="00FF0978">
        <w:t xml:space="preserve">, Schwarz and </w:t>
      </w:r>
      <w:proofErr w:type="spellStart"/>
      <w:r w:rsidRPr="00FF0978">
        <w:t>Hannan</w:t>
      </w:r>
      <w:proofErr w:type="spellEnd"/>
      <w:r w:rsidRPr="00FF0978">
        <w:t xml:space="preserve">-Quinn information criteria, tools commonly used for model selection. </w:t>
      </w:r>
      <w:r>
        <w:t>The Table</w:t>
      </w:r>
      <w:r w:rsidRPr="00FF0978">
        <w:t xml:space="preserve"> is given in the appendix. </w:t>
      </w:r>
      <w:r w:rsidR="00EF6D94" w:rsidRPr="00FF0978">
        <w:t>Based on the results fr</w:t>
      </w:r>
      <w:r w:rsidR="00EF6D94">
        <w:t>om that table and T</w:t>
      </w:r>
      <w:r w:rsidR="00EF6D94" w:rsidRPr="00FF0978">
        <w:t>able 1, an appropriate model was chosen for each stock. The results of estimation are given in table 2.</w:t>
      </w:r>
      <w:r w:rsidR="00EF6D94">
        <w:br/>
      </w:r>
    </w:p>
    <w:p w:rsidR="00A60347" w:rsidRPr="00FF0978" w:rsidRDefault="00A60347" w:rsidP="00A60347">
      <w:pPr>
        <w:tabs>
          <w:tab w:val="center" w:pos="4536"/>
          <w:tab w:val="right" w:pos="8789"/>
        </w:tabs>
        <w:jc w:val="both"/>
      </w:pPr>
    </w:p>
    <w:tbl>
      <w:tblPr>
        <w:tblW w:w="7070"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617"/>
        <w:gridCol w:w="613"/>
        <w:gridCol w:w="553"/>
        <w:gridCol w:w="509"/>
        <w:gridCol w:w="630"/>
        <w:gridCol w:w="615"/>
        <w:gridCol w:w="613"/>
        <w:gridCol w:w="529"/>
        <w:gridCol w:w="630"/>
        <w:gridCol w:w="630"/>
        <w:gridCol w:w="591"/>
      </w:tblGrid>
      <w:tr w:rsidR="005E07A7" w:rsidRPr="005E07A7" w:rsidTr="005E07A7">
        <w:trPr>
          <w:trHeight w:val="20"/>
          <w:jc w:val="center"/>
        </w:trPr>
        <w:tc>
          <w:tcPr>
            <w:tcW w:w="540" w:type="dxa"/>
            <w:shd w:val="clear" w:color="auto" w:fill="auto"/>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Stock</w:t>
            </w:r>
          </w:p>
        </w:tc>
        <w:tc>
          <w:tcPr>
            <w:tcW w:w="617"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2</w:t>
            </w:r>
          </w:p>
        </w:tc>
        <w:tc>
          <w:tcPr>
            <w:tcW w:w="613"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3</w:t>
            </w:r>
          </w:p>
        </w:tc>
        <w:tc>
          <w:tcPr>
            <w:tcW w:w="553"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2</w:t>
            </w:r>
            <w:r w:rsidRPr="005E07A7">
              <w:rPr>
                <w:b/>
                <w:bCs/>
                <w:sz w:val="18"/>
                <w:szCs w:val="18"/>
                <w:lang w:bidi="en-US"/>
              </w:rPr>
              <w:t>|M</w:t>
            </w:r>
            <w:r w:rsidRPr="005E07A7">
              <w:rPr>
                <w:b/>
                <w:bCs/>
                <w:sz w:val="18"/>
                <w:szCs w:val="18"/>
                <w:vertAlign w:val="subscript"/>
                <w:lang w:bidi="en-US"/>
              </w:rPr>
              <w:t>3</w:t>
            </w:r>
          </w:p>
        </w:tc>
        <w:tc>
          <w:tcPr>
            <w:tcW w:w="509" w:type="dxa"/>
            <w:shd w:val="clear" w:color="auto" w:fill="auto"/>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Stock</w:t>
            </w:r>
          </w:p>
        </w:tc>
        <w:tc>
          <w:tcPr>
            <w:tcW w:w="630"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2</w:t>
            </w:r>
          </w:p>
        </w:tc>
        <w:tc>
          <w:tcPr>
            <w:tcW w:w="615"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3</w:t>
            </w:r>
          </w:p>
        </w:tc>
        <w:tc>
          <w:tcPr>
            <w:tcW w:w="613"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2</w:t>
            </w:r>
            <w:r w:rsidRPr="005E07A7">
              <w:rPr>
                <w:b/>
                <w:bCs/>
                <w:sz w:val="18"/>
                <w:szCs w:val="18"/>
                <w:lang w:bidi="en-US"/>
              </w:rPr>
              <w:t>|M</w:t>
            </w:r>
            <w:r w:rsidRPr="005E07A7">
              <w:rPr>
                <w:b/>
                <w:bCs/>
                <w:sz w:val="18"/>
                <w:szCs w:val="18"/>
                <w:vertAlign w:val="subscript"/>
                <w:lang w:bidi="en-US"/>
              </w:rPr>
              <w:t>3</w:t>
            </w:r>
          </w:p>
        </w:tc>
        <w:tc>
          <w:tcPr>
            <w:tcW w:w="529" w:type="dxa"/>
            <w:shd w:val="clear" w:color="auto" w:fill="auto"/>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Stock</w:t>
            </w:r>
          </w:p>
        </w:tc>
        <w:tc>
          <w:tcPr>
            <w:tcW w:w="630"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2</w:t>
            </w:r>
          </w:p>
        </w:tc>
        <w:tc>
          <w:tcPr>
            <w:tcW w:w="630"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1</w:t>
            </w:r>
            <w:r w:rsidRPr="005E07A7">
              <w:rPr>
                <w:b/>
                <w:bCs/>
                <w:sz w:val="18"/>
                <w:szCs w:val="18"/>
                <w:lang w:bidi="en-US"/>
              </w:rPr>
              <w:t>|M</w:t>
            </w:r>
            <w:r w:rsidRPr="005E07A7">
              <w:rPr>
                <w:b/>
                <w:bCs/>
                <w:sz w:val="18"/>
                <w:szCs w:val="18"/>
                <w:vertAlign w:val="subscript"/>
                <w:lang w:bidi="en-US"/>
              </w:rPr>
              <w:t>3</w:t>
            </w:r>
          </w:p>
        </w:tc>
        <w:tc>
          <w:tcPr>
            <w:tcW w:w="591" w:type="dxa"/>
            <w:shd w:val="clear" w:color="000000" w:fill="FFFFFF"/>
            <w:noWrap/>
            <w:tcMar>
              <w:top w:w="14" w:type="dxa"/>
              <w:left w:w="14" w:type="dxa"/>
              <w:bottom w:w="0" w:type="dxa"/>
              <w:right w:w="14" w:type="dxa"/>
            </w:tcMar>
            <w:vAlign w:val="center"/>
            <w:hideMark/>
          </w:tcPr>
          <w:p w:rsidR="005E07A7" w:rsidRPr="005E07A7" w:rsidRDefault="005E07A7" w:rsidP="000D3BE4">
            <w:pPr>
              <w:jc w:val="center"/>
              <w:rPr>
                <w:b/>
                <w:bCs/>
                <w:sz w:val="18"/>
                <w:szCs w:val="18"/>
                <w:lang w:bidi="en-US"/>
              </w:rPr>
            </w:pPr>
            <w:r w:rsidRPr="005E07A7">
              <w:rPr>
                <w:b/>
                <w:bCs/>
                <w:sz w:val="18"/>
                <w:szCs w:val="18"/>
                <w:lang w:bidi="en-US"/>
              </w:rPr>
              <w:t>M</w:t>
            </w:r>
            <w:r w:rsidRPr="005E07A7">
              <w:rPr>
                <w:b/>
                <w:bCs/>
                <w:sz w:val="18"/>
                <w:szCs w:val="18"/>
                <w:vertAlign w:val="subscript"/>
                <w:lang w:bidi="en-US"/>
              </w:rPr>
              <w:t>2</w:t>
            </w:r>
            <w:r w:rsidRPr="005E07A7">
              <w:rPr>
                <w:b/>
                <w:bCs/>
                <w:sz w:val="18"/>
                <w:szCs w:val="18"/>
                <w:lang w:bidi="en-US"/>
              </w:rPr>
              <w:t>|M</w:t>
            </w:r>
            <w:r w:rsidRPr="005E07A7">
              <w:rPr>
                <w:b/>
                <w:bCs/>
                <w:sz w:val="18"/>
                <w:szCs w:val="18"/>
                <w:vertAlign w:val="subscript"/>
                <w:lang w:bidi="en-US"/>
              </w:rPr>
              <w:t>3</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ADPL</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25.969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13.737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6.225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ERNT</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10.782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7.432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459.591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LKPC</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58.370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25.231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33.312</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(0.003)</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(0.044)</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 (0.000)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ADRS</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149.204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124.110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50.560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HUPZ</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7.371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9.206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1.018</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LKRI</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50.533 </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53.835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45.509</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(0.025)</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(0.027)</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(0.601)</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ARNT</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61.381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102.444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0.480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INGR</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98.439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351.609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22.779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PODR</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6.962 </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6.162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5.0233</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(0.787)</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(0.031)</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(0.104)</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(0.081)</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ATPL</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33.611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34.893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27.725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KOEI</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5.398</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68.634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14.76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PTKM</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23.309 </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40.363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35.066 </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 (0.067)</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BLJE</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6.113</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14.882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14.176</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KORF</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42.947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14.872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8.358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ULPL</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11.272</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15.041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8.526 </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 (0.047)</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(0.002)</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(0.001)</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(0.002)</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(0.015)</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 (0.000)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(0.002)</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(0.014)</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DDJH</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13.476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21.726 </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18.939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KRAS</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28.409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29.1667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14.691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VDKT</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64.953 </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124.035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12.373 </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(0.001)</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(0.001)</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(0.002)</w:t>
            </w:r>
          </w:p>
        </w:tc>
      </w:tr>
      <w:tr w:rsidR="005E07A7" w:rsidRPr="005E07A7" w:rsidTr="005E07A7">
        <w:trPr>
          <w:trHeight w:val="20"/>
          <w:jc w:val="center"/>
        </w:trPr>
        <w:tc>
          <w:tcPr>
            <w:tcW w:w="540"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DLKV</w:t>
            </w: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31.642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31.801</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31.723 </w:t>
            </w:r>
          </w:p>
        </w:tc>
        <w:tc>
          <w:tcPr>
            <w:tcW w:w="50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LEDO</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29.9111 </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29.695 </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29.671 </w:t>
            </w:r>
          </w:p>
        </w:tc>
        <w:tc>
          <w:tcPr>
            <w:tcW w:w="529" w:type="dxa"/>
            <w:vMerge w:val="restart"/>
            <w:shd w:val="clear" w:color="000000" w:fill="FFFFFF"/>
            <w:noWrap/>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ZABA</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38.343 </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92.464 </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87.699</w:t>
            </w:r>
          </w:p>
        </w:tc>
      </w:tr>
      <w:tr w:rsidR="005E07A7" w:rsidRPr="005E07A7" w:rsidTr="005E07A7">
        <w:trPr>
          <w:trHeight w:val="20"/>
          <w:jc w:val="center"/>
        </w:trPr>
        <w:tc>
          <w:tcPr>
            <w:tcW w:w="540" w:type="dxa"/>
            <w:vMerge/>
            <w:vAlign w:val="center"/>
            <w:hideMark/>
          </w:tcPr>
          <w:p w:rsidR="005E07A7" w:rsidRPr="005E07A7" w:rsidRDefault="005E07A7" w:rsidP="000D3BE4">
            <w:pPr>
              <w:rPr>
                <w:sz w:val="18"/>
                <w:szCs w:val="18"/>
                <w:lang w:bidi="en-US"/>
              </w:rPr>
            </w:pPr>
          </w:p>
        </w:tc>
        <w:tc>
          <w:tcPr>
            <w:tcW w:w="617"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 xml:space="preserve"> (0.000)</w:t>
            </w:r>
          </w:p>
        </w:tc>
        <w:tc>
          <w:tcPr>
            <w:tcW w:w="55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0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5"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13"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29" w:type="dxa"/>
            <w:vMerge/>
            <w:vAlign w:val="center"/>
            <w:hideMark/>
          </w:tcPr>
          <w:p w:rsidR="005E07A7" w:rsidRPr="005E07A7" w:rsidRDefault="005E07A7" w:rsidP="000D3BE4">
            <w:pPr>
              <w:rPr>
                <w:sz w:val="18"/>
                <w:szCs w:val="18"/>
                <w:lang w:bidi="en-US"/>
              </w:rPr>
            </w:pP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630"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c>
          <w:tcPr>
            <w:tcW w:w="591" w:type="dxa"/>
            <w:shd w:val="clear" w:color="000000" w:fill="FFFFFF"/>
            <w:tcMar>
              <w:top w:w="14" w:type="dxa"/>
              <w:left w:w="14" w:type="dxa"/>
              <w:bottom w:w="0" w:type="dxa"/>
              <w:right w:w="14" w:type="dxa"/>
            </w:tcMar>
            <w:vAlign w:val="center"/>
            <w:hideMark/>
          </w:tcPr>
          <w:p w:rsidR="005E07A7" w:rsidRPr="005E07A7" w:rsidRDefault="005E07A7" w:rsidP="000D3BE4">
            <w:pPr>
              <w:jc w:val="center"/>
              <w:rPr>
                <w:sz w:val="18"/>
                <w:szCs w:val="18"/>
                <w:lang w:bidi="en-US"/>
              </w:rPr>
            </w:pPr>
            <w:r w:rsidRPr="005E07A7">
              <w:rPr>
                <w:sz w:val="18"/>
                <w:szCs w:val="18"/>
                <w:lang w:bidi="en-US"/>
              </w:rPr>
              <w:t>(0.000)</w:t>
            </w:r>
          </w:p>
        </w:tc>
      </w:tr>
    </w:tbl>
    <w:p w:rsidR="000D3BE4" w:rsidRPr="00FF0978" w:rsidRDefault="000D3BE4" w:rsidP="001B487D">
      <w:pPr>
        <w:spacing w:before="120"/>
        <w:jc w:val="center"/>
        <w:rPr>
          <w:rStyle w:val="hps"/>
          <w:sz w:val="22"/>
          <w:szCs w:val="22"/>
        </w:rPr>
      </w:pPr>
      <w:r w:rsidRPr="00FF0978">
        <w:rPr>
          <w:sz w:val="22"/>
          <w:szCs w:val="22"/>
        </w:rPr>
        <w:t xml:space="preserve">Table 1: </w:t>
      </w:r>
      <w:r w:rsidRPr="00FF0978">
        <w:rPr>
          <w:rStyle w:val="hps"/>
          <w:sz w:val="22"/>
          <w:szCs w:val="22"/>
        </w:rPr>
        <w:t>Results of Andrews Structural Change LM test</w:t>
      </w:r>
    </w:p>
    <w:p w:rsidR="00A60347" w:rsidRDefault="00A60347" w:rsidP="00A60347">
      <w:pPr>
        <w:tabs>
          <w:tab w:val="center" w:pos="4536"/>
          <w:tab w:val="right" w:pos="8789"/>
        </w:tabs>
        <w:jc w:val="both"/>
      </w:pPr>
    </w:p>
    <w:p w:rsidR="001B487D" w:rsidRPr="00AD257F" w:rsidRDefault="001B487D" w:rsidP="00AD257F">
      <w:pPr>
        <w:ind w:firstLine="432"/>
        <w:jc w:val="both"/>
        <w:rPr>
          <w:rFonts w:eastAsia="Calibri"/>
          <w:szCs w:val="22"/>
          <w:lang w:eastAsia="hr-HR"/>
        </w:rPr>
      </w:pPr>
      <w:r w:rsidRPr="00FF0978">
        <w:rPr>
          <w:rFonts w:eastAsia="Calibri"/>
          <w:szCs w:val="22"/>
          <w:lang w:eastAsia="hr-HR"/>
        </w:rPr>
        <w:t xml:space="preserve">Examining Jensen’s alpha, 14 stocks exhibit a statistically significant alpha, </w:t>
      </w:r>
      <w:r w:rsidR="00616CA4" w:rsidRPr="00FF0978">
        <w:rPr>
          <w:rFonts w:eastAsia="Calibri"/>
          <w:szCs w:val="22"/>
          <w:lang w:eastAsia="hr-HR"/>
        </w:rPr>
        <w:t xml:space="preserve">only two </w:t>
      </w:r>
      <w:r w:rsidRPr="00FF0978">
        <w:rPr>
          <w:rFonts w:eastAsia="Calibri"/>
          <w:szCs w:val="22"/>
          <w:lang w:eastAsia="hr-HR"/>
        </w:rPr>
        <w:t>of which are positive, which indicates that only KOEI and PTKM generate abnormal returns in</w:t>
      </w:r>
      <w:r w:rsidR="00616CA4">
        <w:rPr>
          <w:rFonts w:eastAsia="Calibri"/>
          <w:szCs w:val="22"/>
          <w:lang w:eastAsia="hr-HR"/>
        </w:rPr>
        <w:t xml:space="preserve"> a</w:t>
      </w:r>
      <w:r w:rsidRPr="00FF0978">
        <w:rPr>
          <w:rFonts w:eastAsia="Calibri"/>
          <w:szCs w:val="22"/>
          <w:lang w:eastAsia="hr-HR"/>
        </w:rPr>
        <w:t xml:space="preserve"> low volatility regime. Looking at betas, only 2 stocks have insignificant betas in any market regime; 12 have higher betas in a high volatility regime, which means that when turbulences are present on the market, these stocks become more risky. Other 9 become less risky and 2 reverse their movements compared to the market. According to the CAPM theory, stocks with negative betas in bear markets and positive betas in bull markets move against the market movements. Their returns are negatively correlated to the market return and investors can reduce the losses by incorporating these stocks into portfolios when the market is bullish, and remove them from </w:t>
      </w:r>
      <w:r w:rsidR="00616CA4">
        <w:rPr>
          <w:rFonts w:eastAsia="Calibri"/>
          <w:szCs w:val="22"/>
          <w:lang w:eastAsia="hr-HR"/>
        </w:rPr>
        <w:t xml:space="preserve">the </w:t>
      </w:r>
      <w:r w:rsidRPr="00FF0978">
        <w:rPr>
          <w:rFonts w:eastAsia="Calibri"/>
          <w:szCs w:val="22"/>
          <w:lang w:eastAsia="hr-HR"/>
        </w:rPr>
        <w:t xml:space="preserve">portfolio when the market is bearish. Comparing estimated error standard deviations, </w:t>
      </w:r>
      <w:r w:rsidR="00616CA4">
        <w:rPr>
          <w:rFonts w:eastAsia="Calibri"/>
          <w:szCs w:val="22"/>
          <w:lang w:eastAsia="hr-HR"/>
        </w:rPr>
        <w:t xml:space="preserve">a </w:t>
      </w:r>
      <w:r w:rsidRPr="00FF0978">
        <w:rPr>
          <w:rFonts w:eastAsia="Calibri"/>
          <w:szCs w:val="22"/>
          <w:lang w:eastAsia="hr-HR"/>
        </w:rPr>
        <w:t xml:space="preserve">high volatility regime produces risk which is on average 7 times greater </w:t>
      </w:r>
      <w:r w:rsidR="00A23E59" w:rsidRPr="00FF0978">
        <w:rPr>
          <w:rFonts w:eastAsia="Calibri"/>
          <w:szCs w:val="22"/>
          <w:lang w:eastAsia="hr-HR"/>
        </w:rPr>
        <w:t>than a low volatility regime</w:t>
      </w:r>
      <w:r w:rsidR="00A23E59" w:rsidRPr="00FF0978">
        <w:rPr>
          <w:rStyle w:val="FootnoteReference"/>
          <w:rFonts w:eastAsia="Calibri"/>
          <w:szCs w:val="22"/>
          <w:lang w:eastAsia="hr-HR"/>
        </w:rPr>
        <w:footnoteReference w:id="10"/>
      </w:r>
      <w:r w:rsidR="00A23E59" w:rsidRPr="00FF0978">
        <w:rPr>
          <w:rFonts w:eastAsia="Calibri"/>
          <w:szCs w:val="22"/>
          <w:lang w:eastAsia="hr-HR"/>
        </w:rPr>
        <w:t xml:space="preserve">. Each regime is </w:t>
      </w:r>
      <w:r w:rsidR="00A23E59">
        <w:rPr>
          <w:rFonts w:eastAsia="Calibri"/>
          <w:szCs w:val="22"/>
          <w:lang w:eastAsia="hr-HR"/>
        </w:rPr>
        <w:t xml:space="preserve">on </w:t>
      </w:r>
      <w:r w:rsidR="00A23E59" w:rsidRPr="00FF0978">
        <w:rPr>
          <w:rFonts w:eastAsia="Calibri"/>
          <w:szCs w:val="22"/>
          <w:lang w:eastAsia="hr-HR"/>
        </w:rPr>
        <w:t>average</w:t>
      </w:r>
      <w:r w:rsidR="00A23E59">
        <w:rPr>
          <w:rFonts w:eastAsia="Calibri"/>
          <w:szCs w:val="22"/>
          <w:lang w:eastAsia="hr-HR"/>
        </w:rPr>
        <w:t xml:space="preserve"> </w:t>
      </w:r>
      <w:r w:rsidR="00A60347" w:rsidRPr="00FF0978">
        <w:rPr>
          <w:rFonts w:eastAsia="Calibri"/>
          <w:szCs w:val="22"/>
          <w:lang w:eastAsia="hr-HR"/>
        </w:rPr>
        <w:t xml:space="preserve">strongly persistent, due to the high transition probabilities for each regime. The duration of a low volatility regime ranges from 4.5 to 100 </w:t>
      </w:r>
      <w:proofErr w:type="gramStart"/>
      <w:r w:rsidR="00A60347" w:rsidRPr="00FF0978">
        <w:rPr>
          <w:rFonts w:eastAsia="Calibri"/>
          <w:szCs w:val="22"/>
          <w:lang w:eastAsia="hr-HR"/>
        </w:rPr>
        <w:t>months,</w:t>
      </w:r>
      <w:proofErr w:type="gramEnd"/>
      <w:r w:rsidR="00A60347" w:rsidRPr="00FF0978">
        <w:rPr>
          <w:rFonts w:eastAsia="Calibri"/>
          <w:szCs w:val="22"/>
          <w:lang w:eastAsia="hr-HR"/>
        </w:rPr>
        <w:t xml:space="preserve"> and from 1 to 111 months for</w:t>
      </w:r>
      <w:r w:rsidR="00A60347">
        <w:rPr>
          <w:rFonts w:eastAsia="Calibri"/>
          <w:szCs w:val="22"/>
          <w:lang w:eastAsia="hr-HR"/>
        </w:rPr>
        <w:t xml:space="preserve"> a</w:t>
      </w:r>
      <w:r w:rsidR="00A60347" w:rsidRPr="00FF0978">
        <w:rPr>
          <w:rFonts w:eastAsia="Calibri"/>
          <w:szCs w:val="22"/>
          <w:lang w:eastAsia="hr-HR"/>
        </w:rPr>
        <w:t xml:space="preserve"> high volatility regime.</w:t>
      </w:r>
      <w:r w:rsidR="00A521BD">
        <w:rPr>
          <w:rFonts w:eastAsia="Calibri"/>
          <w:szCs w:val="22"/>
          <w:lang w:eastAsia="hr-HR"/>
        </w:rPr>
        <w:br/>
      </w:r>
      <w:r w:rsidR="00A23E59" w:rsidRPr="00FF0978">
        <w:rPr>
          <w:rFonts w:eastAsia="Calibri"/>
          <w:szCs w:val="22"/>
          <w:lang w:eastAsia="hr-HR"/>
        </w:rPr>
        <w:t xml:space="preserve"> </w:t>
      </w:r>
      <w:r>
        <w:br w:type="page"/>
      </w:r>
    </w:p>
    <w:tbl>
      <w:tblPr>
        <w:tblpPr w:leftFromText="180" w:rightFromText="180" w:vertAnchor="page" w:horzAnchor="margin" w:tblpY="1696"/>
        <w:tblW w:w="6975" w:type="dxa"/>
        <w:tblCellMar>
          <w:left w:w="0" w:type="dxa"/>
          <w:right w:w="0" w:type="dxa"/>
        </w:tblCellMar>
        <w:tblLook w:val="04A0" w:firstRow="1" w:lastRow="0" w:firstColumn="1" w:lastColumn="0" w:noHBand="0" w:noVBand="1"/>
      </w:tblPr>
      <w:tblGrid>
        <w:gridCol w:w="810"/>
        <w:gridCol w:w="990"/>
        <w:gridCol w:w="990"/>
        <w:gridCol w:w="990"/>
        <w:gridCol w:w="995"/>
        <w:gridCol w:w="550"/>
        <w:gridCol w:w="550"/>
        <w:gridCol w:w="550"/>
        <w:gridCol w:w="550"/>
      </w:tblGrid>
      <w:tr w:rsidR="00747FBC" w:rsidRPr="00616CA4" w:rsidTr="00747FBC">
        <w:trPr>
          <w:trHeight w:val="275"/>
        </w:trPr>
        <w:tc>
          <w:tcPr>
            <w:tcW w:w="810" w:type="dxa"/>
            <w:tcBorders>
              <w:top w:val="single" w:sz="4" w:space="0" w:color="auto"/>
              <w:left w:val="single" w:sz="4" w:space="0" w:color="auto"/>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sz w:val="20"/>
                <w:szCs w:val="20"/>
              </w:rPr>
              <w:lastRenderedPageBreak/>
              <w:t>Stock</w:t>
            </w:r>
          </w:p>
        </w:tc>
        <w:tc>
          <w:tcPr>
            <w:tcW w:w="99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0"/>
                <w:sz w:val="20"/>
                <w:szCs w:val="20"/>
              </w:rPr>
              <w:object w:dxaOrig="420" w:dyaOrig="300">
                <v:shape id="_x0000_i1050" type="#_x0000_t75" style="width:20.25pt;height:15pt" o:ole="">
                  <v:imagedata r:id="rId59" o:title=""/>
                </v:shape>
                <o:OLEObject Type="Embed" ProgID="Equation.DSMT4" ShapeID="_x0000_i1050" DrawAspect="Content" ObjectID="_1479797614" r:id="rId60"/>
              </w:object>
            </w:r>
          </w:p>
        </w:tc>
        <w:tc>
          <w:tcPr>
            <w:tcW w:w="99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4"/>
                <w:sz w:val="20"/>
                <w:szCs w:val="20"/>
              </w:rPr>
              <w:object w:dxaOrig="460" w:dyaOrig="340">
                <v:shape id="_x0000_i1051" type="#_x0000_t75" style="width:23.25pt;height:16.5pt" o:ole="">
                  <v:imagedata r:id="rId61" o:title=""/>
                </v:shape>
                <o:OLEObject Type="Embed" ProgID="Equation.DSMT4" ShapeID="_x0000_i1051" DrawAspect="Content" ObjectID="_1479797615" r:id="rId62"/>
              </w:object>
            </w:r>
          </w:p>
        </w:tc>
        <w:tc>
          <w:tcPr>
            <w:tcW w:w="99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0"/>
                <w:sz w:val="20"/>
                <w:szCs w:val="20"/>
              </w:rPr>
              <w:object w:dxaOrig="420" w:dyaOrig="340">
                <v:shape id="_x0000_i1052" type="#_x0000_t75" style="width:20.25pt;height:16.5pt" o:ole="">
                  <v:imagedata r:id="rId63" o:title=""/>
                </v:shape>
                <o:OLEObject Type="Embed" ProgID="Equation.DSMT4" ShapeID="_x0000_i1052" DrawAspect="Content" ObjectID="_1479797616" r:id="rId64"/>
              </w:object>
            </w:r>
          </w:p>
        </w:tc>
        <w:tc>
          <w:tcPr>
            <w:tcW w:w="995"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4"/>
                <w:sz w:val="20"/>
                <w:szCs w:val="20"/>
              </w:rPr>
              <w:object w:dxaOrig="480" w:dyaOrig="380">
                <v:shape id="_x0000_i1053" type="#_x0000_t75" style="width:24pt;height:18.75pt" o:ole="">
                  <v:imagedata r:id="rId65" o:title=""/>
                </v:shape>
                <o:OLEObject Type="Embed" ProgID="Equation.DSMT4" ShapeID="_x0000_i1053" DrawAspect="Content" ObjectID="_1479797617" r:id="rId66"/>
              </w:object>
            </w:r>
          </w:p>
        </w:tc>
        <w:tc>
          <w:tcPr>
            <w:tcW w:w="55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0"/>
                <w:sz w:val="20"/>
                <w:szCs w:val="20"/>
              </w:rPr>
              <w:object w:dxaOrig="420" w:dyaOrig="300">
                <v:shape id="_x0000_i1054" type="#_x0000_t75" style="width:20.25pt;height:15pt" o:ole="">
                  <v:imagedata r:id="rId67" o:title=""/>
                </v:shape>
                <o:OLEObject Type="Embed" ProgID="Equation.DSMT4" ShapeID="_x0000_i1054" DrawAspect="Content" ObjectID="_1479797618" r:id="rId68"/>
              </w:object>
            </w:r>
          </w:p>
        </w:tc>
        <w:tc>
          <w:tcPr>
            <w:tcW w:w="55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sz w:val="20"/>
                <w:szCs w:val="20"/>
              </w:rPr>
            </w:pPr>
            <w:r w:rsidRPr="00616CA4">
              <w:rPr>
                <w:b/>
                <w:bCs/>
                <w:position w:val="-14"/>
                <w:sz w:val="20"/>
                <w:szCs w:val="20"/>
              </w:rPr>
              <w:object w:dxaOrig="480" w:dyaOrig="340">
                <v:shape id="_x0000_i1055" type="#_x0000_t75" style="width:24pt;height:16.5pt" o:ole="">
                  <v:imagedata r:id="rId69" o:title=""/>
                </v:shape>
                <o:OLEObject Type="Embed" ProgID="Equation.DSMT4" ShapeID="_x0000_i1055" DrawAspect="Content" ObjectID="_1479797619" r:id="rId70"/>
              </w:object>
            </w:r>
          </w:p>
        </w:tc>
        <w:tc>
          <w:tcPr>
            <w:tcW w:w="55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i/>
                <w:iCs/>
                <w:sz w:val="20"/>
                <w:szCs w:val="20"/>
              </w:rPr>
            </w:pPr>
            <w:r w:rsidRPr="00616CA4">
              <w:rPr>
                <w:b/>
                <w:bCs/>
                <w:i/>
                <w:iCs/>
                <w:position w:val="-10"/>
                <w:sz w:val="20"/>
                <w:szCs w:val="20"/>
              </w:rPr>
              <w:object w:dxaOrig="320" w:dyaOrig="300">
                <v:shape id="_x0000_i1056" type="#_x0000_t75" style="width:15.75pt;height:15pt" o:ole="">
                  <v:imagedata r:id="rId71" o:title=""/>
                </v:shape>
                <o:OLEObject Type="Embed" ProgID="Equation.DSMT4" ShapeID="_x0000_i1056" DrawAspect="Content" ObjectID="_1479797620" r:id="rId72"/>
              </w:object>
            </w:r>
          </w:p>
        </w:tc>
        <w:tc>
          <w:tcPr>
            <w:tcW w:w="550" w:type="dxa"/>
            <w:tcBorders>
              <w:top w:val="single" w:sz="4" w:space="0" w:color="auto"/>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b/>
                <w:bCs/>
                <w:i/>
                <w:iCs/>
                <w:sz w:val="20"/>
                <w:szCs w:val="20"/>
              </w:rPr>
            </w:pPr>
            <w:r w:rsidRPr="00616CA4">
              <w:rPr>
                <w:b/>
                <w:bCs/>
                <w:i/>
                <w:iCs/>
                <w:position w:val="-10"/>
                <w:sz w:val="20"/>
                <w:szCs w:val="20"/>
              </w:rPr>
              <w:object w:dxaOrig="340" w:dyaOrig="300">
                <v:shape id="_x0000_i1057" type="#_x0000_t75" style="width:16.5pt;height:15pt" o:ole="">
                  <v:imagedata r:id="rId73" o:title=""/>
                </v:shape>
                <o:OLEObject Type="Embed" ProgID="Equation.DSMT4" ShapeID="_x0000_i1057" DrawAspect="Content" ObjectID="_1479797621" r:id="rId74"/>
              </w:objec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ADPL</w:t>
            </w:r>
          </w:p>
        </w:tc>
        <w:tc>
          <w:tcPr>
            <w:tcW w:w="1980" w:type="dxa"/>
            <w:gridSpan w:val="2"/>
            <w:tcBorders>
              <w:top w:val="single" w:sz="4" w:space="0" w:color="auto"/>
              <w:left w:val="nil"/>
              <w:bottom w:val="nil"/>
              <w:right w:val="single" w:sz="4" w:space="0" w:color="000000"/>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-0.022 (0.02)</w:t>
            </w:r>
          </w:p>
        </w:tc>
        <w:tc>
          <w:tcPr>
            <w:tcW w:w="990" w:type="dxa"/>
            <w:tcBorders>
              <w:top w:val="single" w:sz="4" w:space="0" w:color="auto"/>
              <w:left w:val="nil"/>
              <w:bottom w:val="nil"/>
              <w:right w:val="nil"/>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0.250 (0.285)</w:t>
            </w:r>
          </w:p>
        </w:tc>
        <w:tc>
          <w:tcPr>
            <w:tcW w:w="995"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0.671 (0.232)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0.134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0.777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0.835</w:t>
            </w:r>
          </w:p>
        </w:tc>
      </w:tr>
      <w:tr w:rsidR="00747FBC" w:rsidRPr="00616CA4" w:rsidTr="00747FBC">
        <w:trPr>
          <w:trHeight w:val="25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ADRS</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-0.037 (0.007)</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-0.002  (0.010)</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0.016 (0.058)</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0.854 (0.063)</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0.544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0.829</w:t>
            </w:r>
          </w:p>
        </w:tc>
      </w:tr>
      <w:tr w:rsidR="00747FBC" w:rsidRPr="00616CA4" w:rsidTr="00747FBC">
        <w:trPr>
          <w:trHeight w:val="356"/>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ARNT</w:t>
            </w:r>
          </w:p>
        </w:tc>
        <w:tc>
          <w:tcPr>
            <w:tcW w:w="1980" w:type="dxa"/>
            <w:gridSpan w:val="2"/>
            <w:tcBorders>
              <w:top w:val="single" w:sz="4" w:space="0" w:color="auto"/>
              <w:left w:val="nil"/>
              <w:bottom w:val="single" w:sz="4" w:space="0" w:color="auto"/>
              <w:right w:val="single" w:sz="4" w:space="0" w:color="000000"/>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0.002 (0.012)</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0.569 (0.347)</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0.627 (0.197)</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0.053</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0.095</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0.927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0.988</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ATPL</w:t>
            </w:r>
          </w:p>
        </w:tc>
        <w:tc>
          <w:tcPr>
            <w:tcW w:w="990" w:type="dxa"/>
            <w:tcBorders>
              <w:top w:val="nil"/>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-0.040 (0.014)</w:t>
            </w:r>
            <w:r w:rsidRPr="00616CA4">
              <w:rPr>
                <w:sz w:val="20"/>
                <w:szCs w:val="20"/>
                <w:vertAlign w:val="superscript"/>
              </w:rPr>
              <w:t>***</w:t>
            </w:r>
          </w:p>
        </w:tc>
        <w:tc>
          <w:tcPr>
            <w:tcW w:w="990" w:type="dxa"/>
            <w:tcBorders>
              <w:top w:val="nil"/>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0.040  (0.028)</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0.587 (0.162)</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1.148 (0.290)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0.058</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0.144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0.887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0.777</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BLJE</w:t>
            </w:r>
          </w:p>
        </w:tc>
        <w:tc>
          <w:tcPr>
            <w:tcW w:w="990" w:type="dxa"/>
            <w:tcBorders>
              <w:top w:val="single" w:sz="4" w:space="0" w:color="auto"/>
              <w:left w:val="nil"/>
              <w:bottom w:val="nil"/>
              <w:right w:val="nil"/>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-0.034 (0.010)</w:t>
            </w:r>
            <w:r w:rsidRPr="00616CA4">
              <w:rPr>
                <w:sz w:val="20"/>
                <w:szCs w:val="20"/>
                <w:vertAlign w:val="superscript"/>
              </w:rPr>
              <w:t>***</w:t>
            </w:r>
          </w:p>
        </w:tc>
        <w:tc>
          <w:tcPr>
            <w:tcW w:w="990"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0.028 (0.036)</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0.652 (0.105)</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0.180 (0.394)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0.384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0.911</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0.825</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DDJH</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-0.039 (0.001)</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-0.013 (0.010)</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0.015 (0.011)</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0.858 (0.088)</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0.315</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0.801</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0.969</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DLKV</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-0.014 (0.013)</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-0.067 (0.039)</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0.890 (0.340)</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0.614 (0.160)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0.072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0.156</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0.969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0.952</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ERNT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0.019 (0.040)</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-0.027 (0.022)</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0.614 (0.160)</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0.890 (0.340)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0.049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0.071</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0.726</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0.900</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HUPZ</w:t>
            </w:r>
          </w:p>
        </w:tc>
        <w:tc>
          <w:tcPr>
            <w:tcW w:w="1980" w:type="dxa"/>
            <w:gridSpan w:val="2"/>
            <w:tcBorders>
              <w:top w:val="single" w:sz="4" w:space="0" w:color="auto"/>
              <w:left w:val="nil"/>
              <w:bottom w:val="nil"/>
              <w:right w:val="single" w:sz="4" w:space="0" w:color="000000"/>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-0.025 (0.334)</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0.315 (9.763)</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-0.433 (133.844)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0.198</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0.990</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0.965</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INGR</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0.028 (0.156)</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-0.079 (0.013)</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0.406 (1.623)</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0.555 (0.117)</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0.170</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0.360</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0.985</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0.991</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KOEI</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0.018 (0.007)</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-0.038 (0.064)</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0.992 (0.105)</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0.689 (0.293)</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0.139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0.986</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0.946</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KORF</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-0.009 (0.024)</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-0.0001 (0.047)</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0.973 (0.393)</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0.677 (0.591)</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0.126</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0.870</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0.773</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KRAS</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-0.011 (0.009)</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-0.079 (0.021)</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0.358 (0.234)</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0.239 (0.070)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0.053</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0.084</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0.986</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0.949</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LEDO</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-0.006 (0.009)</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0.025 (0.029)</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0.640 (0.204)</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0.902 (0.260)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0.058</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0.167</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0.968</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0.961</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LKPC</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-0.012 (0.018)</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-0.036 (0.005)</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0.001 (0.068)</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0.898 (0.209)</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0.018</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0.136</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0.800</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0.882</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LKRI</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-0.020 (0.009)</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-0.007 (0.025)</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0.061 (0.234)</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0.979 (0.321)</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0.030</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0.129</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0.796</w:t>
            </w:r>
          </w:p>
        </w:tc>
        <w:tc>
          <w:tcPr>
            <w:tcW w:w="550" w:type="dxa"/>
            <w:tcBorders>
              <w:top w:val="single" w:sz="4" w:space="0" w:color="auto"/>
              <w:left w:val="nil"/>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0.934</w:t>
            </w:r>
          </w:p>
        </w:tc>
      </w:tr>
      <w:tr w:rsidR="00747FBC" w:rsidRPr="00616CA4" w:rsidTr="00747FBC">
        <w:trPr>
          <w:trHeight w:val="338"/>
        </w:trPr>
        <w:tc>
          <w:tcPr>
            <w:tcW w:w="810"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PODR</w:t>
            </w:r>
          </w:p>
        </w:tc>
        <w:tc>
          <w:tcPr>
            <w:tcW w:w="1980" w:type="dxa"/>
            <w:gridSpan w:val="2"/>
            <w:tcBorders>
              <w:top w:val="single" w:sz="4" w:space="0" w:color="auto"/>
              <w:left w:val="nil"/>
              <w:bottom w:val="nil"/>
              <w:right w:val="single" w:sz="4" w:space="0" w:color="000000"/>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-0.015 (0.007)</w:t>
            </w:r>
            <w:r w:rsidRPr="00616CA4">
              <w:rPr>
                <w:sz w:val="20"/>
                <w:szCs w:val="20"/>
                <w:vertAlign w:val="superscript"/>
              </w:rPr>
              <w:t>**</w:t>
            </w:r>
          </w:p>
        </w:tc>
        <w:tc>
          <w:tcPr>
            <w:tcW w:w="990" w:type="dxa"/>
            <w:tcBorders>
              <w:top w:val="single" w:sz="4" w:space="0" w:color="auto"/>
              <w:left w:val="nil"/>
              <w:bottom w:val="nil"/>
              <w:right w:val="nil"/>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0.676 (0.130)</w:t>
            </w:r>
            <w:r w:rsidRPr="00616CA4">
              <w:rPr>
                <w:sz w:val="20"/>
                <w:szCs w:val="20"/>
                <w:vertAlign w:val="superscript"/>
              </w:rPr>
              <w:t>***</w:t>
            </w:r>
          </w:p>
        </w:tc>
        <w:tc>
          <w:tcPr>
            <w:tcW w:w="995" w:type="dxa"/>
            <w:tcBorders>
              <w:top w:val="single" w:sz="4" w:space="0" w:color="auto"/>
              <w:left w:val="single" w:sz="4" w:space="0" w:color="auto"/>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0.442 (0.090)</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0.042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0.979</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0.972</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PTKM</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0.062 (0.006)</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-0.019 (0.013)</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-4.089 (0.359)</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0.615 (0.224)</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0.011</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0.108</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0.520</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0.980</w:t>
            </w:r>
          </w:p>
        </w:tc>
      </w:tr>
      <w:tr w:rsidR="00747FBC" w:rsidRPr="00616CA4" w:rsidTr="00747FBC">
        <w:trPr>
          <w:trHeight w:val="2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ULPL</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-0.038 (0.013)</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-0.026 (0.014)</w:t>
            </w:r>
            <w:r w:rsidRPr="00616CA4">
              <w:rPr>
                <w:sz w:val="20"/>
                <w:szCs w:val="20"/>
                <w:vertAlign w:val="superscript"/>
              </w:rPr>
              <w: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-0.472 (0.253)</w:t>
            </w:r>
            <w:r w:rsidRPr="00616CA4">
              <w:rPr>
                <w:sz w:val="20"/>
                <w:szCs w:val="20"/>
                <w:vertAlign w:val="superscript"/>
              </w:rPr>
              <w:t>*</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0.633 (0.204)</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0.162</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0.986</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0.985</w:t>
            </w:r>
          </w:p>
        </w:tc>
      </w:tr>
      <w:tr w:rsidR="00747FBC" w:rsidRPr="00616CA4" w:rsidTr="00747FBC">
        <w:trPr>
          <w:trHeight w:val="410"/>
        </w:trPr>
        <w:tc>
          <w:tcPr>
            <w:tcW w:w="810" w:type="dxa"/>
            <w:tcBorders>
              <w:top w:val="single" w:sz="4" w:space="0" w:color="auto"/>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VDKT</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-0.021 (0.020)</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0.015 (0.026)</w:t>
            </w:r>
          </w:p>
        </w:tc>
        <w:tc>
          <w:tcPr>
            <w:tcW w:w="99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1.176 (0.887)</w:t>
            </w:r>
          </w:p>
        </w:tc>
        <w:tc>
          <w:tcPr>
            <w:tcW w:w="995"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1.159 (0.324)</w:t>
            </w:r>
            <w:r w:rsidRPr="00616CA4">
              <w:rPr>
                <w:sz w:val="20"/>
                <w:szCs w:val="20"/>
                <w:vertAlign w:val="superscript"/>
              </w:rPr>
              <w:t>***</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0.057</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0.164</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0.785</w:t>
            </w:r>
          </w:p>
        </w:tc>
        <w:tc>
          <w:tcPr>
            <w:tcW w:w="550" w:type="dxa"/>
            <w:tcBorders>
              <w:top w:val="single" w:sz="4" w:space="0" w:color="auto"/>
              <w:left w:val="nil"/>
              <w:bottom w:val="nil"/>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0.920</w:t>
            </w:r>
          </w:p>
        </w:tc>
      </w:tr>
      <w:tr w:rsidR="00747FBC" w:rsidRPr="00616CA4" w:rsidTr="00747FBC">
        <w:trPr>
          <w:trHeight w:val="275"/>
        </w:trPr>
        <w:tc>
          <w:tcPr>
            <w:tcW w:w="810" w:type="dxa"/>
            <w:tcBorders>
              <w:top w:val="single" w:sz="4" w:space="0" w:color="auto"/>
              <w:left w:val="single" w:sz="4" w:space="0" w:color="auto"/>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ZABA</w:t>
            </w:r>
          </w:p>
        </w:tc>
        <w:tc>
          <w:tcPr>
            <w:tcW w:w="99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-0.020 (0.007)</w:t>
            </w:r>
            <w:r w:rsidRPr="00616CA4">
              <w:rPr>
                <w:sz w:val="20"/>
                <w:szCs w:val="20"/>
                <w:vertAlign w:val="superscript"/>
              </w:rPr>
              <w:t>***</w:t>
            </w:r>
          </w:p>
        </w:tc>
        <w:tc>
          <w:tcPr>
            <w:tcW w:w="99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-2.653 (0.243)</w:t>
            </w:r>
            <w:r w:rsidRPr="00616CA4">
              <w:rPr>
                <w:sz w:val="20"/>
                <w:szCs w:val="20"/>
                <w:vertAlign w:val="superscript"/>
              </w:rPr>
              <w:t>***</w:t>
            </w:r>
          </w:p>
        </w:tc>
        <w:tc>
          <w:tcPr>
            <w:tcW w:w="99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0.770 (0.082)</w:t>
            </w:r>
            <w:r w:rsidRPr="00616CA4">
              <w:rPr>
                <w:sz w:val="20"/>
                <w:szCs w:val="20"/>
                <w:vertAlign w:val="superscript"/>
              </w:rPr>
              <w:t>***</w:t>
            </w:r>
          </w:p>
        </w:tc>
        <w:tc>
          <w:tcPr>
            <w:tcW w:w="995"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-11.184 (5.358)</w:t>
            </w:r>
            <w:r w:rsidRPr="00616CA4">
              <w:rPr>
                <w:sz w:val="20"/>
                <w:szCs w:val="20"/>
                <w:vertAlign w:val="superscript"/>
              </w:rPr>
              <w:t>**</w:t>
            </w:r>
            <w:r w:rsidRPr="00616CA4">
              <w:rPr>
                <w:sz w:val="20"/>
                <w:szCs w:val="20"/>
              </w:rPr>
              <w:t xml:space="preserve"> </w:t>
            </w:r>
          </w:p>
        </w:tc>
        <w:tc>
          <w:tcPr>
            <w:tcW w:w="55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0.077</w:t>
            </w:r>
          </w:p>
        </w:tc>
        <w:tc>
          <w:tcPr>
            <w:tcW w:w="55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0.294</w:t>
            </w:r>
          </w:p>
        </w:tc>
        <w:tc>
          <w:tcPr>
            <w:tcW w:w="55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0.900</w:t>
            </w:r>
          </w:p>
        </w:tc>
        <w:tc>
          <w:tcPr>
            <w:tcW w:w="55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hideMark/>
          </w:tcPr>
          <w:p w:rsidR="00747FBC" w:rsidRPr="00616CA4" w:rsidRDefault="00747FBC" w:rsidP="00747FBC">
            <w:pPr>
              <w:jc w:val="center"/>
              <w:rPr>
                <w:sz w:val="20"/>
                <w:szCs w:val="20"/>
              </w:rPr>
            </w:pPr>
            <w:r w:rsidRPr="00616CA4">
              <w:rPr>
                <w:sz w:val="20"/>
                <w:szCs w:val="20"/>
              </w:rPr>
              <w:t>0.100</w:t>
            </w:r>
          </w:p>
        </w:tc>
      </w:tr>
    </w:tbl>
    <w:p w:rsidR="00285EA2" w:rsidRPr="00747FBC" w:rsidRDefault="00747FBC" w:rsidP="00747FBC">
      <w:pPr>
        <w:pStyle w:val="BodyText"/>
        <w:spacing w:before="120"/>
        <w:rPr>
          <w:rStyle w:val="hps"/>
          <w:b w:val="0"/>
          <w:sz w:val="22"/>
          <w:lang w:val="en-US" w:bidi="en-US"/>
        </w:rPr>
      </w:pPr>
      <w:r w:rsidRPr="00FF0978">
        <w:rPr>
          <w:b w:val="0"/>
          <w:sz w:val="22"/>
          <w:szCs w:val="22"/>
        </w:rPr>
        <w:t xml:space="preserve">Table 1: </w:t>
      </w:r>
      <w:proofErr w:type="spellStart"/>
      <w:r w:rsidRPr="00FF0978">
        <w:rPr>
          <w:b w:val="0"/>
          <w:sz w:val="22"/>
          <w:lang w:val="en-US" w:bidi="en-US"/>
        </w:rPr>
        <w:t>Markow</w:t>
      </w:r>
      <w:proofErr w:type="spellEnd"/>
      <w:r w:rsidRPr="00FF0978">
        <w:rPr>
          <w:b w:val="0"/>
          <w:sz w:val="22"/>
          <w:lang w:val="en-US" w:bidi="en-US"/>
        </w:rPr>
        <w:t>-switching CAPM results</w:t>
      </w:r>
    </w:p>
    <w:p w:rsidR="000D3BE4" w:rsidRPr="00FF0978" w:rsidRDefault="000D3BE4" w:rsidP="000D3BE4">
      <w:pPr>
        <w:jc w:val="both"/>
        <w:rPr>
          <w:rStyle w:val="hps"/>
          <w:sz w:val="22"/>
          <w:szCs w:val="22"/>
        </w:rPr>
      </w:pPr>
      <w:r w:rsidRPr="00FF0978">
        <w:rPr>
          <w:rStyle w:val="hps"/>
          <w:sz w:val="22"/>
          <w:szCs w:val="22"/>
        </w:rPr>
        <w:lastRenderedPageBreak/>
        <w:t>Note: M</w:t>
      </w:r>
      <w:r w:rsidRPr="00FF0978">
        <w:rPr>
          <w:rStyle w:val="hps"/>
          <w:sz w:val="22"/>
          <w:szCs w:val="22"/>
          <w:vertAlign w:val="subscript"/>
        </w:rPr>
        <w:t>2</w:t>
      </w:r>
      <w:r w:rsidRPr="00FF0978">
        <w:rPr>
          <w:rStyle w:val="hps"/>
          <w:sz w:val="22"/>
          <w:szCs w:val="22"/>
        </w:rPr>
        <w:t xml:space="preserve"> model was chosen for ADPL, ARNT, HUPZ and PODR. For every other stock</w:t>
      </w:r>
      <w:r w:rsidR="00616CA4">
        <w:rPr>
          <w:rStyle w:val="hps"/>
          <w:sz w:val="22"/>
          <w:szCs w:val="22"/>
        </w:rPr>
        <w:t>,</w:t>
      </w:r>
      <w:r w:rsidRPr="00FF0978">
        <w:rPr>
          <w:rStyle w:val="hps"/>
          <w:sz w:val="22"/>
          <w:szCs w:val="22"/>
        </w:rPr>
        <w:t xml:space="preserve"> model M</w:t>
      </w:r>
      <w:r w:rsidRPr="00FF0978">
        <w:rPr>
          <w:rStyle w:val="hps"/>
          <w:sz w:val="22"/>
          <w:szCs w:val="22"/>
          <w:vertAlign w:val="subscript"/>
        </w:rPr>
        <w:t>3</w:t>
      </w:r>
      <w:r w:rsidR="00616CA4">
        <w:rPr>
          <w:rStyle w:val="hps"/>
          <w:sz w:val="22"/>
          <w:szCs w:val="22"/>
        </w:rPr>
        <w:t xml:space="preserve"> was chosen. The f</w:t>
      </w:r>
      <w:r w:rsidRPr="00FF0978">
        <w:rPr>
          <w:rStyle w:val="hps"/>
          <w:sz w:val="22"/>
          <w:szCs w:val="22"/>
        </w:rPr>
        <w:t xml:space="preserve">irst four columns for each stock report estimated coefficients along with standard errors. Low and high stand for low and high volatility on </w:t>
      </w:r>
      <w:r w:rsidR="009155B8">
        <w:rPr>
          <w:rStyle w:val="hps"/>
          <w:sz w:val="22"/>
          <w:szCs w:val="22"/>
        </w:rPr>
        <w:t xml:space="preserve">the </w:t>
      </w:r>
      <w:r w:rsidRPr="00FF0978">
        <w:rPr>
          <w:rStyle w:val="hps"/>
          <w:sz w:val="22"/>
          <w:szCs w:val="22"/>
        </w:rPr>
        <w:t>stock market</w:t>
      </w:r>
      <w:r w:rsidR="009155B8">
        <w:rPr>
          <w:rStyle w:val="hps"/>
          <w:sz w:val="22"/>
          <w:szCs w:val="22"/>
        </w:rPr>
        <w:t>,</w:t>
      </w:r>
      <w:r w:rsidRPr="00FF0978">
        <w:rPr>
          <w:rStyle w:val="hps"/>
          <w:sz w:val="22"/>
          <w:szCs w:val="22"/>
        </w:rPr>
        <w:t xml:space="preserve"> respectfully. </w:t>
      </w:r>
      <w:r w:rsidRPr="00FF0978">
        <w:rPr>
          <w:rStyle w:val="hps"/>
          <w:sz w:val="22"/>
          <w:szCs w:val="22"/>
        </w:rPr>
        <w:object w:dxaOrig="220" w:dyaOrig="260">
          <v:shape id="_x0000_i1058" type="#_x0000_t75" style="width:11.25pt;height:12.75pt" o:ole="">
            <v:imagedata r:id="rId75" o:title=""/>
          </v:shape>
          <o:OLEObject Type="Embed" ProgID="Equation.DSMT4" ShapeID="_x0000_i1058" DrawAspect="Content" ObjectID="_1479797622" r:id="rId76"/>
        </w:object>
      </w:r>
      <w:proofErr w:type="gramStart"/>
      <w:r w:rsidRPr="00FF0978">
        <w:rPr>
          <w:bCs/>
          <w:sz w:val="22"/>
          <w:szCs w:val="22"/>
          <w:vertAlign w:val="subscript"/>
        </w:rPr>
        <w:t>low</w:t>
      </w:r>
      <w:proofErr w:type="gramEnd"/>
      <w:r w:rsidRPr="00FF0978">
        <w:rPr>
          <w:bCs/>
          <w:sz w:val="22"/>
          <w:szCs w:val="22"/>
        </w:rPr>
        <w:t xml:space="preserve"> and </w:t>
      </w:r>
      <w:r w:rsidRPr="00FF0978">
        <w:rPr>
          <w:rStyle w:val="hps"/>
          <w:sz w:val="22"/>
          <w:szCs w:val="22"/>
        </w:rPr>
        <w:object w:dxaOrig="220" w:dyaOrig="260">
          <v:shape id="_x0000_i1059" type="#_x0000_t75" style="width:11.25pt;height:12.75pt" o:ole="">
            <v:imagedata r:id="rId75" o:title=""/>
          </v:shape>
          <o:OLEObject Type="Embed" ProgID="Equation.DSMT4" ShapeID="_x0000_i1059" DrawAspect="Content" ObjectID="_1479797623" r:id="rId77"/>
        </w:object>
      </w:r>
      <w:r w:rsidRPr="00FF0978">
        <w:rPr>
          <w:bCs/>
          <w:sz w:val="22"/>
          <w:szCs w:val="22"/>
          <w:vertAlign w:val="subscript"/>
        </w:rPr>
        <w:t>high</w:t>
      </w:r>
      <w:r w:rsidRPr="00FF0978">
        <w:rPr>
          <w:bCs/>
          <w:sz w:val="22"/>
          <w:szCs w:val="22"/>
        </w:rPr>
        <w:t xml:space="preserve"> report error standard deviations, </w:t>
      </w:r>
      <w:r w:rsidRPr="00FF0978">
        <w:rPr>
          <w:b/>
          <w:bCs/>
          <w:i/>
          <w:iCs/>
          <w:position w:val="-10"/>
          <w:sz w:val="22"/>
          <w:szCs w:val="22"/>
        </w:rPr>
        <w:object w:dxaOrig="320" w:dyaOrig="300">
          <v:shape id="_x0000_i1060" type="#_x0000_t75" style="width:15.75pt;height:15pt" o:ole="">
            <v:imagedata r:id="rId71" o:title=""/>
          </v:shape>
          <o:OLEObject Type="Embed" ProgID="Equation.DSMT4" ShapeID="_x0000_i1060" DrawAspect="Content" ObjectID="_1479797624" r:id="rId78"/>
        </w:object>
      </w:r>
      <w:r w:rsidRPr="00FF0978">
        <w:rPr>
          <w:bCs/>
          <w:sz w:val="22"/>
          <w:szCs w:val="22"/>
        </w:rPr>
        <w:t>/</w:t>
      </w:r>
      <w:r w:rsidRPr="00FF0978">
        <w:rPr>
          <w:b/>
          <w:bCs/>
          <w:i/>
          <w:iCs/>
          <w:position w:val="-10"/>
          <w:sz w:val="22"/>
          <w:szCs w:val="22"/>
        </w:rPr>
        <w:object w:dxaOrig="340" w:dyaOrig="300">
          <v:shape id="_x0000_i1061" type="#_x0000_t75" style="width:16.5pt;height:15pt" o:ole="">
            <v:imagedata r:id="rId73" o:title=""/>
          </v:shape>
          <o:OLEObject Type="Embed" ProgID="Equation.DSMT4" ShapeID="_x0000_i1061" DrawAspect="Content" ObjectID="_1479797625" r:id="rId79"/>
        </w:object>
      </w:r>
      <w:r w:rsidRPr="00FF0978">
        <w:rPr>
          <w:bCs/>
          <w:sz w:val="22"/>
          <w:szCs w:val="22"/>
        </w:rPr>
        <w:t xml:space="preserve"> reports probability that a state of </w:t>
      </w:r>
      <w:r w:rsidR="009155B8">
        <w:rPr>
          <w:bCs/>
          <w:sz w:val="22"/>
          <w:szCs w:val="22"/>
        </w:rPr>
        <w:t xml:space="preserve">a </w:t>
      </w:r>
      <w:r w:rsidRPr="00FF0978">
        <w:rPr>
          <w:bCs/>
          <w:sz w:val="22"/>
          <w:szCs w:val="22"/>
        </w:rPr>
        <w:t xml:space="preserve">low/high volatility regime will occur after a low/high volatility regime. </w:t>
      </w:r>
      <w:r w:rsidRPr="00FF0978">
        <w:rPr>
          <w:bCs/>
          <w:sz w:val="22"/>
          <w:szCs w:val="22"/>
          <w:vertAlign w:val="superscript"/>
        </w:rPr>
        <w:t>***</w:t>
      </w:r>
      <w:r w:rsidRPr="00FF0978">
        <w:rPr>
          <w:bCs/>
          <w:sz w:val="22"/>
          <w:szCs w:val="22"/>
        </w:rPr>
        <w:t xml:space="preserve">, </w:t>
      </w:r>
      <w:r w:rsidRPr="00FF0978">
        <w:rPr>
          <w:bCs/>
          <w:sz w:val="22"/>
          <w:szCs w:val="22"/>
          <w:vertAlign w:val="superscript"/>
        </w:rPr>
        <w:t>**</w:t>
      </w:r>
      <w:r w:rsidRPr="00FF0978">
        <w:rPr>
          <w:bCs/>
          <w:sz w:val="22"/>
          <w:szCs w:val="22"/>
        </w:rPr>
        <w:t xml:space="preserve"> and </w:t>
      </w:r>
      <w:r w:rsidRPr="00FF0978">
        <w:rPr>
          <w:bCs/>
          <w:sz w:val="22"/>
          <w:szCs w:val="22"/>
          <w:vertAlign w:val="superscript"/>
        </w:rPr>
        <w:t>*</w:t>
      </w:r>
      <w:r w:rsidRPr="00FF0978">
        <w:rPr>
          <w:bCs/>
          <w:sz w:val="22"/>
          <w:szCs w:val="22"/>
        </w:rPr>
        <w:t xml:space="preserve"> indicate significance on</w:t>
      </w:r>
      <w:r w:rsidR="009155B8">
        <w:rPr>
          <w:bCs/>
          <w:sz w:val="22"/>
          <w:szCs w:val="22"/>
        </w:rPr>
        <w:t xml:space="preserve"> a</w:t>
      </w:r>
      <w:r w:rsidRPr="00FF0978">
        <w:rPr>
          <w:bCs/>
          <w:sz w:val="22"/>
          <w:szCs w:val="22"/>
        </w:rPr>
        <w:t xml:space="preserve"> 1%, 5% and 10%</w:t>
      </w:r>
      <w:r w:rsidR="009155B8">
        <w:rPr>
          <w:bCs/>
          <w:sz w:val="22"/>
          <w:szCs w:val="22"/>
        </w:rPr>
        <w:t xml:space="preserve"> level,</w:t>
      </w:r>
      <w:r w:rsidRPr="00FF0978">
        <w:rPr>
          <w:bCs/>
          <w:sz w:val="22"/>
          <w:szCs w:val="22"/>
        </w:rPr>
        <w:t xml:space="preserve"> respectfully. Each model was estimated with an assumption of Student</w:t>
      </w:r>
      <w:r w:rsidR="009155B8">
        <w:rPr>
          <w:bCs/>
          <w:sz w:val="22"/>
          <w:szCs w:val="22"/>
        </w:rPr>
        <w:t xml:space="preserve">’s </w:t>
      </w:r>
      <w:r w:rsidRPr="00FF0978">
        <w:rPr>
          <w:bCs/>
          <w:sz w:val="22"/>
          <w:szCs w:val="22"/>
        </w:rPr>
        <w:t>t</w:t>
      </w:r>
      <w:r w:rsidR="009155B8">
        <w:rPr>
          <w:bCs/>
          <w:sz w:val="22"/>
          <w:szCs w:val="22"/>
        </w:rPr>
        <w:t>-</w:t>
      </w:r>
      <w:r w:rsidRPr="00FF0978">
        <w:rPr>
          <w:bCs/>
          <w:sz w:val="22"/>
          <w:szCs w:val="22"/>
        </w:rPr>
        <w:t xml:space="preserve">distribution, because the </w:t>
      </w:r>
      <w:proofErr w:type="spellStart"/>
      <w:r w:rsidRPr="00FF0978">
        <w:rPr>
          <w:bCs/>
          <w:sz w:val="22"/>
          <w:szCs w:val="22"/>
        </w:rPr>
        <w:t>Jarque</w:t>
      </w:r>
      <w:proofErr w:type="spellEnd"/>
      <w:r w:rsidRPr="00FF0978">
        <w:rPr>
          <w:bCs/>
          <w:sz w:val="22"/>
          <w:szCs w:val="22"/>
        </w:rPr>
        <w:t xml:space="preserve"> </w:t>
      </w:r>
      <w:proofErr w:type="spellStart"/>
      <w:r w:rsidRPr="00FF0978">
        <w:rPr>
          <w:bCs/>
          <w:sz w:val="22"/>
          <w:szCs w:val="22"/>
        </w:rPr>
        <w:t>Bera</w:t>
      </w:r>
      <w:proofErr w:type="spellEnd"/>
      <w:r w:rsidRPr="00FF0978">
        <w:rPr>
          <w:bCs/>
          <w:sz w:val="22"/>
          <w:szCs w:val="22"/>
        </w:rPr>
        <w:t xml:space="preserve"> test rejected the hypothesis of normal distribution of error terms on usual levels of statistical significance. Furthermore, </w:t>
      </w:r>
      <w:proofErr w:type="spellStart"/>
      <w:r w:rsidRPr="00FF0978">
        <w:rPr>
          <w:bCs/>
          <w:sz w:val="22"/>
          <w:szCs w:val="22"/>
        </w:rPr>
        <w:t>Ljung</w:t>
      </w:r>
      <w:proofErr w:type="spellEnd"/>
      <w:r w:rsidRPr="00FF0978">
        <w:rPr>
          <w:bCs/>
          <w:sz w:val="22"/>
          <w:szCs w:val="22"/>
        </w:rPr>
        <w:t xml:space="preserve"> Box test was performed on the residuals and squared residuals and on usual levels of statistical significance there is</w:t>
      </w:r>
      <w:r w:rsidR="009155B8">
        <w:rPr>
          <w:bCs/>
          <w:sz w:val="22"/>
          <w:szCs w:val="22"/>
        </w:rPr>
        <w:t xml:space="preserve"> no problem of autocorrelation </w:t>
      </w:r>
      <w:r w:rsidRPr="00FF0978">
        <w:rPr>
          <w:bCs/>
          <w:sz w:val="22"/>
          <w:szCs w:val="22"/>
        </w:rPr>
        <w:t xml:space="preserve">or </w:t>
      </w:r>
      <w:proofErr w:type="spellStart"/>
      <w:r w:rsidRPr="00FF0978">
        <w:rPr>
          <w:bCs/>
          <w:sz w:val="22"/>
          <w:szCs w:val="22"/>
        </w:rPr>
        <w:t>heteroskedasticity</w:t>
      </w:r>
      <w:proofErr w:type="spellEnd"/>
      <w:r w:rsidRPr="00FF0978">
        <w:rPr>
          <w:bCs/>
          <w:sz w:val="22"/>
          <w:szCs w:val="22"/>
        </w:rPr>
        <w:t xml:space="preserve"> up to lag 12.</w:t>
      </w:r>
    </w:p>
    <w:p w:rsidR="000D3BE4" w:rsidRPr="001B487D" w:rsidRDefault="000D3BE4" w:rsidP="000D3BE4">
      <w:pPr>
        <w:pStyle w:val="BodyText"/>
        <w:ind w:left="770" w:hanging="784"/>
        <w:jc w:val="left"/>
        <w:rPr>
          <w:b w:val="0"/>
          <w:sz w:val="24"/>
          <w:szCs w:val="22"/>
        </w:rPr>
      </w:pPr>
    </w:p>
    <w:p w:rsidR="000D3BE4" w:rsidRPr="00FF0978" w:rsidRDefault="000D3BE4" w:rsidP="00285EA2">
      <w:pPr>
        <w:autoSpaceDE w:val="0"/>
        <w:autoSpaceDN w:val="0"/>
        <w:adjustRightInd w:val="0"/>
        <w:jc w:val="both"/>
        <w:rPr>
          <w:rFonts w:eastAsia="Calibri"/>
          <w:szCs w:val="22"/>
          <w:lang w:eastAsia="hr-HR"/>
        </w:rPr>
      </w:pPr>
      <w:r w:rsidRPr="00FF0978">
        <w:rPr>
          <w:rFonts w:eastAsia="Calibri"/>
          <w:szCs w:val="22"/>
          <w:lang w:eastAsia="hr-HR"/>
        </w:rPr>
        <w:t xml:space="preserve">Furthermore, </w:t>
      </w:r>
      <w:r w:rsidR="009155B8">
        <w:rPr>
          <w:rFonts w:eastAsia="Calibri"/>
          <w:szCs w:val="22"/>
          <w:lang w:eastAsia="hr-HR"/>
        </w:rPr>
        <w:t xml:space="preserve">the </w:t>
      </w:r>
      <w:r w:rsidRPr="00FF0978">
        <w:rPr>
          <w:rFonts w:eastAsia="Calibri"/>
          <w:szCs w:val="22"/>
          <w:lang w:eastAsia="hr-HR"/>
        </w:rPr>
        <w:t>number of months needed for switching from</w:t>
      </w:r>
      <w:r w:rsidR="009155B8">
        <w:rPr>
          <w:rFonts w:eastAsia="Calibri"/>
          <w:szCs w:val="22"/>
          <w:lang w:eastAsia="hr-HR"/>
        </w:rPr>
        <w:t xml:space="preserve"> a</w:t>
      </w:r>
      <w:r w:rsidRPr="00FF0978">
        <w:rPr>
          <w:rFonts w:eastAsia="Calibri"/>
          <w:szCs w:val="22"/>
          <w:lang w:eastAsia="hr-HR"/>
        </w:rPr>
        <w:t xml:space="preserve"> low to</w:t>
      </w:r>
      <w:r w:rsidR="009155B8">
        <w:rPr>
          <w:rFonts w:eastAsia="Calibri"/>
          <w:szCs w:val="22"/>
          <w:lang w:eastAsia="hr-HR"/>
        </w:rPr>
        <w:t xml:space="preserve"> a</w:t>
      </w:r>
      <w:r w:rsidRPr="00FF0978">
        <w:rPr>
          <w:rFonts w:eastAsia="Calibri"/>
          <w:szCs w:val="22"/>
          <w:lang w:eastAsia="hr-HR"/>
        </w:rPr>
        <w:t xml:space="preserve"> high regime ranges from 2.1 to 112.1 months, and 3.1 to 101 months vice versa</w:t>
      </w:r>
      <w:r w:rsidRPr="00FF0978">
        <w:rPr>
          <w:rStyle w:val="FootnoteReference"/>
          <w:rFonts w:eastAsia="Calibri"/>
          <w:szCs w:val="22"/>
          <w:lang w:eastAsia="hr-HR"/>
        </w:rPr>
        <w:footnoteReference w:id="11"/>
      </w:r>
      <w:r w:rsidRPr="00FF0978">
        <w:rPr>
          <w:rFonts w:eastAsia="Calibri"/>
          <w:szCs w:val="22"/>
          <w:lang w:eastAsia="hr-HR"/>
        </w:rPr>
        <w:t>. 18 high and 14 low volatility regime transition probabilities are higher than 0.8; and on average</w:t>
      </w:r>
      <w:r w:rsidR="009155B8">
        <w:rPr>
          <w:rFonts w:eastAsia="Calibri"/>
          <w:szCs w:val="22"/>
          <w:lang w:eastAsia="hr-HR"/>
        </w:rPr>
        <w:t xml:space="preserve"> a</w:t>
      </w:r>
      <w:r w:rsidRPr="00FF0978">
        <w:rPr>
          <w:rFonts w:eastAsia="Calibri"/>
          <w:szCs w:val="22"/>
          <w:lang w:eastAsia="hr-HR"/>
        </w:rPr>
        <w:t xml:space="preserve"> high volatility transition probability is equal to 0.88, while for the low it is equal to 0.86. This persistency is in accordance with other studies of CEE markets (see, for example</w:t>
      </w:r>
      <w:r w:rsidR="009155B8">
        <w:rPr>
          <w:rFonts w:eastAsia="Calibri"/>
          <w:szCs w:val="22"/>
          <w:lang w:eastAsia="hr-HR"/>
        </w:rPr>
        <w:t>,</w:t>
      </w:r>
      <w:r w:rsidRPr="00FF0978">
        <w:rPr>
          <w:rFonts w:eastAsia="Calibri"/>
          <w:szCs w:val="22"/>
          <w:lang w:eastAsia="hr-HR"/>
        </w:rPr>
        <w:t xml:space="preserve"> Kouretas and </w:t>
      </w:r>
      <w:proofErr w:type="spellStart"/>
      <w:r w:rsidRPr="00FF0978">
        <w:rPr>
          <w:rFonts w:eastAsia="Calibri"/>
          <w:szCs w:val="22"/>
          <w:lang w:eastAsia="hr-HR"/>
        </w:rPr>
        <w:t>Syllignakis</w:t>
      </w:r>
      <w:proofErr w:type="spellEnd"/>
      <w:r w:rsidRPr="00FF0978">
        <w:rPr>
          <w:rFonts w:eastAsia="Calibri"/>
          <w:szCs w:val="22"/>
          <w:lang w:eastAsia="hr-HR"/>
        </w:rPr>
        <w:t xml:space="preserve"> [32] or </w:t>
      </w:r>
      <w:proofErr w:type="spellStart"/>
      <w:r w:rsidRPr="00FF0978">
        <w:rPr>
          <w:rFonts w:eastAsia="Calibri"/>
          <w:szCs w:val="22"/>
          <w:lang w:eastAsia="hr-HR"/>
        </w:rPr>
        <w:t>Schröder</w:t>
      </w:r>
      <w:proofErr w:type="spellEnd"/>
      <w:r w:rsidRPr="00FF0978">
        <w:rPr>
          <w:rFonts w:eastAsia="Calibri"/>
          <w:szCs w:val="22"/>
          <w:lang w:eastAsia="hr-HR"/>
        </w:rPr>
        <w:t xml:space="preserve"> [41]). </w:t>
      </w:r>
    </w:p>
    <w:p w:rsidR="000D3BE4" w:rsidRPr="00FF0978" w:rsidRDefault="000D3BE4" w:rsidP="00285EA2">
      <w:pPr>
        <w:autoSpaceDE w:val="0"/>
        <w:autoSpaceDN w:val="0"/>
        <w:adjustRightInd w:val="0"/>
        <w:ind w:firstLine="432"/>
        <w:jc w:val="both"/>
        <w:rPr>
          <w:rFonts w:eastAsia="Calibri"/>
          <w:szCs w:val="22"/>
          <w:lang w:eastAsia="hr-HR"/>
        </w:rPr>
      </w:pPr>
      <w:r w:rsidRPr="00FF0978">
        <w:rPr>
          <w:rFonts w:eastAsia="Calibri"/>
          <w:szCs w:val="22"/>
          <w:lang w:eastAsia="hr-HR"/>
        </w:rPr>
        <w:t>Finally, an example of estimated smoothed probability for</w:t>
      </w:r>
      <w:r w:rsidR="005406D1">
        <w:rPr>
          <w:rFonts w:eastAsia="Calibri"/>
          <w:szCs w:val="22"/>
          <w:lang w:eastAsia="hr-HR"/>
        </w:rPr>
        <w:t xml:space="preserve"> a</w:t>
      </w:r>
      <w:r w:rsidRPr="00FF0978">
        <w:rPr>
          <w:rFonts w:eastAsia="Calibri"/>
          <w:szCs w:val="22"/>
          <w:lang w:eastAsia="hr-HR"/>
        </w:rPr>
        <w:t xml:space="preserve"> high volatility regime of </w:t>
      </w:r>
      <w:r w:rsidR="005406D1" w:rsidRPr="00FF0978">
        <w:rPr>
          <w:rFonts w:eastAsia="Calibri"/>
          <w:szCs w:val="22"/>
          <w:lang w:eastAsia="hr-HR"/>
        </w:rPr>
        <w:t xml:space="preserve">LEDO </w:t>
      </w:r>
      <w:r w:rsidRPr="00FF0978">
        <w:rPr>
          <w:rFonts w:eastAsia="Calibri"/>
          <w:szCs w:val="22"/>
          <w:lang w:eastAsia="hr-HR"/>
        </w:rPr>
        <w:t>stock was graphically constructed and compared to the m</w:t>
      </w:r>
      <w:r w:rsidR="005406D1">
        <w:rPr>
          <w:rFonts w:eastAsia="Calibri"/>
          <w:szCs w:val="22"/>
          <w:lang w:eastAsia="hr-HR"/>
        </w:rPr>
        <w:t>ovements on CROBEX return (see F</w:t>
      </w:r>
      <w:r w:rsidRPr="00FF0978">
        <w:rPr>
          <w:rFonts w:eastAsia="Calibri"/>
          <w:szCs w:val="22"/>
          <w:lang w:eastAsia="hr-HR"/>
        </w:rPr>
        <w:t>igure 1). As can be seen, the chosen regime switching model is adequate. When the market return exhibits</w:t>
      </w:r>
      <w:r w:rsidR="005406D1">
        <w:rPr>
          <w:rFonts w:eastAsia="Calibri"/>
          <w:szCs w:val="22"/>
          <w:lang w:eastAsia="hr-HR"/>
        </w:rPr>
        <w:t xml:space="preserve"> a</w:t>
      </w:r>
      <w:r w:rsidRPr="00FF0978">
        <w:rPr>
          <w:rFonts w:eastAsia="Calibri"/>
          <w:szCs w:val="22"/>
          <w:lang w:eastAsia="hr-HR"/>
        </w:rPr>
        <w:t xml:space="preserve"> higher volatility, the transition probability </w:t>
      </w:r>
      <w:r w:rsidRPr="00FF0978">
        <w:rPr>
          <w:rFonts w:eastAsia="Calibri"/>
          <w:i/>
          <w:szCs w:val="22"/>
          <w:lang w:eastAsia="hr-HR"/>
        </w:rPr>
        <w:t>p</w:t>
      </w:r>
      <w:r w:rsidRPr="00FF0978">
        <w:rPr>
          <w:rFonts w:eastAsia="Calibri"/>
          <w:szCs w:val="22"/>
          <w:vertAlign w:val="subscript"/>
          <w:lang w:eastAsia="hr-HR"/>
        </w:rPr>
        <w:t>22</w:t>
      </w:r>
      <w:r w:rsidRPr="00FF0978">
        <w:rPr>
          <w:rFonts w:eastAsia="Calibri"/>
          <w:szCs w:val="22"/>
          <w:lang w:eastAsia="hr-HR"/>
        </w:rPr>
        <w:t xml:space="preserve"> is high, thus indicating that the market is in a high volatility regime. The results correspond to the matching time span part in </w:t>
      </w:r>
      <w:proofErr w:type="spellStart"/>
      <w:r w:rsidRPr="00FF0978">
        <w:rPr>
          <w:rFonts w:eastAsia="Calibri"/>
          <w:szCs w:val="22"/>
          <w:lang w:eastAsia="hr-HR"/>
        </w:rPr>
        <w:t>Kunovac</w:t>
      </w:r>
      <w:proofErr w:type="spellEnd"/>
      <w:r w:rsidRPr="00FF0978">
        <w:rPr>
          <w:rFonts w:eastAsia="Calibri"/>
          <w:szCs w:val="22"/>
          <w:lang w:eastAsia="hr-HR"/>
        </w:rPr>
        <w:t xml:space="preserve"> [34].</w:t>
      </w:r>
    </w:p>
    <w:p w:rsidR="000D3BE4" w:rsidRPr="008677CE" w:rsidRDefault="000D3BE4" w:rsidP="000D3BE4">
      <w:pPr>
        <w:pStyle w:val="BodyText"/>
        <w:ind w:left="770" w:hanging="784"/>
        <w:jc w:val="left"/>
        <w:rPr>
          <w:b w:val="0"/>
          <w:sz w:val="24"/>
          <w:szCs w:val="22"/>
        </w:rPr>
      </w:pPr>
    </w:p>
    <w:p w:rsidR="000D3BE4" w:rsidRPr="00FF0978" w:rsidRDefault="000D3BE4" w:rsidP="001B487D">
      <w:pPr>
        <w:pStyle w:val="BodyText"/>
        <w:ind w:left="770" w:hanging="784"/>
        <w:rPr>
          <w:b w:val="0"/>
          <w:sz w:val="22"/>
          <w:szCs w:val="22"/>
        </w:rPr>
      </w:pPr>
      <w:r w:rsidRPr="00FF0978">
        <w:rPr>
          <w:noProof/>
          <w:sz w:val="22"/>
          <w:szCs w:val="22"/>
          <w:lang w:val="en-US"/>
        </w:rPr>
        <w:drawing>
          <wp:inline distT="0" distB="0" distL="0" distR="0" wp14:anchorId="13ED5E0F" wp14:editId="143E1F86">
            <wp:extent cx="2992582" cy="179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29050" cy="1815684"/>
                    </a:xfrm>
                    <a:prstGeom prst="rect">
                      <a:avLst/>
                    </a:prstGeom>
                    <a:noFill/>
                    <a:ln>
                      <a:noFill/>
                    </a:ln>
                  </pic:spPr>
                </pic:pic>
              </a:graphicData>
            </a:graphic>
          </wp:inline>
        </w:drawing>
      </w:r>
    </w:p>
    <w:p w:rsidR="000D3BE4" w:rsidRPr="00A60347" w:rsidRDefault="000D3BE4" w:rsidP="00A60347">
      <w:pPr>
        <w:spacing w:before="120"/>
        <w:jc w:val="center"/>
        <w:rPr>
          <w:sz w:val="22"/>
          <w:szCs w:val="22"/>
          <w:lang w:eastAsia="hr-HR"/>
        </w:rPr>
      </w:pPr>
      <w:r w:rsidRPr="00FF0978">
        <w:rPr>
          <w:sz w:val="22"/>
          <w:szCs w:val="22"/>
          <w:lang w:eastAsia="hr-HR"/>
        </w:rPr>
        <w:t>Figure 1: Smoothed probability in a high volatility regime for LEDO</w:t>
      </w:r>
      <w:r w:rsidR="005406D1">
        <w:rPr>
          <w:sz w:val="22"/>
          <w:szCs w:val="22"/>
          <w:lang w:eastAsia="hr-HR"/>
        </w:rPr>
        <w:t xml:space="preserve"> </w:t>
      </w:r>
      <w:r w:rsidR="005406D1" w:rsidRPr="00FF0978">
        <w:rPr>
          <w:sz w:val="22"/>
          <w:szCs w:val="22"/>
          <w:lang w:eastAsia="hr-HR"/>
        </w:rPr>
        <w:t>stock</w:t>
      </w:r>
    </w:p>
    <w:p w:rsidR="000D3BE4" w:rsidRPr="007049E4" w:rsidRDefault="000D3BE4" w:rsidP="000D3BE4">
      <w:pPr>
        <w:pStyle w:val="ListParagraph"/>
        <w:numPr>
          <w:ilvl w:val="0"/>
          <w:numId w:val="19"/>
        </w:numPr>
        <w:jc w:val="both"/>
        <w:rPr>
          <w:b/>
          <w:sz w:val="28"/>
        </w:rPr>
      </w:pPr>
      <w:r w:rsidRPr="007049E4">
        <w:rPr>
          <w:b/>
          <w:sz w:val="28"/>
          <w:lang w:eastAsia="hr-HR"/>
        </w:rPr>
        <w:lastRenderedPageBreak/>
        <w:t>Discussion and conclusion</w:t>
      </w:r>
    </w:p>
    <w:p w:rsidR="00285EA2" w:rsidRPr="00FF0978" w:rsidRDefault="00285EA2" w:rsidP="00285EA2">
      <w:pPr>
        <w:jc w:val="both"/>
        <w:rPr>
          <w:szCs w:val="22"/>
        </w:rPr>
      </w:pPr>
    </w:p>
    <w:p w:rsidR="000D3BE4" w:rsidRPr="00FF0978" w:rsidRDefault="005406D1" w:rsidP="00285EA2">
      <w:pPr>
        <w:jc w:val="both"/>
      </w:pPr>
      <w:r>
        <w:rPr>
          <w:szCs w:val="22"/>
        </w:rPr>
        <w:t>D</w:t>
      </w:r>
      <w:r w:rsidRPr="00FF0978">
        <w:rPr>
          <w:szCs w:val="22"/>
        </w:rPr>
        <w:t xml:space="preserve">espite its many flaws </w:t>
      </w:r>
      <w:r>
        <w:rPr>
          <w:szCs w:val="22"/>
        </w:rPr>
        <w:t>t</w:t>
      </w:r>
      <w:r w:rsidR="000D3BE4" w:rsidRPr="00FF0978">
        <w:rPr>
          <w:szCs w:val="22"/>
        </w:rPr>
        <w:t xml:space="preserve">he original CAPM model </w:t>
      </w:r>
      <w:r>
        <w:rPr>
          <w:szCs w:val="22"/>
        </w:rPr>
        <w:t>plays</w:t>
      </w:r>
      <w:r w:rsidR="000D3BE4" w:rsidRPr="00FF0978">
        <w:rPr>
          <w:szCs w:val="22"/>
        </w:rPr>
        <w:t xml:space="preserve"> an important role in finance and Modern Portfolio Theory. The model’s validity has been questioned on the Croatian capital market. Thus, this study has attempted to reconsider the model by incorporating regime switching methodology. Regime switching models have been proven to capture the nonlinearities between stock return and risk. The results of the empirical investigation point out that beta, and even Jensen’s alpha</w:t>
      </w:r>
      <w:r>
        <w:rPr>
          <w:szCs w:val="22"/>
        </w:rPr>
        <w:t>,</w:t>
      </w:r>
      <w:r w:rsidR="000D3BE4" w:rsidRPr="00FF0978">
        <w:rPr>
          <w:szCs w:val="22"/>
        </w:rPr>
        <w:t xml:space="preserve"> vary over time. There exists </w:t>
      </w:r>
      <w:r>
        <w:rPr>
          <w:szCs w:val="22"/>
        </w:rPr>
        <w:t xml:space="preserve">a </w:t>
      </w:r>
      <w:r w:rsidR="000D3BE4" w:rsidRPr="00FF0978">
        <w:rPr>
          <w:szCs w:val="22"/>
        </w:rPr>
        <w:t>statistically significant difference between betas in different market regimes. In that way, the results from the linear CAPM model when investors consider it can be misleading. It is advisable to apply regime switching methodology when trying to predict stock returns. Some short</w:t>
      </w:r>
      <w:r>
        <w:rPr>
          <w:szCs w:val="22"/>
        </w:rPr>
        <w:t>comings</w:t>
      </w:r>
      <w:r w:rsidR="000D3BE4" w:rsidRPr="00FF0978">
        <w:rPr>
          <w:szCs w:val="22"/>
        </w:rPr>
        <w:t xml:space="preserve"> of this study were the relative short time span of the sample, because there is a lack of liquidity on the Croatian capital market. Only </w:t>
      </w:r>
      <w:r>
        <w:rPr>
          <w:szCs w:val="22"/>
        </w:rPr>
        <w:t xml:space="preserve">the </w:t>
      </w:r>
      <w:r w:rsidR="000D3BE4" w:rsidRPr="00FF0978">
        <w:rPr>
          <w:szCs w:val="22"/>
        </w:rPr>
        <w:t xml:space="preserve">excess market return was observed as an explanatory variable in the model, but there are modifications to the original model (adding book-to-market ratio, size effect, etc.; see </w:t>
      </w:r>
      <w:proofErr w:type="spellStart"/>
      <w:r w:rsidR="000D3BE4" w:rsidRPr="00FF0978">
        <w:rPr>
          <w:szCs w:val="22"/>
        </w:rPr>
        <w:t>Fama</w:t>
      </w:r>
      <w:proofErr w:type="spellEnd"/>
      <w:r w:rsidR="000D3BE4" w:rsidRPr="00FF0978">
        <w:rPr>
          <w:szCs w:val="22"/>
        </w:rPr>
        <w:t xml:space="preserve"> and French [16]). Therefore, more research has to be conducted in this area. Moreover, based on the results from the most adequate model, investment strategies can be formed in order to achieve more reliable results than when not taking into account such nonlinearities and anomalies. Since this is one of the first studies on regime </w:t>
      </w:r>
      <w:r w:rsidR="000D3BE4" w:rsidRPr="00FF0978">
        <w:t>switching on</w:t>
      </w:r>
      <w:r>
        <w:t xml:space="preserve"> the</w:t>
      </w:r>
      <w:r w:rsidR="000D3BE4" w:rsidRPr="00FF0978">
        <w:t xml:space="preserve"> Croatian capital market, it will hopefully contribute to the existing literature on investing.</w:t>
      </w:r>
    </w:p>
    <w:p w:rsidR="00285EA2" w:rsidRPr="001B487D" w:rsidRDefault="00285EA2" w:rsidP="00285EA2">
      <w:pPr>
        <w:jc w:val="both"/>
        <w:rPr>
          <w:szCs w:val="22"/>
        </w:rPr>
      </w:pPr>
    </w:p>
    <w:p w:rsidR="000D3BE4" w:rsidRPr="007049E4" w:rsidRDefault="000D3BE4" w:rsidP="00A60347">
      <w:pPr>
        <w:rPr>
          <w:b/>
          <w:sz w:val="28"/>
          <w:szCs w:val="22"/>
        </w:rPr>
      </w:pPr>
      <w:r w:rsidRPr="007049E4">
        <w:rPr>
          <w:b/>
          <w:sz w:val="28"/>
          <w:szCs w:val="22"/>
        </w:rPr>
        <w:t>References</w:t>
      </w:r>
    </w:p>
    <w:p w:rsidR="000D3BE4" w:rsidRPr="001B487D" w:rsidRDefault="000D3BE4" w:rsidP="00285EA2">
      <w:pPr>
        <w:jc w:val="both"/>
        <w:rPr>
          <w:b/>
          <w:szCs w:val="22"/>
        </w:rPr>
      </w:pPr>
    </w:p>
    <w:p w:rsidR="000D3BE4" w:rsidRPr="003B0746" w:rsidRDefault="000D3BE4" w:rsidP="001B487D">
      <w:pPr>
        <w:pStyle w:val="ListParagraph"/>
        <w:numPr>
          <w:ilvl w:val="0"/>
          <w:numId w:val="20"/>
        </w:numPr>
        <w:jc w:val="both"/>
      </w:pPr>
      <w:proofErr w:type="spellStart"/>
      <w:r w:rsidRPr="003B0746">
        <w:t>Abdymomunov</w:t>
      </w:r>
      <w:proofErr w:type="spellEnd"/>
      <w:r w:rsidRPr="003B0746">
        <w:t>, A. and Morley, J. (2011). Time variation of CAPM betas across market volatility regimes. Applie</w:t>
      </w:r>
      <w:r w:rsidR="00192D6E">
        <w:t>d Financial Economics, 21, 146–</w:t>
      </w:r>
      <w:r w:rsidRPr="003B0746">
        <w:t>1478.</w:t>
      </w:r>
    </w:p>
    <w:p w:rsidR="000D3BE4" w:rsidRPr="003B0746" w:rsidRDefault="000D3BE4" w:rsidP="001B487D">
      <w:pPr>
        <w:pStyle w:val="ListParagraph"/>
        <w:numPr>
          <w:ilvl w:val="0"/>
          <w:numId w:val="20"/>
        </w:numPr>
        <w:jc w:val="both"/>
      </w:pPr>
      <w:proofErr w:type="spellStart"/>
      <w:r w:rsidRPr="003B0746">
        <w:t>Aljinović</w:t>
      </w:r>
      <w:proofErr w:type="spellEnd"/>
      <w:r w:rsidRPr="003B0746">
        <w:t xml:space="preserve">, Z., </w:t>
      </w:r>
      <w:proofErr w:type="spellStart"/>
      <w:r w:rsidRPr="003B0746">
        <w:t>Marasović</w:t>
      </w:r>
      <w:proofErr w:type="spellEnd"/>
      <w:r w:rsidRPr="003B0746">
        <w:t xml:space="preserve">, B. and </w:t>
      </w:r>
      <w:proofErr w:type="spellStart"/>
      <w:r w:rsidRPr="003B0746">
        <w:t>Šego</w:t>
      </w:r>
      <w:proofErr w:type="spellEnd"/>
      <w:r w:rsidRPr="003B0746">
        <w:t xml:space="preserve">, B. (2011). </w:t>
      </w:r>
      <w:proofErr w:type="spellStart"/>
      <w:r w:rsidRPr="003B0746">
        <w:t>Financijsko</w:t>
      </w:r>
      <w:proofErr w:type="spellEnd"/>
      <w:r w:rsidRPr="003B0746">
        <w:t xml:space="preserve"> </w:t>
      </w:r>
      <w:proofErr w:type="spellStart"/>
      <w:r w:rsidRPr="003B0746">
        <w:t>modeliranje</w:t>
      </w:r>
      <w:proofErr w:type="spellEnd"/>
      <w:r w:rsidRPr="003B0746">
        <w:t xml:space="preserve">, </w:t>
      </w:r>
      <w:proofErr w:type="spellStart"/>
      <w:r w:rsidRPr="003B0746">
        <w:t>drugo</w:t>
      </w:r>
      <w:proofErr w:type="spellEnd"/>
      <w:r w:rsidRPr="003B0746">
        <w:t xml:space="preserve"> </w:t>
      </w:r>
      <w:proofErr w:type="spellStart"/>
      <w:r w:rsidRPr="003B0746">
        <w:t>izmijenjeno</w:t>
      </w:r>
      <w:proofErr w:type="spellEnd"/>
      <w:r w:rsidRPr="003B0746">
        <w:t xml:space="preserve"> </w:t>
      </w:r>
      <w:proofErr w:type="spellStart"/>
      <w:r w:rsidRPr="003B0746">
        <w:t>i</w:t>
      </w:r>
      <w:proofErr w:type="spellEnd"/>
      <w:r w:rsidRPr="003B0746">
        <w:t xml:space="preserve"> </w:t>
      </w:r>
      <w:proofErr w:type="spellStart"/>
      <w:r w:rsidRPr="003B0746">
        <w:t>dopunjeno</w:t>
      </w:r>
      <w:proofErr w:type="spellEnd"/>
      <w:r w:rsidRPr="003B0746">
        <w:t xml:space="preserve"> </w:t>
      </w:r>
      <w:proofErr w:type="spellStart"/>
      <w:r w:rsidRPr="003B0746">
        <w:t>izdanje</w:t>
      </w:r>
      <w:proofErr w:type="spellEnd"/>
      <w:r w:rsidRPr="003B0746">
        <w:t xml:space="preserve">, </w:t>
      </w:r>
      <w:proofErr w:type="spellStart"/>
      <w:r w:rsidRPr="003B0746">
        <w:t>Sveučilište</w:t>
      </w:r>
      <w:proofErr w:type="spellEnd"/>
      <w:r w:rsidRPr="003B0746">
        <w:t xml:space="preserve"> u </w:t>
      </w:r>
      <w:proofErr w:type="spellStart"/>
      <w:r w:rsidRPr="003B0746">
        <w:t>Splitu</w:t>
      </w:r>
      <w:proofErr w:type="spellEnd"/>
      <w:r w:rsidRPr="003B0746">
        <w:t xml:space="preserve">, </w:t>
      </w:r>
      <w:proofErr w:type="spellStart"/>
      <w:r w:rsidRPr="003B0746">
        <w:t>Ekonomski</w:t>
      </w:r>
      <w:proofErr w:type="spellEnd"/>
      <w:r w:rsidRPr="003B0746">
        <w:t xml:space="preserve"> </w:t>
      </w:r>
      <w:proofErr w:type="spellStart"/>
      <w:r w:rsidRPr="003B0746">
        <w:t>fakultet</w:t>
      </w:r>
      <w:proofErr w:type="spellEnd"/>
      <w:r w:rsidRPr="003B0746">
        <w:t>.</w:t>
      </w:r>
    </w:p>
    <w:p w:rsidR="000D3BE4" w:rsidRPr="003B0746" w:rsidRDefault="000D3BE4" w:rsidP="001B487D">
      <w:pPr>
        <w:pStyle w:val="ListParagraph"/>
        <w:numPr>
          <w:ilvl w:val="0"/>
          <w:numId w:val="20"/>
        </w:numPr>
        <w:jc w:val="both"/>
      </w:pPr>
      <w:r w:rsidRPr="003B0746">
        <w:t xml:space="preserve">Andrews, D. W. K. (1993). Tests for parameter instability and structural change with unknown change point. </w:t>
      </w:r>
      <w:proofErr w:type="spellStart"/>
      <w:r w:rsidRPr="003B0746">
        <w:t>Econometrica</w:t>
      </w:r>
      <w:proofErr w:type="spellEnd"/>
      <w:r w:rsidRPr="003B0746">
        <w:t>, 61, 821</w:t>
      </w:r>
      <w:r w:rsidR="00192D6E">
        <w:t>–</w:t>
      </w:r>
      <w:r w:rsidRPr="003B0746">
        <w:t>856.</w:t>
      </w:r>
    </w:p>
    <w:p w:rsidR="000D3BE4" w:rsidRPr="003B0746" w:rsidRDefault="000D3BE4" w:rsidP="001B487D">
      <w:pPr>
        <w:pStyle w:val="ListParagraph"/>
        <w:numPr>
          <w:ilvl w:val="0"/>
          <w:numId w:val="20"/>
        </w:numPr>
        <w:jc w:val="both"/>
      </w:pPr>
      <w:r w:rsidRPr="003B0746">
        <w:t xml:space="preserve">Andrews, D. W. K. and </w:t>
      </w:r>
      <w:proofErr w:type="spellStart"/>
      <w:r w:rsidRPr="003B0746">
        <w:t>Ploberger</w:t>
      </w:r>
      <w:proofErr w:type="spellEnd"/>
      <w:r w:rsidRPr="003B0746">
        <w:t xml:space="preserve">, W. (1994). Optimal Tests When a Nuisance Parameter Is Present Only under the Alternative. </w:t>
      </w:r>
      <w:proofErr w:type="spellStart"/>
      <w:r w:rsidRPr="003B0746">
        <w:t>Econometrica</w:t>
      </w:r>
      <w:proofErr w:type="spellEnd"/>
      <w:r w:rsidRPr="003B0746">
        <w:t>, 62(6), 1383</w:t>
      </w:r>
      <w:r w:rsidR="00192D6E">
        <w:t>–</w:t>
      </w:r>
      <w:r w:rsidRPr="003B0746">
        <w:t>1414.</w:t>
      </w:r>
    </w:p>
    <w:p w:rsidR="000D3BE4" w:rsidRPr="003B0746" w:rsidRDefault="00A11623" w:rsidP="001B487D">
      <w:pPr>
        <w:pStyle w:val="ListParagraph"/>
        <w:numPr>
          <w:ilvl w:val="0"/>
          <w:numId w:val="20"/>
        </w:numPr>
        <w:jc w:val="both"/>
      </w:pPr>
      <w:proofErr w:type="spellStart"/>
      <w:r>
        <w:lastRenderedPageBreak/>
        <w:t>Ang</w:t>
      </w:r>
      <w:proofErr w:type="spellEnd"/>
      <w:r>
        <w:t>,</w:t>
      </w:r>
      <w:r w:rsidR="000D3BE4" w:rsidRPr="003B0746">
        <w:t xml:space="preserve"> A.</w:t>
      </w:r>
      <w:r>
        <w:t xml:space="preserve"> </w:t>
      </w:r>
      <w:r w:rsidR="000D3BE4" w:rsidRPr="003B0746">
        <w:t>and Chen, J. (2005). CAPM over the long run: 1926-2001. NBER Working Paper Series, National Bureau of Economic Research.</w:t>
      </w:r>
    </w:p>
    <w:p w:rsidR="000D3BE4" w:rsidRPr="003B0746" w:rsidRDefault="000D3BE4" w:rsidP="001B487D">
      <w:pPr>
        <w:pStyle w:val="ListParagraph"/>
        <w:numPr>
          <w:ilvl w:val="0"/>
          <w:numId w:val="20"/>
        </w:numPr>
        <w:jc w:val="both"/>
      </w:pPr>
      <w:proofErr w:type="spellStart"/>
      <w:r w:rsidRPr="003B0746">
        <w:rPr>
          <w:rFonts w:eastAsia="Calibri"/>
        </w:rPr>
        <w:t>Arnerić</w:t>
      </w:r>
      <w:proofErr w:type="spellEnd"/>
      <w:r w:rsidRPr="003B0746">
        <w:rPr>
          <w:rFonts w:eastAsia="Calibri"/>
        </w:rPr>
        <w:t xml:space="preserve">, J. and </w:t>
      </w:r>
      <w:proofErr w:type="spellStart"/>
      <w:r w:rsidRPr="003B0746">
        <w:rPr>
          <w:rFonts w:eastAsia="Calibri"/>
        </w:rPr>
        <w:t>Erjavec</w:t>
      </w:r>
      <w:proofErr w:type="spellEnd"/>
      <w:r w:rsidRPr="003B0746">
        <w:rPr>
          <w:rFonts w:eastAsia="Calibri"/>
        </w:rPr>
        <w:t>, N. (2010). Regime switching modelling of structural changes caused by financial crisis. Proceedings of th</w:t>
      </w:r>
      <w:r w:rsidR="00A11623">
        <w:rPr>
          <w:rFonts w:eastAsia="Calibri"/>
        </w:rPr>
        <w:t>e 5th International Conference a</w:t>
      </w:r>
      <w:r w:rsidRPr="003B0746">
        <w:rPr>
          <w:rFonts w:eastAsia="Calibri"/>
        </w:rPr>
        <w:t xml:space="preserve">n Enterprise Odyssey: From Crisis to Prosperity - Challenges for Government and Business / </w:t>
      </w:r>
      <w:proofErr w:type="spellStart"/>
      <w:r w:rsidRPr="003B0746">
        <w:rPr>
          <w:rFonts w:eastAsia="Calibri"/>
        </w:rPr>
        <w:t>Galetić</w:t>
      </w:r>
      <w:proofErr w:type="spellEnd"/>
      <w:r w:rsidRPr="003B0746">
        <w:rPr>
          <w:rFonts w:eastAsia="Calibri"/>
        </w:rPr>
        <w:t xml:space="preserve">, L., </w:t>
      </w:r>
      <w:proofErr w:type="spellStart"/>
      <w:r w:rsidRPr="003B0746">
        <w:rPr>
          <w:rFonts w:eastAsia="Calibri"/>
        </w:rPr>
        <w:t>Spremić</w:t>
      </w:r>
      <w:proofErr w:type="spellEnd"/>
      <w:r w:rsidRPr="003B0746">
        <w:rPr>
          <w:rFonts w:eastAsia="Calibri"/>
        </w:rPr>
        <w:t>, M., Ivanov, M. (</w:t>
      </w:r>
      <w:proofErr w:type="spellStart"/>
      <w:proofErr w:type="gramStart"/>
      <w:r w:rsidRPr="003B0746">
        <w:rPr>
          <w:rFonts w:eastAsia="Calibri"/>
        </w:rPr>
        <w:t>ed</w:t>
      </w:r>
      <w:r w:rsidR="00A11623">
        <w:rPr>
          <w:rFonts w:eastAsia="Calibri"/>
        </w:rPr>
        <w:t>s</w:t>
      </w:r>
      <w:proofErr w:type="spellEnd"/>
      <w:proofErr w:type="gramEnd"/>
      <w:r w:rsidRPr="003B0746">
        <w:rPr>
          <w:rFonts w:eastAsia="Calibri"/>
        </w:rPr>
        <w:t>). - Zagreb: Faculty of Economics and Business, 79</w:t>
      </w:r>
      <w:r w:rsidR="00192D6E">
        <w:t>–</w:t>
      </w:r>
      <w:r w:rsidRPr="003B0746">
        <w:rPr>
          <w:rFonts w:eastAsia="Calibri"/>
        </w:rPr>
        <w:t>80.</w:t>
      </w:r>
    </w:p>
    <w:p w:rsidR="000D3BE4" w:rsidRPr="003B0746" w:rsidRDefault="000D3BE4" w:rsidP="001B487D">
      <w:pPr>
        <w:pStyle w:val="ListParagraph"/>
        <w:numPr>
          <w:ilvl w:val="0"/>
          <w:numId w:val="20"/>
        </w:numPr>
        <w:jc w:val="both"/>
      </w:pPr>
      <w:proofErr w:type="spellStart"/>
      <w:r w:rsidRPr="003B0746">
        <w:t>Assoe</w:t>
      </w:r>
      <w:proofErr w:type="spellEnd"/>
      <w:r w:rsidRPr="003B0746">
        <w:t>, K. G. (1998). Regime-switching in emerging stock market returns. Multinational Finance Journal, 2, 101</w:t>
      </w:r>
      <w:r w:rsidR="00192D6E">
        <w:t>–</w:t>
      </w:r>
      <w:r w:rsidRPr="003B0746">
        <w:t>132.</w:t>
      </w:r>
    </w:p>
    <w:p w:rsidR="000D3BE4" w:rsidRPr="003B0746" w:rsidRDefault="000D3BE4" w:rsidP="001B487D">
      <w:pPr>
        <w:pStyle w:val="ListParagraph"/>
        <w:numPr>
          <w:ilvl w:val="0"/>
          <w:numId w:val="20"/>
        </w:numPr>
        <w:jc w:val="both"/>
      </w:pPr>
      <w:proofErr w:type="spellStart"/>
      <w:r w:rsidRPr="003B0746">
        <w:t>Blume</w:t>
      </w:r>
      <w:proofErr w:type="spellEnd"/>
      <w:r w:rsidRPr="003B0746">
        <w:t>, M. E. (1971). On the assessment of risk. Journal of Finance, 26, 1</w:t>
      </w:r>
      <w:r w:rsidR="00192D6E">
        <w:t>–</w:t>
      </w:r>
      <w:r w:rsidRPr="003B0746">
        <w:t>10.</w:t>
      </w:r>
    </w:p>
    <w:p w:rsidR="000D3BE4" w:rsidRPr="003B0746" w:rsidRDefault="000D3BE4" w:rsidP="001B487D">
      <w:pPr>
        <w:pStyle w:val="ListParagraph"/>
        <w:numPr>
          <w:ilvl w:val="0"/>
          <w:numId w:val="20"/>
        </w:numPr>
        <w:jc w:val="both"/>
      </w:pPr>
      <w:r w:rsidRPr="003B0746">
        <w:rPr>
          <w:rFonts w:eastAsia="Calibri"/>
        </w:rPr>
        <w:t xml:space="preserve">Brooks, R., Faff, R. </w:t>
      </w:r>
      <w:r w:rsidRPr="003B0746">
        <w:t>and</w:t>
      </w:r>
      <w:r w:rsidRPr="003B0746">
        <w:rPr>
          <w:rFonts w:eastAsia="Calibri"/>
        </w:rPr>
        <w:t xml:space="preserve"> Lee, J. (1994). Beta stability and portfolio formation. Pacific-Basin Finance Journal, 2, 463</w:t>
      </w:r>
      <w:r w:rsidR="00192D6E">
        <w:t>–</w:t>
      </w:r>
      <w:r w:rsidRPr="003B0746">
        <w:rPr>
          <w:rFonts w:eastAsia="Calibri"/>
        </w:rPr>
        <w:t>479.</w:t>
      </w:r>
    </w:p>
    <w:p w:rsidR="000D3BE4" w:rsidRPr="003B0746" w:rsidRDefault="000D3BE4" w:rsidP="001B487D">
      <w:pPr>
        <w:pStyle w:val="ListParagraph"/>
        <w:numPr>
          <w:ilvl w:val="0"/>
          <w:numId w:val="20"/>
        </w:numPr>
        <w:jc w:val="both"/>
        <w:rPr>
          <w:rFonts w:eastAsia="Calibri"/>
        </w:rPr>
      </w:pPr>
      <w:r w:rsidRPr="003B0746">
        <w:rPr>
          <w:rFonts w:eastAsia="Calibri"/>
        </w:rPr>
        <w:t>Chen, S. N. (1982). An examination of risk-return relationship in bull and bear markets using time-varying security betas. Journal of Financial and Quantitative Analysis, 17, 265</w:t>
      </w:r>
      <w:r w:rsidR="00192D6E">
        <w:t>–</w:t>
      </w:r>
      <w:r w:rsidRPr="003B0746">
        <w:rPr>
          <w:rFonts w:eastAsia="Calibri"/>
        </w:rPr>
        <w:t>286.</w:t>
      </w:r>
    </w:p>
    <w:p w:rsidR="000D3BE4" w:rsidRPr="003B0746" w:rsidRDefault="000D3BE4" w:rsidP="001B487D">
      <w:pPr>
        <w:pStyle w:val="ListParagraph"/>
        <w:numPr>
          <w:ilvl w:val="0"/>
          <w:numId w:val="20"/>
        </w:numPr>
        <w:jc w:val="both"/>
      </w:pPr>
      <w:r w:rsidRPr="003B0746">
        <w:t xml:space="preserve">Davies, R. B. (1977). Hypothesis testing when a nuisance parameter is present only under the alternative. </w:t>
      </w:r>
      <w:proofErr w:type="spellStart"/>
      <w:r w:rsidRPr="003B0746">
        <w:t>Biometrika</w:t>
      </w:r>
      <w:proofErr w:type="spellEnd"/>
      <w:r w:rsidRPr="003B0746">
        <w:t>, 64, 247</w:t>
      </w:r>
      <w:r w:rsidR="00192D6E">
        <w:t>–</w:t>
      </w:r>
      <w:r w:rsidRPr="003B0746">
        <w:t>254.</w:t>
      </w:r>
    </w:p>
    <w:p w:rsidR="000D3BE4" w:rsidRPr="003B0746" w:rsidRDefault="000D3BE4" w:rsidP="001B487D">
      <w:pPr>
        <w:pStyle w:val="ListParagraph"/>
        <w:numPr>
          <w:ilvl w:val="0"/>
          <w:numId w:val="20"/>
        </w:numPr>
        <w:jc w:val="both"/>
      </w:pPr>
      <w:r w:rsidRPr="003B0746">
        <w:t xml:space="preserve">Davies, R. B. (1987). Hypothesis testing when a nuisance parameter is present only under the alternative. </w:t>
      </w:r>
      <w:proofErr w:type="spellStart"/>
      <w:r w:rsidRPr="003B0746">
        <w:t>Biometrika</w:t>
      </w:r>
      <w:proofErr w:type="spellEnd"/>
      <w:r w:rsidRPr="003B0746">
        <w:t>, 74, 33</w:t>
      </w:r>
      <w:r w:rsidR="00192D6E">
        <w:t>–</w:t>
      </w:r>
      <w:r w:rsidRPr="003B0746">
        <w:t>43.</w:t>
      </w:r>
    </w:p>
    <w:p w:rsidR="000D3BE4" w:rsidRPr="003B0746" w:rsidRDefault="000D3BE4" w:rsidP="001B487D">
      <w:pPr>
        <w:pStyle w:val="ListParagraph"/>
        <w:numPr>
          <w:ilvl w:val="0"/>
          <w:numId w:val="20"/>
        </w:numPr>
        <w:jc w:val="both"/>
      </w:pPr>
      <w:proofErr w:type="spellStart"/>
      <w:r w:rsidRPr="003B0746">
        <w:rPr>
          <w:rFonts w:eastAsia="Calibri"/>
        </w:rPr>
        <w:t>Džaja</w:t>
      </w:r>
      <w:proofErr w:type="spellEnd"/>
      <w:r w:rsidRPr="003B0746">
        <w:rPr>
          <w:rFonts w:eastAsia="Calibri"/>
        </w:rPr>
        <w:t xml:space="preserve">, J. and </w:t>
      </w:r>
      <w:proofErr w:type="spellStart"/>
      <w:r w:rsidRPr="003B0746">
        <w:rPr>
          <w:rFonts w:eastAsia="Calibri"/>
        </w:rPr>
        <w:t>Aljinović</w:t>
      </w:r>
      <w:proofErr w:type="spellEnd"/>
      <w:r w:rsidRPr="003B0746">
        <w:rPr>
          <w:rFonts w:eastAsia="Calibri"/>
        </w:rPr>
        <w:t>, Z. (2013). Testing CAPM model on the emerging markets of the Central and Southeastern Europe. Croatian Operational Research Review (CRORR), Vol. 4, 164</w:t>
      </w:r>
      <w:r w:rsidR="00192D6E">
        <w:t>–</w:t>
      </w:r>
      <w:r w:rsidRPr="003B0746">
        <w:rPr>
          <w:rFonts w:eastAsia="Calibri"/>
        </w:rPr>
        <w:t>175.</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Fabozzi</w:t>
      </w:r>
      <w:proofErr w:type="spellEnd"/>
      <w:r w:rsidRPr="003B0746">
        <w:rPr>
          <w:rFonts w:eastAsia="Calibri"/>
        </w:rPr>
        <w:t>, F. and Francis, J. C. (1977). Stability tests for alphas and betas over bull and bear market conditions. Journal of Finance, 32, 1093</w:t>
      </w:r>
      <w:r w:rsidR="00192D6E">
        <w:t>–</w:t>
      </w:r>
      <w:r w:rsidRPr="003B0746">
        <w:rPr>
          <w:rFonts w:eastAsia="Calibri"/>
        </w:rPr>
        <w:t>1099.</w:t>
      </w:r>
    </w:p>
    <w:p w:rsidR="000D3BE4" w:rsidRPr="003B0746" w:rsidRDefault="000D3BE4" w:rsidP="001B487D">
      <w:pPr>
        <w:pStyle w:val="ListParagraph"/>
        <w:numPr>
          <w:ilvl w:val="0"/>
          <w:numId w:val="20"/>
        </w:numPr>
        <w:jc w:val="both"/>
        <w:rPr>
          <w:rFonts w:eastAsia="Calibri"/>
        </w:rPr>
      </w:pPr>
      <w:r w:rsidRPr="003B0746">
        <w:rPr>
          <w:rFonts w:eastAsia="Calibri"/>
        </w:rPr>
        <w:t>Faff, R. W.F. and Brooks, R. D. (1997).  Further evidence on the relationship between beta stabi</w:t>
      </w:r>
      <w:r w:rsidR="008677CE">
        <w:rPr>
          <w:rFonts w:eastAsia="Calibri"/>
        </w:rPr>
        <w:t>lity and the leng</w:t>
      </w:r>
      <w:r w:rsidRPr="003B0746">
        <w:rPr>
          <w:rFonts w:eastAsia="Calibri"/>
        </w:rPr>
        <w:t>t</w:t>
      </w:r>
      <w:r w:rsidR="008677CE">
        <w:rPr>
          <w:rFonts w:eastAsia="Calibri"/>
        </w:rPr>
        <w:t>h</w:t>
      </w:r>
      <w:r w:rsidRPr="003B0746">
        <w:rPr>
          <w:rFonts w:eastAsia="Calibri"/>
        </w:rPr>
        <w:t xml:space="preserve"> of estimation period. Advances in Investment Analysis and Portfolio Management, 4, 97</w:t>
      </w:r>
      <w:r w:rsidR="00192D6E">
        <w:t>–</w:t>
      </w:r>
      <w:r w:rsidRPr="003B0746">
        <w:rPr>
          <w:rFonts w:eastAsia="Calibri"/>
        </w:rPr>
        <w:t>113.</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Fama</w:t>
      </w:r>
      <w:proofErr w:type="spellEnd"/>
      <w:r w:rsidRPr="003B0746">
        <w:rPr>
          <w:rFonts w:eastAsia="Calibri"/>
        </w:rPr>
        <w:t xml:space="preserve"> E. and French, K. (1993). Common risk factor in the returns on stock and bonds. Journal of Financial Economics, 33, 3</w:t>
      </w:r>
      <w:r w:rsidR="00192D6E">
        <w:t>–</w:t>
      </w:r>
      <w:r w:rsidRPr="003B0746">
        <w:rPr>
          <w:rFonts w:eastAsia="Calibri"/>
        </w:rPr>
        <w:t>56.</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Fama</w:t>
      </w:r>
      <w:proofErr w:type="spellEnd"/>
      <w:r w:rsidRPr="003B0746">
        <w:rPr>
          <w:rFonts w:eastAsia="Calibri"/>
        </w:rPr>
        <w:t xml:space="preserve"> E., French, K. (1996). Multifactor Explanations of Asset Pricing Anomalies. Journal of Finance, Vol. 51, </w:t>
      </w:r>
      <w:r w:rsidR="00A11623">
        <w:rPr>
          <w:rFonts w:eastAsia="Calibri"/>
        </w:rPr>
        <w:t>No.</w:t>
      </w:r>
      <w:r w:rsidRPr="003B0746">
        <w:rPr>
          <w:rFonts w:eastAsia="Calibri"/>
        </w:rPr>
        <w:t xml:space="preserve"> 1, 55</w:t>
      </w:r>
      <w:r w:rsidR="00192D6E">
        <w:t>–</w:t>
      </w:r>
      <w:r w:rsidRPr="003B0746">
        <w:rPr>
          <w:rFonts w:eastAsia="Calibri"/>
        </w:rPr>
        <w:t>84.</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Fama</w:t>
      </w:r>
      <w:proofErr w:type="spellEnd"/>
      <w:r w:rsidRPr="003B0746">
        <w:rPr>
          <w:rFonts w:eastAsia="Calibri"/>
        </w:rPr>
        <w:t>, E. and French, K. (1992). The cross-section of expected stock return. Journal of Finance, 47, 427</w:t>
      </w:r>
      <w:r w:rsidR="00192D6E">
        <w:t>–</w:t>
      </w:r>
      <w:r w:rsidRPr="003B0746">
        <w:rPr>
          <w:rFonts w:eastAsia="Calibri"/>
        </w:rPr>
        <w:t>465.</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lastRenderedPageBreak/>
        <w:t>Fama</w:t>
      </w:r>
      <w:proofErr w:type="spellEnd"/>
      <w:r w:rsidRPr="003B0746">
        <w:rPr>
          <w:rFonts w:eastAsia="Calibri"/>
        </w:rPr>
        <w:t>, E. and French, K. (2004). The Capital Asset Pricing Model: Theory and Evidence. Journal of Economic Perspectives, Vol. 18, No</w:t>
      </w:r>
      <w:r w:rsidR="00A11623">
        <w:rPr>
          <w:rFonts w:eastAsia="Calibri"/>
        </w:rPr>
        <w:t>.</w:t>
      </w:r>
      <w:r w:rsidRPr="003B0746">
        <w:rPr>
          <w:rFonts w:eastAsia="Calibri"/>
        </w:rPr>
        <w:t xml:space="preserve"> 3, 25–46.</w:t>
      </w:r>
    </w:p>
    <w:p w:rsidR="000D3BE4" w:rsidRPr="003B0746" w:rsidRDefault="000D3BE4" w:rsidP="001B487D">
      <w:pPr>
        <w:pStyle w:val="ListParagraph"/>
        <w:numPr>
          <w:ilvl w:val="0"/>
          <w:numId w:val="20"/>
        </w:numPr>
        <w:jc w:val="both"/>
      </w:pPr>
      <w:proofErr w:type="spellStart"/>
      <w:r w:rsidRPr="003B0746">
        <w:rPr>
          <w:rFonts w:eastAsia="Calibri"/>
        </w:rPr>
        <w:t>Fruk</w:t>
      </w:r>
      <w:proofErr w:type="spellEnd"/>
      <w:r w:rsidRPr="003B0746">
        <w:rPr>
          <w:rFonts w:eastAsia="Calibri"/>
        </w:rPr>
        <w:t>, M.</w:t>
      </w:r>
      <w:r w:rsidRPr="003B0746">
        <w:t xml:space="preserve"> and</w:t>
      </w:r>
      <w:r w:rsidRPr="003B0746">
        <w:rPr>
          <w:rFonts w:eastAsia="Calibri"/>
        </w:rPr>
        <w:t xml:space="preserve"> </w:t>
      </w:r>
      <w:proofErr w:type="spellStart"/>
      <w:r w:rsidRPr="003B0746">
        <w:rPr>
          <w:rFonts w:eastAsia="Calibri"/>
        </w:rPr>
        <w:t>Huljak</w:t>
      </w:r>
      <w:proofErr w:type="spellEnd"/>
      <w:r w:rsidRPr="003B0746">
        <w:rPr>
          <w:rFonts w:eastAsia="Calibri"/>
        </w:rPr>
        <w:t xml:space="preserve">, I. (2004). </w:t>
      </w:r>
      <w:proofErr w:type="spellStart"/>
      <w:r w:rsidRPr="003B0746">
        <w:rPr>
          <w:rFonts w:eastAsia="Calibri"/>
        </w:rPr>
        <w:t>Testiranje</w:t>
      </w:r>
      <w:proofErr w:type="spellEnd"/>
      <w:r w:rsidRPr="003B0746">
        <w:rPr>
          <w:rFonts w:eastAsia="Calibri"/>
        </w:rPr>
        <w:t xml:space="preserve"> Sharpe-</w:t>
      </w:r>
      <w:proofErr w:type="spellStart"/>
      <w:r w:rsidRPr="003B0746">
        <w:rPr>
          <w:rFonts w:eastAsia="Calibri"/>
        </w:rPr>
        <w:t>Linterova</w:t>
      </w:r>
      <w:proofErr w:type="spellEnd"/>
      <w:r w:rsidRPr="003B0746">
        <w:rPr>
          <w:rFonts w:eastAsia="Calibri"/>
        </w:rPr>
        <w:t xml:space="preserve"> </w:t>
      </w:r>
      <w:proofErr w:type="spellStart"/>
      <w:r w:rsidRPr="003B0746">
        <w:rPr>
          <w:rFonts w:eastAsia="Calibri"/>
        </w:rPr>
        <w:t>modela</w:t>
      </w:r>
      <w:proofErr w:type="spellEnd"/>
      <w:r w:rsidRPr="003B0746">
        <w:rPr>
          <w:rFonts w:eastAsia="Calibri"/>
        </w:rPr>
        <w:t xml:space="preserve"> </w:t>
      </w:r>
      <w:proofErr w:type="spellStart"/>
      <w:proofErr w:type="gramStart"/>
      <w:r w:rsidRPr="003B0746">
        <w:rPr>
          <w:rFonts w:eastAsia="Calibri"/>
        </w:rPr>
        <w:t>na</w:t>
      </w:r>
      <w:proofErr w:type="spellEnd"/>
      <w:proofErr w:type="gramEnd"/>
      <w:r w:rsidRPr="003B0746">
        <w:rPr>
          <w:rFonts w:eastAsia="Calibri"/>
        </w:rPr>
        <w:t xml:space="preserve"> </w:t>
      </w:r>
      <w:proofErr w:type="spellStart"/>
      <w:r w:rsidRPr="003B0746">
        <w:rPr>
          <w:rFonts w:eastAsia="Calibri"/>
        </w:rPr>
        <w:t>Zagrebačkoj</w:t>
      </w:r>
      <w:proofErr w:type="spellEnd"/>
      <w:r w:rsidRPr="003B0746">
        <w:rPr>
          <w:rFonts w:eastAsia="Calibri"/>
        </w:rPr>
        <w:t xml:space="preserve"> </w:t>
      </w:r>
      <w:proofErr w:type="spellStart"/>
      <w:r w:rsidRPr="003B0746">
        <w:rPr>
          <w:rFonts w:eastAsia="Calibri"/>
        </w:rPr>
        <w:t>burzi</w:t>
      </w:r>
      <w:proofErr w:type="spellEnd"/>
      <w:r w:rsidRPr="003B0746">
        <w:rPr>
          <w:rFonts w:eastAsia="Calibri"/>
        </w:rPr>
        <w:t xml:space="preserve">. </w:t>
      </w:r>
      <w:proofErr w:type="spellStart"/>
      <w:r w:rsidRPr="003B0746">
        <w:rPr>
          <w:rFonts w:eastAsia="Calibri"/>
        </w:rPr>
        <w:t>Financijska</w:t>
      </w:r>
      <w:proofErr w:type="spellEnd"/>
      <w:r w:rsidRPr="003B0746">
        <w:rPr>
          <w:rFonts w:eastAsia="Calibri"/>
        </w:rPr>
        <w:t xml:space="preserve"> </w:t>
      </w:r>
      <w:proofErr w:type="spellStart"/>
      <w:r w:rsidRPr="003B0746">
        <w:rPr>
          <w:rFonts w:eastAsia="Calibri"/>
        </w:rPr>
        <w:t>teorija</w:t>
      </w:r>
      <w:proofErr w:type="spellEnd"/>
      <w:r w:rsidRPr="003B0746">
        <w:rPr>
          <w:rFonts w:eastAsia="Calibri"/>
        </w:rPr>
        <w:t xml:space="preserve"> </w:t>
      </w:r>
      <w:proofErr w:type="spellStart"/>
      <w:r w:rsidRPr="003B0746">
        <w:rPr>
          <w:rFonts w:eastAsia="Calibri"/>
        </w:rPr>
        <w:t>i</w:t>
      </w:r>
      <w:proofErr w:type="spellEnd"/>
      <w:r w:rsidRPr="003B0746">
        <w:rPr>
          <w:rFonts w:eastAsia="Calibri"/>
        </w:rPr>
        <w:t xml:space="preserve"> </w:t>
      </w:r>
      <w:proofErr w:type="spellStart"/>
      <w:r w:rsidRPr="003B0746">
        <w:rPr>
          <w:rFonts w:eastAsia="Calibri"/>
        </w:rPr>
        <w:t>praksa</w:t>
      </w:r>
      <w:proofErr w:type="spellEnd"/>
      <w:r w:rsidRPr="003B0746">
        <w:rPr>
          <w:rFonts w:eastAsia="Calibri"/>
        </w:rPr>
        <w:t>, 28 (1), 77</w:t>
      </w:r>
      <w:r w:rsidR="00192D6E">
        <w:t>–</w:t>
      </w:r>
      <w:r w:rsidRPr="003B0746">
        <w:rPr>
          <w:rFonts w:eastAsia="Calibri"/>
        </w:rPr>
        <w:t>91.</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Galagadera</w:t>
      </w:r>
      <w:proofErr w:type="spellEnd"/>
      <w:r w:rsidRPr="003B0746">
        <w:rPr>
          <w:rFonts w:eastAsia="Calibri"/>
        </w:rPr>
        <w:t xml:space="preserve">, D. U. A. and </w:t>
      </w:r>
      <w:proofErr w:type="spellStart"/>
      <w:r w:rsidRPr="003B0746">
        <w:rPr>
          <w:rFonts w:eastAsia="Calibri"/>
        </w:rPr>
        <w:t>Shami</w:t>
      </w:r>
      <w:proofErr w:type="spellEnd"/>
      <w:r w:rsidRPr="003B0746">
        <w:rPr>
          <w:rFonts w:eastAsia="Calibri"/>
        </w:rPr>
        <w:t xml:space="preserve">, R. (2003). Association between Markov regime-switching market volatility and beta risk: Evidence from Dow Jones industrial securities. Working Paper, </w:t>
      </w:r>
      <w:proofErr w:type="spellStart"/>
      <w:r w:rsidRPr="003B0746">
        <w:rPr>
          <w:rFonts w:eastAsia="Calibri"/>
        </w:rPr>
        <w:t>Monash</w:t>
      </w:r>
      <w:proofErr w:type="spellEnd"/>
      <w:r w:rsidRPr="003B0746">
        <w:rPr>
          <w:rFonts w:eastAsia="Calibri"/>
        </w:rPr>
        <w:t xml:space="preserve"> University Australia, ISSN 1440</w:t>
      </w:r>
      <w:r w:rsidR="00192D6E">
        <w:t>–</w:t>
      </w:r>
      <w:r w:rsidRPr="003B0746">
        <w:rPr>
          <w:rFonts w:eastAsia="Calibri"/>
        </w:rPr>
        <w:t>771X.</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t>Guidolin</w:t>
      </w:r>
      <w:proofErr w:type="spellEnd"/>
      <w:r w:rsidRPr="003B0746">
        <w:rPr>
          <w:rFonts w:eastAsia="Calibri"/>
        </w:rPr>
        <w:t xml:space="preserve">, M. (2012). Markov Switching Models in Empirical Science. Working Paper No. 415, IGIER – </w:t>
      </w:r>
      <w:proofErr w:type="spellStart"/>
      <w:r w:rsidRPr="003B0746">
        <w:rPr>
          <w:rFonts w:eastAsia="Calibri"/>
        </w:rPr>
        <w:t>Univeristá</w:t>
      </w:r>
      <w:proofErr w:type="spellEnd"/>
      <w:r w:rsidRPr="003B0746">
        <w:rPr>
          <w:rFonts w:eastAsia="Calibri"/>
        </w:rPr>
        <w:t xml:space="preserve"> </w:t>
      </w:r>
      <w:proofErr w:type="spellStart"/>
      <w:r w:rsidRPr="003B0746">
        <w:rPr>
          <w:rFonts w:eastAsia="Calibri"/>
        </w:rPr>
        <w:t>Bocconi</w:t>
      </w:r>
      <w:proofErr w:type="spellEnd"/>
      <w:r w:rsidRPr="003B0746">
        <w:rPr>
          <w:rFonts w:eastAsia="Calibri"/>
        </w:rPr>
        <w:t>.</w:t>
      </w:r>
    </w:p>
    <w:p w:rsidR="000D3BE4" w:rsidRPr="003B0746" w:rsidRDefault="000D3BE4" w:rsidP="001B487D">
      <w:pPr>
        <w:pStyle w:val="ListParagraph"/>
        <w:numPr>
          <w:ilvl w:val="0"/>
          <w:numId w:val="20"/>
        </w:numPr>
        <w:jc w:val="both"/>
        <w:rPr>
          <w:rFonts w:eastAsia="Calibri"/>
        </w:rPr>
      </w:pPr>
      <w:r w:rsidRPr="003B0746">
        <w:rPr>
          <w:rFonts w:eastAsia="Calibri"/>
        </w:rPr>
        <w:t xml:space="preserve">Hamilton, J. D. (1989). A new approach to the economic analysis of </w:t>
      </w:r>
      <w:proofErr w:type="spellStart"/>
      <w:r w:rsidRPr="003B0746">
        <w:rPr>
          <w:rFonts w:eastAsia="Calibri"/>
        </w:rPr>
        <w:t>nonstationary</w:t>
      </w:r>
      <w:proofErr w:type="spellEnd"/>
      <w:r w:rsidRPr="003B0746">
        <w:rPr>
          <w:rFonts w:eastAsia="Calibri"/>
        </w:rPr>
        <w:t xml:space="preserve"> time series and the business cycle. </w:t>
      </w:r>
      <w:proofErr w:type="spellStart"/>
      <w:r w:rsidRPr="003B0746">
        <w:rPr>
          <w:rFonts w:eastAsia="Calibri"/>
        </w:rPr>
        <w:t>Econometrica</w:t>
      </w:r>
      <w:proofErr w:type="spellEnd"/>
      <w:r w:rsidRPr="003B0746">
        <w:rPr>
          <w:rFonts w:eastAsia="Calibri"/>
        </w:rPr>
        <w:t>, 57(2), 357</w:t>
      </w:r>
      <w:r w:rsidR="00192D6E">
        <w:t>–</w:t>
      </w:r>
      <w:r w:rsidRPr="003B0746">
        <w:rPr>
          <w:rFonts w:eastAsia="Calibri"/>
        </w:rPr>
        <w:t>384.</w:t>
      </w:r>
    </w:p>
    <w:p w:rsidR="000D3BE4" w:rsidRPr="003B0746" w:rsidRDefault="000D3BE4" w:rsidP="001B487D">
      <w:pPr>
        <w:pStyle w:val="ListParagraph"/>
        <w:numPr>
          <w:ilvl w:val="0"/>
          <w:numId w:val="20"/>
        </w:numPr>
        <w:jc w:val="both"/>
        <w:rPr>
          <w:rFonts w:eastAsia="Calibri"/>
        </w:rPr>
      </w:pPr>
      <w:r w:rsidRPr="003B0746">
        <w:rPr>
          <w:rFonts w:eastAsia="Calibri"/>
        </w:rPr>
        <w:t>Hamilton, J. D. (1994). Time Series Analysis. New Jersey: Princeton University Press.</w:t>
      </w:r>
    </w:p>
    <w:p w:rsidR="000D3BE4" w:rsidRPr="003B0746" w:rsidRDefault="000D3BE4" w:rsidP="001B487D">
      <w:pPr>
        <w:pStyle w:val="ListParagraph"/>
        <w:numPr>
          <w:ilvl w:val="0"/>
          <w:numId w:val="20"/>
        </w:numPr>
        <w:jc w:val="both"/>
      </w:pPr>
      <w:r w:rsidRPr="003B0746">
        <w:rPr>
          <w:rFonts w:eastAsia="Calibri"/>
        </w:rPr>
        <w:t>Hansen, B. E. (1992). The likelihood ratio test under nonstandard conditions: Testing the Markov</w:t>
      </w:r>
      <w:r w:rsidRPr="003B0746">
        <w:t xml:space="preserve"> switching model of GNP. Journal of Applied Econometrics, 7, S61</w:t>
      </w:r>
      <w:r w:rsidR="00192D6E">
        <w:t>–</w:t>
      </w:r>
      <w:r w:rsidRPr="003B0746">
        <w:t>S82.</w:t>
      </w:r>
    </w:p>
    <w:p w:rsidR="000D3BE4" w:rsidRPr="003B0746" w:rsidRDefault="000D3BE4" w:rsidP="001B487D">
      <w:pPr>
        <w:pStyle w:val="ListParagraph"/>
        <w:numPr>
          <w:ilvl w:val="0"/>
          <w:numId w:val="20"/>
        </w:numPr>
        <w:jc w:val="both"/>
      </w:pPr>
      <w:r w:rsidRPr="003B0746">
        <w:t>Huang, H-C. (2000). Tests of regimes-switching CAPM. Applied Financial Economics, 10, 573</w:t>
      </w:r>
      <w:r w:rsidR="00192D6E">
        <w:t>–</w:t>
      </w:r>
      <w:r w:rsidRPr="003B0746">
        <w:t>578.</w:t>
      </w:r>
    </w:p>
    <w:p w:rsidR="000D3BE4" w:rsidRPr="003B0746" w:rsidRDefault="000D3BE4" w:rsidP="001B487D">
      <w:pPr>
        <w:pStyle w:val="ListParagraph"/>
        <w:numPr>
          <w:ilvl w:val="0"/>
          <w:numId w:val="20"/>
        </w:numPr>
        <w:jc w:val="both"/>
        <w:rPr>
          <w:rFonts w:eastAsia="Calibri"/>
        </w:rPr>
      </w:pPr>
      <w:proofErr w:type="spellStart"/>
      <w:r w:rsidRPr="003B0746">
        <w:t>Jagannathan</w:t>
      </w:r>
      <w:proofErr w:type="spellEnd"/>
      <w:r w:rsidRPr="003B0746">
        <w:t>, R.</w:t>
      </w:r>
      <w:r w:rsidRPr="003B0746">
        <w:rPr>
          <w:rFonts w:eastAsia="Calibri"/>
        </w:rPr>
        <w:t xml:space="preserve"> and</w:t>
      </w:r>
      <w:r w:rsidRPr="003B0746">
        <w:t xml:space="preserve"> Wang, Z. (1996). The conditional CAPM and the cross-section of expected returns. The Journal of Finance, 51(1), 3</w:t>
      </w:r>
      <w:r w:rsidR="00192D6E">
        <w:t>–</w:t>
      </w:r>
      <w:r w:rsidRPr="003B0746">
        <w:t>53.</w:t>
      </w:r>
    </w:p>
    <w:p w:rsidR="000D3BE4" w:rsidRPr="003B0746" w:rsidRDefault="000D3BE4" w:rsidP="001B487D">
      <w:pPr>
        <w:pStyle w:val="ListParagraph"/>
        <w:numPr>
          <w:ilvl w:val="0"/>
          <w:numId w:val="20"/>
        </w:numPr>
        <w:jc w:val="both"/>
      </w:pPr>
      <w:r w:rsidRPr="003B0746">
        <w:t>Jensen, M. C. (1968). The Performance of Mutual Funds in the Period 1945</w:t>
      </w:r>
      <w:r w:rsidR="00654AC4">
        <w:t>–</w:t>
      </w:r>
      <w:r w:rsidRPr="003B0746">
        <w:t>1964. Journal of Finance, 23, 389</w:t>
      </w:r>
      <w:r w:rsidR="00192D6E">
        <w:t>–</w:t>
      </w:r>
      <w:r w:rsidRPr="003B0746">
        <w:t>416.</w:t>
      </w:r>
    </w:p>
    <w:p w:rsidR="000D3BE4" w:rsidRPr="003B0746" w:rsidRDefault="000D3BE4" w:rsidP="001B487D">
      <w:pPr>
        <w:pStyle w:val="ListParagraph"/>
        <w:numPr>
          <w:ilvl w:val="0"/>
          <w:numId w:val="20"/>
        </w:numPr>
        <w:jc w:val="both"/>
      </w:pPr>
      <w:r w:rsidRPr="003B0746">
        <w:rPr>
          <w:rFonts w:eastAsia="Calibri"/>
        </w:rPr>
        <w:t>Kim, C. J., Morley, J. C. and Nelson, C. R. (2004). Is there a positive relationship between stock market volatility and the equity premium? Journal of Money, Credit, and Banking, 36, 339–60.</w:t>
      </w:r>
    </w:p>
    <w:p w:rsidR="000D3BE4" w:rsidRPr="003B0746" w:rsidRDefault="000D3BE4" w:rsidP="001B487D">
      <w:pPr>
        <w:pStyle w:val="ListParagraph"/>
        <w:numPr>
          <w:ilvl w:val="0"/>
          <w:numId w:val="20"/>
        </w:numPr>
        <w:jc w:val="both"/>
        <w:rPr>
          <w:rFonts w:eastAsia="Calibri"/>
        </w:rPr>
      </w:pPr>
      <w:r w:rsidRPr="003B0746">
        <w:rPr>
          <w:rFonts w:eastAsia="Calibri"/>
        </w:rPr>
        <w:t>Kim, C-J. (1994). Dynamic linear models with Markov-switching. Journal of Econometrics, 60, 1</w:t>
      </w:r>
      <w:r w:rsidR="00654AC4">
        <w:t>–</w:t>
      </w:r>
      <w:r w:rsidRPr="003B0746">
        <w:rPr>
          <w:rFonts w:eastAsia="Calibri"/>
        </w:rPr>
        <w:t>22.</w:t>
      </w:r>
    </w:p>
    <w:p w:rsidR="000D3BE4" w:rsidRPr="003B0746" w:rsidRDefault="000D3BE4" w:rsidP="001B487D">
      <w:pPr>
        <w:pStyle w:val="ListParagraph"/>
        <w:numPr>
          <w:ilvl w:val="0"/>
          <w:numId w:val="20"/>
        </w:numPr>
        <w:jc w:val="both"/>
      </w:pPr>
      <w:proofErr w:type="spellStart"/>
      <w:r w:rsidRPr="003B0746">
        <w:t>Korkmaz</w:t>
      </w:r>
      <w:proofErr w:type="spellEnd"/>
      <w:r w:rsidRPr="003B0746">
        <w:t xml:space="preserve">, T., </w:t>
      </w:r>
      <w:proofErr w:type="spellStart"/>
      <w:r w:rsidRPr="003B0746">
        <w:rPr>
          <w:rFonts w:eastAsia="Calibri"/>
        </w:rPr>
        <w:t>Çevik</w:t>
      </w:r>
      <w:proofErr w:type="spellEnd"/>
      <w:r w:rsidRPr="003B0746">
        <w:rPr>
          <w:rFonts w:eastAsia="Calibri"/>
        </w:rPr>
        <w:t xml:space="preserve">, E. I. and </w:t>
      </w:r>
      <w:proofErr w:type="spellStart"/>
      <w:r w:rsidRPr="003B0746">
        <w:rPr>
          <w:rFonts w:eastAsia="Calibri"/>
        </w:rPr>
        <w:t>Gürkan</w:t>
      </w:r>
      <w:proofErr w:type="spellEnd"/>
      <w:r w:rsidRPr="003B0746">
        <w:rPr>
          <w:rFonts w:eastAsia="Calibri"/>
        </w:rPr>
        <w:t xml:space="preserve">, S. (2010). Testing of the international capital asset pricing model with Markov switching model in emerging markets. Investment Management and Financial Innovations, Vol. 7, </w:t>
      </w:r>
      <w:r w:rsidR="00A11623">
        <w:rPr>
          <w:rFonts w:eastAsia="Calibri"/>
        </w:rPr>
        <w:t>No.</w:t>
      </w:r>
      <w:r w:rsidRPr="003B0746">
        <w:rPr>
          <w:rFonts w:eastAsia="Calibri"/>
        </w:rPr>
        <w:t xml:space="preserve"> 1, 37</w:t>
      </w:r>
      <w:r w:rsidR="00654AC4">
        <w:t>–</w:t>
      </w:r>
      <w:r w:rsidRPr="003B0746">
        <w:rPr>
          <w:rFonts w:eastAsia="Calibri"/>
        </w:rPr>
        <w:t>49.</w:t>
      </w:r>
    </w:p>
    <w:p w:rsidR="000D3BE4" w:rsidRPr="003B0746" w:rsidRDefault="000D3BE4" w:rsidP="001B487D">
      <w:pPr>
        <w:pStyle w:val="ListParagraph"/>
        <w:numPr>
          <w:ilvl w:val="0"/>
          <w:numId w:val="20"/>
        </w:numPr>
        <w:jc w:val="both"/>
      </w:pPr>
      <w:r w:rsidRPr="003B0746">
        <w:t xml:space="preserve">Kouretas, G. and </w:t>
      </w:r>
      <w:proofErr w:type="spellStart"/>
      <w:r w:rsidRPr="003B0746">
        <w:t>Syllignakis</w:t>
      </w:r>
      <w:proofErr w:type="spellEnd"/>
      <w:r w:rsidRPr="003B0746">
        <w:t>, M. (2012) Switching Volatility in Emerging Stock Markets and Financial Liberalization: Evidence from the new EU Member Countries. Central European Journal of Economic Modelling and Econometrics, Vol. 4, Issue 2, 65</w:t>
      </w:r>
      <w:r w:rsidR="00654AC4">
        <w:t>–</w:t>
      </w:r>
      <w:r w:rsidRPr="003B0746">
        <w:t>93.</w:t>
      </w:r>
    </w:p>
    <w:p w:rsidR="000D3BE4" w:rsidRPr="003B0746" w:rsidRDefault="000D3BE4" w:rsidP="001B487D">
      <w:pPr>
        <w:pStyle w:val="ListParagraph"/>
        <w:numPr>
          <w:ilvl w:val="0"/>
          <w:numId w:val="20"/>
        </w:numPr>
        <w:jc w:val="both"/>
        <w:rPr>
          <w:rFonts w:eastAsia="Calibri"/>
        </w:rPr>
      </w:pPr>
      <w:proofErr w:type="spellStart"/>
      <w:r w:rsidRPr="003B0746">
        <w:rPr>
          <w:rFonts w:eastAsia="Calibri"/>
        </w:rPr>
        <w:lastRenderedPageBreak/>
        <w:t>Kuan</w:t>
      </w:r>
      <w:proofErr w:type="spellEnd"/>
      <w:r w:rsidRPr="003B0746">
        <w:rPr>
          <w:rFonts w:eastAsia="Calibri"/>
        </w:rPr>
        <w:t xml:space="preserve">, C-M. (2002). Lecture on the Markov switching model. Institute of Economics, </w:t>
      </w:r>
      <w:proofErr w:type="spellStart"/>
      <w:r w:rsidRPr="003B0746">
        <w:rPr>
          <w:rFonts w:eastAsia="Calibri"/>
        </w:rPr>
        <w:t>Academica</w:t>
      </w:r>
      <w:proofErr w:type="spellEnd"/>
      <w:r w:rsidRPr="003B0746">
        <w:rPr>
          <w:rFonts w:eastAsia="Calibri"/>
        </w:rPr>
        <w:t xml:space="preserve"> </w:t>
      </w:r>
      <w:proofErr w:type="spellStart"/>
      <w:r w:rsidRPr="003B0746">
        <w:rPr>
          <w:rFonts w:eastAsia="Calibri"/>
        </w:rPr>
        <w:t>Sinica</w:t>
      </w:r>
      <w:proofErr w:type="spellEnd"/>
      <w:r w:rsidRPr="003B0746">
        <w:rPr>
          <w:rFonts w:eastAsia="Calibri"/>
        </w:rPr>
        <w:t>.</w:t>
      </w:r>
    </w:p>
    <w:p w:rsidR="000D3BE4" w:rsidRPr="003B0746" w:rsidRDefault="000D3BE4" w:rsidP="001B487D">
      <w:pPr>
        <w:pStyle w:val="ListParagraph"/>
        <w:numPr>
          <w:ilvl w:val="0"/>
          <w:numId w:val="20"/>
        </w:numPr>
        <w:jc w:val="both"/>
      </w:pPr>
      <w:proofErr w:type="spellStart"/>
      <w:r w:rsidRPr="003B0746">
        <w:rPr>
          <w:rFonts w:eastAsia="Calibri"/>
        </w:rPr>
        <w:t>Kunovac</w:t>
      </w:r>
      <w:proofErr w:type="spellEnd"/>
      <w:r w:rsidRPr="003B0746">
        <w:rPr>
          <w:rFonts w:eastAsia="Calibri"/>
        </w:rPr>
        <w:t xml:space="preserve">, D. (2011). </w:t>
      </w:r>
      <w:proofErr w:type="spellStart"/>
      <w:r w:rsidRPr="003B0746">
        <w:rPr>
          <w:rFonts w:eastAsia="Calibri"/>
        </w:rPr>
        <w:t>Assymetric</w:t>
      </w:r>
      <w:proofErr w:type="spellEnd"/>
      <w:r w:rsidRPr="003B0746">
        <w:rPr>
          <w:rFonts w:eastAsia="Calibri"/>
        </w:rPr>
        <w:t xml:space="preserve"> correlation on the Croatian equity market. Financial Theory and Practice, 35(1), 1</w:t>
      </w:r>
      <w:r w:rsidR="00654AC4">
        <w:t>–</w:t>
      </w:r>
      <w:r w:rsidRPr="003B0746">
        <w:rPr>
          <w:rFonts w:eastAsia="Calibri"/>
        </w:rPr>
        <w:t>24.</w:t>
      </w:r>
    </w:p>
    <w:p w:rsidR="000D3BE4" w:rsidRPr="003B0746" w:rsidRDefault="000D3BE4" w:rsidP="001B487D">
      <w:pPr>
        <w:pStyle w:val="ListParagraph"/>
        <w:numPr>
          <w:ilvl w:val="0"/>
          <w:numId w:val="20"/>
        </w:numPr>
        <w:jc w:val="both"/>
      </w:pPr>
      <w:proofErr w:type="spellStart"/>
      <w:r w:rsidRPr="003B0746">
        <w:t>Lettau</w:t>
      </w:r>
      <w:proofErr w:type="spellEnd"/>
      <w:r w:rsidRPr="003B0746">
        <w:t xml:space="preserve">, M. and </w:t>
      </w:r>
      <w:proofErr w:type="spellStart"/>
      <w:r w:rsidRPr="003B0746">
        <w:t>Ludvigson</w:t>
      </w:r>
      <w:proofErr w:type="spellEnd"/>
      <w:r w:rsidRPr="003B0746">
        <w:t>, S. (2001). Resurrecting the (C</w:t>
      </w:r>
      <w:proofErr w:type="gramStart"/>
      <w:r w:rsidRPr="003B0746">
        <w:t>)CAPM</w:t>
      </w:r>
      <w:proofErr w:type="gramEnd"/>
      <w:r w:rsidRPr="003B0746">
        <w:t xml:space="preserve">: a cross-sectional test when risk </w:t>
      </w:r>
      <w:proofErr w:type="spellStart"/>
      <w:r w:rsidRPr="003B0746">
        <w:t>premia</w:t>
      </w:r>
      <w:proofErr w:type="spellEnd"/>
      <w:r w:rsidRPr="003B0746">
        <w:t xml:space="preserve"> are time-varying. Journal of Political Economy, 109, 1238–87.</w:t>
      </w:r>
    </w:p>
    <w:p w:rsidR="000D3BE4" w:rsidRPr="003B0746" w:rsidRDefault="000D3BE4" w:rsidP="001B487D">
      <w:pPr>
        <w:pStyle w:val="ListParagraph"/>
        <w:numPr>
          <w:ilvl w:val="0"/>
          <w:numId w:val="20"/>
        </w:numPr>
        <w:jc w:val="both"/>
      </w:pPr>
      <w:r w:rsidRPr="003B0746">
        <w:t xml:space="preserve">Levy, R. A. (1971). On the short-term </w:t>
      </w:r>
      <w:proofErr w:type="spellStart"/>
      <w:r w:rsidRPr="003B0746">
        <w:t>stationarity</w:t>
      </w:r>
      <w:proofErr w:type="spellEnd"/>
      <w:r w:rsidRPr="003B0746">
        <w:t xml:space="preserve"> of beta coefficients. Financial Analysts Journal, 27, 55</w:t>
      </w:r>
      <w:r w:rsidR="00654AC4">
        <w:t>–</w:t>
      </w:r>
      <w:r w:rsidRPr="003B0746">
        <w:t>62.</w:t>
      </w:r>
    </w:p>
    <w:p w:rsidR="000D3BE4" w:rsidRPr="003B0746" w:rsidRDefault="000D3BE4" w:rsidP="001B487D">
      <w:pPr>
        <w:pStyle w:val="ListParagraph"/>
        <w:numPr>
          <w:ilvl w:val="0"/>
          <w:numId w:val="20"/>
        </w:numPr>
        <w:jc w:val="both"/>
      </w:pPr>
      <w:proofErr w:type="spellStart"/>
      <w:r w:rsidRPr="003B0746">
        <w:t>Lintner</w:t>
      </w:r>
      <w:proofErr w:type="spellEnd"/>
      <w:r w:rsidRPr="003B0746">
        <w:t>, J. (1965). The valuation of risk assets and the selection of risky investments in stock portfolios and capital budgets. Review of Economics and Statistics, 47 (1), 13</w:t>
      </w:r>
      <w:r w:rsidR="00654AC4">
        <w:t>–</w:t>
      </w:r>
      <w:r w:rsidRPr="003B0746">
        <w:t>37.</w:t>
      </w:r>
    </w:p>
    <w:p w:rsidR="000D3BE4" w:rsidRPr="003B0746" w:rsidRDefault="000D3BE4" w:rsidP="001B487D">
      <w:pPr>
        <w:pStyle w:val="ListParagraph"/>
        <w:numPr>
          <w:ilvl w:val="0"/>
          <w:numId w:val="20"/>
        </w:numPr>
        <w:jc w:val="both"/>
      </w:pPr>
      <w:r w:rsidRPr="003B0746">
        <w:t>Markowitz, H. (1952). Portfolio selection. The Journal of Finance, Vol. 7, No. 1, 77</w:t>
      </w:r>
      <w:r w:rsidR="00654AC4">
        <w:t>–</w:t>
      </w:r>
      <w:r w:rsidRPr="003B0746">
        <w:t>91.</w:t>
      </w:r>
    </w:p>
    <w:p w:rsidR="000D3BE4" w:rsidRPr="003B0746" w:rsidRDefault="000D3BE4" w:rsidP="001B487D">
      <w:pPr>
        <w:pStyle w:val="ListParagraph"/>
        <w:numPr>
          <w:ilvl w:val="0"/>
          <w:numId w:val="20"/>
        </w:numPr>
        <w:jc w:val="both"/>
      </w:pPr>
      <w:r w:rsidRPr="003B0746">
        <w:t xml:space="preserve">Ministry of Finance (2014). </w:t>
      </w:r>
      <w:r w:rsidRPr="00A11623">
        <w:rPr>
          <w:rFonts w:ascii="Consolas" w:hAnsi="Consolas" w:cs="Consolas"/>
          <w:sz w:val="22"/>
        </w:rPr>
        <w:t>http://www.mfin.hr</w:t>
      </w:r>
      <w:r w:rsidR="007049E4" w:rsidRPr="00A11623">
        <w:rPr>
          <w:sz w:val="22"/>
        </w:rPr>
        <w:t xml:space="preserve"> </w:t>
      </w:r>
      <w:r w:rsidR="007049E4">
        <w:t>[Accessed on 16 August</w:t>
      </w:r>
      <w:r w:rsidRPr="003B0746">
        <w:t xml:space="preserve"> 2014].</w:t>
      </w:r>
    </w:p>
    <w:p w:rsidR="000D3BE4" w:rsidRPr="003B0746" w:rsidRDefault="000D3BE4" w:rsidP="001B487D">
      <w:pPr>
        <w:pStyle w:val="ListParagraph"/>
        <w:numPr>
          <w:ilvl w:val="0"/>
          <w:numId w:val="20"/>
        </w:numPr>
        <w:jc w:val="both"/>
      </w:pPr>
      <w:proofErr w:type="spellStart"/>
      <w:r w:rsidRPr="003B0746">
        <w:t>Perković</w:t>
      </w:r>
      <w:proofErr w:type="spellEnd"/>
      <w:r w:rsidRPr="003B0746">
        <w:t>, A. (2011). Research of beta as adequate risk measure - is beta still alive?</w:t>
      </w:r>
      <w:r w:rsidRPr="003B0746">
        <w:rPr>
          <w:rFonts w:eastAsia="Calibri"/>
        </w:rPr>
        <w:t xml:space="preserve"> Croatian Operational Research Review (CRORR), Vol. 2, 102</w:t>
      </w:r>
      <w:r w:rsidR="00654AC4">
        <w:t>–</w:t>
      </w:r>
      <w:r w:rsidRPr="003B0746">
        <w:rPr>
          <w:rFonts w:eastAsia="Calibri"/>
        </w:rPr>
        <w:t>111.</w:t>
      </w:r>
    </w:p>
    <w:p w:rsidR="000D3BE4" w:rsidRPr="003B0746" w:rsidRDefault="000D3BE4" w:rsidP="001B487D">
      <w:pPr>
        <w:pStyle w:val="ListParagraph"/>
        <w:numPr>
          <w:ilvl w:val="0"/>
          <w:numId w:val="20"/>
        </w:numPr>
        <w:jc w:val="both"/>
      </w:pPr>
      <w:proofErr w:type="spellStart"/>
      <w:r w:rsidRPr="003B0746">
        <w:t>Schröder</w:t>
      </w:r>
      <w:proofErr w:type="spellEnd"/>
      <w:r w:rsidRPr="003B0746">
        <w:t>, M. (ed.) (2000). The New Capital Markets in Central and Eastern Europe. Final Report, Centre for European Economic Research.</w:t>
      </w:r>
    </w:p>
    <w:p w:rsidR="000D3BE4" w:rsidRPr="003B0746" w:rsidRDefault="000D3BE4" w:rsidP="001B487D">
      <w:pPr>
        <w:pStyle w:val="ListParagraph"/>
        <w:numPr>
          <w:ilvl w:val="0"/>
          <w:numId w:val="20"/>
        </w:numPr>
        <w:jc w:val="both"/>
      </w:pPr>
      <w:r w:rsidRPr="003B0746">
        <w:t>Sharpe, W. F. (1964). Capital asset prices: A theory of market equilibrium under conditions of risk. Journal of Finance, 19 (3), 425–442.</w:t>
      </w:r>
    </w:p>
    <w:p w:rsidR="000D3BE4" w:rsidRPr="003B0746" w:rsidRDefault="000D3BE4" w:rsidP="001B487D">
      <w:pPr>
        <w:pStyle w:val="ListParagraph"/>
        <w:numPr>
          <w:ilvl w:val="0"/>
          <w:numId w:val="20"/>
        </w:numPr>
        <w:jc w:val="both"/>
      </w:pPr>
      <w:r w:rsidRPr="003B0746">
        <w:t>Shu-</w:t>
      </w:r>
      <w:proofErr w:type="spellStart"/>
      <w:r w:rsidRPr="003B0746">
        <w:t>Hwa</w:t>
      </w:r>
      <w:proofErr w:type="spellEnd"/>
      <w:r w:rsidRPr="003B0746">
        <w:t xml:space="preserve">, C. and Ho, T. (2008) Risk-return tradeoffs in </w:t>
      </w:r>
      <w:proofErr w:type="spellStart"/>
      <w:r w:rsidRPr="003B0746">
        <w:t>merging</w:t>
      </w:r>
      <w:proofErr w:type="spellEnd"/>
      <w:r w:rsidRPr="003B0746">
        <w:t xml:space="preserve"> markets: Evidence from Markov-switching model. Working paper, Shih </w:t>
      </w:r>
      <w:proofErr w:type="spellStart"/>
      <w:r w:rsidRPr="003B0746">
        <w:t>Hsin</w:t>
      </w:r>
      <w:proofErr w:type="spellEnd"/>
      <w:r w:rsidRPr="003B0746">
        <w:t xml:space="preserve"> University.</w:t>
      </w:r>
    </w:p>
    <w:p w:rsidR="000D3BE4" w:rsidRPr="003B0746" w:rsidRDefault="000D3BE4" w:rsidP="001B487D">
      <w:pPr>
        <w:pStyle w:val="ListParagraph"/>
        <w:numPr>
          <w:ilvl w:val="0"/>
          <w:numId w:val="20"/>
        </w:numPr>
        <w:jc w:val="both"/>
      </w:pPr>
      <w:proofErr w:type="spellStart"/>
      <w:r w:rsidRPr="003B0746">
        <w:t>Škrinjarić</w:t>
      </w:r>
      <w:proofErr w:type="spellEnd"/>
      <w:r w:rsidRPr="003B0746">
        <w:t xml:space="preserve">, T. and </w:t>
      </w:r>
      <w:proofErr w:type="spellStart"/>
      <w:r w:rsidRPr="003B0746">
        <w:t>Kojić</w:t>
      </w:r>
      <w:proofErr w:type="spellEnd"/>
      <w:r w:rsidRPr="003B0746">
        <w:t xml:space="preserve">, V. (2014). </w:t>
      </w:r>
      <w:proofErr w:type="spellStart"/>
      <w:r w:rsidRPr="003B0746">
        <w:t>Modeliranje</w:t>
      </w:r>
      <w:proofErr w:type="spellEnd"/>
      <w:r w:rsidRPr="003B0746">
        <w:t xml:space="preserve"> </w:t>
      </w:r>
      <w:proofErr w:type="spellStart"/>
      <w:r w:rsidRPr="003B0746">
        <w:t>prinosa</w:t>
      </w:r>
      <w:proofErr w:type="spellEnd"/>
      <w:r w:rsidRPr="003B0746">
        <w:t xml:space="preserve"> </w:t>
      </w:r>
      <w:proofErr w:type="spellStart"/>
      <w:r w:rsidRPr="003B0746">
        <w:t>dionica</w:t>
      </w:r>
      <w:proofErr w:type="spellEnd"/>
      <w:r w:rsidRPr="003B0746">
        <w:t xml:space="preserve"> </w:t>
      </w:r>
      <w:proofErr w:type="spellStart"/>
      <w:proofErr w:type="gramStart"/>
      <w:r w:rsidRPr="003B0746">
        <w:t>na</w:t>
      </w:r>
      <w:proofErr w:type="spellEnd"/>
      <w:proofErr w:type="gramEnd"/>
      <w:r w:rsidRPr="003B0746">
        <w:t xml:space="preserve"> </w:t>
      </w:r>
      <w:proofErr w:type="spellStart"/>
      <w:r w:rsidRPr="003B0746">
        <w:t>Zagrebačkoj</w:t>
      </w:r>
      <w:proofErr w:type="spellEnd"/>
      <w:r w:rsidRPr="003B0746">
        <w:t xml:space="preserve"> </w:t>
      </w:r>
      <w:proofErr w:type="spellStart"/>
      <w:r w:rsidRPr="003B0746">
        <w:t>burzi</w:t>
      </w:r>
      <w:proofErr w:type="spellEnd"/>
      <w:r w:rsidRPr="003B0746">
        <w:t xml:space="preserve"> </w:t>
      </w:r>
      <w:proofErr w:type="spellStart"/>
      <w:r w:rsidRPr="003B0746">
        <w:t>pomoću</w:t>
      </w:r>
      <w:proofErr w:type="spellEnd"/>
      <w:r w:rsidRPr="003B0746">
        <w:t xml:space="preserve"> </w:t>
      </w:r>
      <w:proofErr w:type="spellStart"/>
      <w:r w:rsidRPr="003B0746">
        <w:t>Markovljevih</w:t>
      </w:r>
      <w:proofErr w:type="spellEnd"/>
      <w:r w:rsidRPr="003B0746">
        <w:t xml:space="preserve"> </w:t>
      </w:r>
      <w:proofErr w:type="spellStart"/>
      <w:r w:rsidRPr="003B0746">
        <w:t>lanaca</w:t>
      </w:r>
      <w:proofErr w:type="spellEnd"/>
      <w:r w:rsidRPr="003B0746">
        <w:t xml:space="preserve">. </w:t>
      </w:r>
      <w:proofErr w:type="spellStart"/>
      <w:r w:rsidRPr="003B0746">
        <w:t>Ekonomski</w:t>
      </w:r>
      <w:proofErr w:type="spellEnd"/>
      <w:r w:rsidRPr="003B0746">
        <w:t xml:space="preserve"> </w:t>
      </w:r>
      <w:proofErr w:type="spellStart"/>
      <w:r w:rsidRPr="003B0746">
        <w:t>pregled</w:t>
      </w:r>
      <w:proofErr w:type="spellEnd"/>
      <w:r w:rsidRPr="003B0746">
        <w:t xml:space="preserve">: </w:t>
      </w:r>
      <w:proofErr w:type="spellStart"/>
      <w:r w:rsidRPr="003B0746">
        <w:t>mjesečnik</w:t>
      </w:r>
      <w:proofErr w:type="spellEnd"/>
      <w:r w:rsidRPr="003B0746">
        <w:t xml:space="preserve"> </w:t>
      </w:r>
      <w:proofErr w:type="spellStart"/>
      <w:r w:rsidRPr="003B0746">
        <w:t>Hrvatskog</w:t>
      </w:r>
      <w:proofErr w:type="spellEnd"/>
      <w:r w:rsidRPr="003B0746">
        <w:t xml:space="preserve"> </w:t>
      </w:r>
      <w:proofErr w:type="spellStart"/>
      <w:r w:rsidRPr="003B0746">
        <w:t>društva</w:t>
      </w:r>
      <w:proofErr w:type="spellEnd"/>
      <w:r w:rsidRPr="003B0746">
        <w:t xml:space="preserve"> </w:t>
      </w:r>
      <w:proofErr w:type="spellStart"/>
      <w:r w:rsidRPr="003B0746">
        <w:t>ekonomista</w:t>
      </w:r>
      <w:proofErr w:type="spellEnd"/>
      <w:r w:rsidRPr="003B0746">
        <w:t xml:space="preserve"> Zagreb, 65, 3, 207</w:t>
      </w:r>
      <w:r w:rsidR="00654AC4">
        <w:t>–</w:t>
      </w:r>
      <w:r w:rsidRPr="003B0746">
        <w:t>221.</w:t>
      </w:r>
    </w:p>
    <w:p w:rsidR="000D3BE4" w:rsidRPr="003B0746" w:rsidRDefault="000D3BE4" w:rsidP="001B487D">
      <w:pPr>
        <w:pStyle w:val="ListParagraph"/>
        <w:numPr>
          <w:ilvl w:val="0"/>
          <w:numId w:val="20"/>
        </w:numPr>
        <w:jc w:val="both"/>
      </w:pPr>
      <w:proofErr w:type="spellStart"/>
      <w:r w:rsidRPr="003B0746">
        <w:t>Škrinjarić</w:t>
      </w:r>
      <w:proofErr w:type="spellEnd"/>
      <w:r w:rsidRPr="003B0746">
        <w:t xml:space="preserve">, T. and </w:t>
      </w:r>
      <w:proofErr w:type="spellStart"/>
      <w:r w:rsidRPr="003B0746">
        <w:t>Šostarić</w:t>
      </w:r>
      <w:proofErr w:type="spellEnd"/>
      <w:r w:rsidRPr="003B0746">
        <w:t xml:space="preserve">, N. (2014). </w:t>
      </w:r>
      <w:proofErr w:type="spellStart"/>
      <w:r w:rsidRPr="003B0746">
        <w:t>Komplementarnost</w:t>
      </w:r>
      <w:proofErr w:type="spellEnd"/>
      <w:r w:rsidRPr="003B0746">
        <w:t xml:space="preserve"> </w:t>
      </w:r>
      <w:proofErr w:type="spellStart"/>
      <w:r w:rsidRPr="003B0746">
        <w:t>metodologije</w:t>
      </w:r>
      <w:proofErr w:type="spellEnd"/>
      <w:r w:rsidRPr="003B0746">
        <w:t xml:space="preserve"> </w:t>
      </w:r>
      <w:proofErr w:type="spellStart"/>
      <w:r w:rsidRPr="003B0746">
        <w:t>Markovljevih</w:t>
      </w:r>
      <w:proofErr w:type="spellEnd"/>
      <w:r w:rsidRPr="003B0746">
        <w:t xml:space="preserve"> </w:t>
      </w:r>
      <w:proofErr w:type="spellStart"/>
      <w:r w:rsidRPr="003B0746">
        <w:t>lanaca</w:t>
      </w:r>
      <w:proofErr w:type="spellEnd"/>
      <w:r w:rsidRPr="003B0746">
        <w:t xml:space="preserve"> </w:t>
      </w:r>
      <w:proofErr w:type="spellStart"/>
      <w:r w:rsidRPr="003B0746">
        <w:t>i</w:t>
      </w:r>
      <w:proofErr w:type="spellEnd"/>
      <w:r w:rsidRPr="003B0746">
        <w:t xml:space="preserve"> </w:t>
      </w:r>
      <w:proofErr w:type="spellStart"/>
      <w:r w:rsidRPr="003B0746">
        <w:t>Markowitzeva</w:t>
      </w:r>
      <w:proofErr w:type="spellEnd"/>
      <w:r w:rsidRPr="003B0746">
        <w:t xml:space="preserve"> </w:t>
      </w:r>
      <w:proofErr w:type="spellStart"/>
      <w:r w:rsidRPr="003B0746">
        <w:t>modela</w:t>
      </w:r>
      <w:proofErr w:type="spellEnd"/>
      <w:r w:rsidRPr="003B0746">
        <w:t xml:space="preserve"> </w:t>
      </w:r>
      <w:proofErr w:type="spellStart"/>
      <w:r w:rsidRPr="003B0746">
        <w:t>optimizacije</w:t>
      </w:r>
      <w:proofErr w:type="spellEnd"/>
      <w:r w:rsidRPr="003B0746">
        <w:t xml:space="preserve"> </w:t>
      </w:r>
      <w:proofErr w:type="spellStart"/>
      <w:r w:rsidRPr="003B0746">
        <w:t>portfelja</w:t>
      </w:r>
      <w:proofErr w:type="spellEnd"/>
      <w:r w:rsidRPr="003B0746">
        <w:t xml:space="preserve">. </w:t>
      </w:r>
      <w:proofErr w:type="spellStart"/>
      <w:r w:rsidRPr="003B0746">
        <w:t>Ekonomska</w:t>
      </w:r>
      <w:proofErr w:type="spellEnd"/>
      <w:r w:rsidRPr="003B0746">
        <w:t xml:space="preserve"> </w:t>
      </w:r>
      <w:proofErr w:type="spellStart"/>
      <w:r w:rsidRPr="003B0746">
        <w:t>m</w:t>
      </w:r>
      <w:r w:rsidR="00A11623">
        <w:t>isao</w:t>
      </w:r>
      <w:proofErr w:type="spellEnd"/>
      <w:r w:rsidR="00A11623">
        <w:t xml:space="preserve"> </w:t>
      </w:r>
      <w:proofErr w:type="spellStart"/>
      <w:r w:rsidR="00A11623">
        <w:t>i</w:t>
      </w:r>
      <w:proofErr w:type="spellEnd"/>
      <w:r w:rsidR="00A11623">
        <w:t xml:space="preserve"> </w:t>
      </w:r>
      <w:proofErr w:type="spellStart"/>
      <w:r w:rsidR="00A11623">
        <w:t>praksa</w:t>
      </w:r>
      <w:proofErr w:type="spellEnd"/>
      <w:r w:rsidR="00A11623">
        <w:t xml:space="preserve">: </w:t>
      </w:r>
      <w:proofErr w:type="spellStart"/>
      <w:r w:rsidR="00A11623">
        <w:t>časopis</w:t>
      </w:r>
      <w:proofErr w:type="spellEnd"/>
      <w:r w:rsidR="00A11623">
        <w:t xml:space="preserve"> </w:t>
      </w:r>
      <w:proofErr w:type="spellStart"/>
      <w:r w:rsidR="00A11623">
        <w:t>Sveučiliš</w:t>
      </w:r>
      <w:r w:rsidRPr="003B0746">
        <w:t>ta</w:t>
      </w:r>
      <w:proofErr w:type="spellEnd"/>
      <w:r w:rsidRPr="003B0746">
        <w:t xml:space="preserve"> u </w:t>
      </w:r>
      <w:proofErr w:type="spellStart"/>
      <w:r w:rsidRPr="003B0746">
        <w:t>Dubrovniku</w:t>
      </w:r>
      <w:proofErr w:type="spellEnd"/>
      <w:r w:rsidRPr="003B0746">
        <w:t>, 1, 353</w:t>
      </w:r>
      <w:r w:rsidR="00654AC4">
        <w:t>–</w:t>
      </w:r>
      <w:r w:rsidRPr="003B0746">
        <w:t>370.</w:t>
      </w:r>
    </w:p>
    <w:p w:rsidR="000D3BE4" w:rsidRPr="003B0746" w:rsidRDefault="000D3BE4" w:rsidP="001B487D">
      <w:pPr>
        <w:pStyle w:val="ListParagraph"/>
        <w:numPr>
          <w:ilvl w:val="0"/>
          <w:numId w:val="20"/>
        </w:numPr>
        <w:jc w:val="both"/>
      </w:pPr>
      <w:r w:rsidRPr="003B0746">
        <w:t xml:space="preserve">Smith, A. (2012). Markov Breaks in Regression Models. Journal of Time Series Econometrics, Vol. 4, </w:t>
      </w:r>
      <w:r w:rsidR="00A11623">
        <w:t>No.</w:t>
      </w:r>
      <w:r w:rsidRPr="003B0746">
        <w:t xml:space="preserve"> 1, 1928</w:t>
      </w:r>
      <w:r w:rsidR="00654AC4">
        <w:t>–</w:t>
      </w:r>
      <w:r w:rsidRPr="003B0746">
        <w:t>1941.</w:t>
      </w:r>
    </w:p>
    <w:p w:rsidR="000D3BE4" w:rsidRPr="003B0746" w:rsidRDefault="000D3BE4" w:rsidP="001B487D">
      <w:pPr>
        <w:pStyle w:val="ListParagraph"/>
        <w:numPr>
          <w:ilvl w:val="0"/>
          <w:numId w:val="20"/>
        </w:numPr>
        <w:jc w:val="both"/>
      </w:pPr>
      <w:proofErr w:type="spellStart"/>
      <w:r w:rsidRPr="003B0746">
        <w:t>Tsay</w:t>
      </w:r>
      <w:proofErr w:type="spellEnd"/>
      <w:r w:rsidRPr="003B0746">
        <w:t>, R. S. (2004). Analysis of Financial Time Series, 2nd edition. New Jersey: Wiley-</w:t>
      </w:r>
      <w:proofErr w:type="spellStart"/>
      <w:r w:rsidRPr="003B0746">
        <w:t>Interscience</w:t>
      </w:r>
      <w:proofErr w:type="spellEnd"/>
      <w:r w:rsidRPr="003B0746">
        <w:t>.</w:t>
      </w:r>
    </w:p>
    <w:p w:rsidR="000D3BE4" w:rsidRPr="003B0746" w:rsidRDefault="000D3BE4" w:rsidP="001B487D">
      <w:pPr>
        <w:pStyle w:val="ListParagraph"/>
        <w:numPr>
          <w:ilvl w:val="0"/>
          <w:numId w:val="20"/>
        </w:numPr>
        <w:jc w:val="both"/>
        <w:rPr>
          <w:rFonts w:eastAsia="Calibri"/>
        </w:rPr>
      </w:pPr>
      <w:r w:rsidRPr="003B0746">
        <w:lastRenderedPageBreak/>
        <w:t xml:space="preserve">Turner, C. M., </w:t>
      </w:r>
      <w:proofErr w:type="spellStart"/>
      <w:r w:rsidRPr="003B0746">
        <w:t>Startz</w:t>
      </w:r>
      <w:proofErr w:type="spellEnd"/>
      <w:r w:rsidRPr="003B0746">
        <w:t xml:space="preserve">, R. and Nelson, C. R. (1989). A Markov model of </w:t>
      </w:r>
      <w:proofErr w:type="spellStart"/>
      <w:r w:rsidRPr="003B0746">
        <w:t>heteroskedasticity</w:t>
      </w:r>
      <w:proofErr w:type="spellEnd"/>
      <w:r w:rsidRPr="003B0746">
        <w:t>, risk, and learning in stock market. Journal of Financial Economics, 25, 3–22.</w:t>
      </w:r>
    </w:p>
    <w:p w:rsidR="000D3BE4" w:rsidRPr="003B0746" w:rsidRDefault="000D3BE4" w:rsidP="001B487D">
      <w:pPr>
        <w:pStyle w:val="ListParagraph"/>
        <w:numPr>
          <w:ilvl w:val="0"/>
          <w:numId w:val="20"/>
        </w:numPr>
        <w:jc w:val="both"/>
      </w:pPr>
      <w:proofErr w:type="spellStart"/>
      <w:r w:rsidRPr="003B0746">
        <w:rPr>
          <w:rFonts w:eastAsia="Calibri"/>
        </w:rPr>
        <w:t>Visković</w:t>
      </w:r>
      <w:proofErr w:type="spellEnd"/>
      <w:r w:rsidRPr="003B0746">
        <w:rPr>
          <w:rFonts w:eastAsia="Calibri"/>
        </w:rPr>
        <w:t xml:space="preserve">, J., </w:t>
      </w:r>
      <w:proofErr w:type="spellStart"/>
      <w:r w:rsidRPr="003B0746">
        <w:rPr>
          <w:rFonts w:eastAsia="Calibri"/>
        </w:rPr>
        <w:t>Arnerić</w:t>
      </w:r>
      <w:proofErr w:type="spellEnd"/>
      <w:r w:rsidRPr="003B0746">
        <w:rPr>
          <w:rFonts w:eastAsia="Calibri"/>
        </w:rPr>
        <w:t xml:space="preserve">, J. and </w:t>
      </w:r>
      <w:proofErr w:type="spellStart"/>
      <w:r w:rsidRPr="003B0746">
        <w:rPr>
          <w:rFonts w:eastAsia="Calibri"/>
        </w:rPr>
        <w:t>Rozga</w:t>
      </w:r>
      <w:proofErr w:type="spellEnd"/>
      <w:r w:rsidRPr="003B0746">
        <w:rPr>
          <w:rFonts w:eastAsia="Calibri"/>
        </w:rPr>
        <w:t>, A. (2014). Volatility Switching between Two Regimes. International Journal of Social, Human Science and Engineering, Vol. 8, No</w:t>
      </w:r>
      <w:r w:rsidR="00A11623">
        <w:rPr>
          <w:rFonts w:eastAsia="Calibri"/>
        </w:rPr>
        <w:t>.</w:t>
      </w:r>
      <w:r w:rsidRPr="003B0746">
        <w:rPr>
          <w:rFonts w:eastAsia="Calibri"/>
        </w:rPr>
        <w:t xml:space="preserve"> 3, 62</w:t>
      </w:r>
      <w:r w:rsidR="00654AC4">
        <w:t>–</w:t>
      </w:r>
      <w:r w:rsidRPr="003B0746">
        <w:rPr>
          <w:rFonts w:eastAsia="Calibri"/>
        </w:rPr>
        <w:t>66.</w:t>
      </w:r>
    </w:p>
    <w:p w:rsidR="00A11623" w:rsidRDefault="000D3BE4" w:rsidP="001B487D">
      <w:pPr>
        <w:pStyle w:val="ListParagraph"/>
        <w:numPr>
          <w:ilvl w:val="0"/>
          <w:numId w:val="20"/>
        </w:numPr>
        <w:jc w:val="both"/>
      </w:pPr>
      <w:r w:rsidRPr="003B0746">
        <w:t>Wang, P. (2009). Financial Econometrics, Second edition. Routledge, New York.</w:t>
      </w:r>
      <w:r w:rsidR="003B0746">
        <w:t xml:space="preserve"> </w:t>
      </w:r>
    </w:p>
    <w:p w:rsidR="000D3BE4" w:rsidRPr="003B0746" w:rsidRDefault="000D3BE4" w:rsidP="001B487D">
      <w:pPr>
        <w:pStyle w:val="ListParagraph"/>
        <w:numPr>
          <w:ilvl w:val="0"/>
          <w:numId w:val="20"/>
        </w:numPr>
        <w:jc w:val="both"/>
      </w:pPr>
      <w:r w:rsidRPr="003B0746">
        <w:t xml:space="preserve">Zagreb Stock Exchange (2014). </w:t>
      </w:r>
      <w:r w:rsidRPr="00A11623">
        <w:rPr>
          <w:rFonts w:ascii="Consolas" w:hAnsi="Consolas" w:cs="Consolas"/>
          <w:sz w:val="22"/>
        </w:rPr>
        <w:t>http://www.zse.hr</w:t>
      </w:r>
      <w:r w:rsidR="007049E4" w:rsidRPr="00A11623">
        <w:rPr>
          <w:sz w:val="22"/>
        </w:rPr>
        <w:t xml:space="preserve"> </w:t>
      </w:r>
      <w:r w:rsidR="007049E4">
        <w:t xml:space="preserve">[Accessed on 16 August </w:t>
      </w:r>
      <w:r w:rsidRPr="003B0746">
        <w:t>2014].</w:t>
      </w:r>
    </w:p>
    <w:p w:rsidR="000D3BE4" w:rsidRPr="00654AC4" w:rsidRDefault="000D3BE4" w:rsidP="000D3BE4">
      <w:pPr>
        <w:tabs>
          <w:tab w:val="left" w:pos="851"/>
        </w:tabs>
        <w:spacing w:before="120"/>
        <w:jc w:val="both"/>
        <w:rPr>
          <w:b/>
          <w:szCs w:val="22"/>
          <w:lang w:bidi="en-US"/>
        </w:rPr>
      </w:pPr>
    </w:p>
    <w:p w:rsidR="00B346DF" w:rsidRPr="00FF0978" w:rsidRDefault="00B346DF" w:rsidP="00A60347">
      <w:pPr>
        <w:spacing w:after="120"/>
        <w:ind w:firstLine="360"/>
        <w:rPr>
          <w:b/>
          <w:sz w:val="22"/>
          <w:szCs w:val="22"/>
        </w:rPr>
      </w:pPr>
      <w:r w:rsidRPr="00FF0978">
        <w:rPr>
          <w:b/>
          <w:sz w:val="22"/>
          <w:szCs w:val="22"/>
        </w:rPr>
        <w:t>APPENDIX</w:t>
      </w:r>
    </w:p>
    <w:tbl>
      <w:tblPr>
        <w:tblW w:w="6999" w:type="dxa"/>
        <w:jc w:val="center"/>
        <w:tblCellMar>
          <w:left w:w="0" w:type="dxa"/>
          <w:right w:w="0" w:type="dxa"/>
        </w:tblCellMar>
        <w:tblLook w:val="04A0" w:firstRow="1" w:lastRow="0" w:firstColumn="1" w:lastColumn="0" w:noHBand="0" w:noVBand="1"/>
      </w:tblPr>
      <w:tblGrid>
        <w:gridCol w:w="720"/>
        <w:gridCol w:w="821"/>
        <w:gridCol w:w="810"/>
        <w:gridCol w:w="799"/>
        <w:gridCol w:w="810"/>
        <w:gridCol w:w="810"/>
        <w:gridCol w:w="720"/>
        <w:gridCol w:w="720"/>
        <w:gridCol w:w="789"/>
      </w:tblGrid>
      <w:tr w:rsidR="00A60347" w:rsidRPr="00A60347" w:rsidTr="00A60347">
        <w:trPr>
          <w:trHeight w:val="84"/>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Stock</w:t>
            </w:r>
          </w:p>
        </w:tc>
        <w:tc>
          <w:tcPr>
            <w:tcW w:w="1631"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Log Likelihood</w:t>
            </w:r>
          </w:p>
        </w:tc>
        <w:tc>
          <w:tcPr>
            <w:tcW w:w="1609"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AIC</w:t>
            </w:r>
          </w:p>
        </w:tc>
        <w:tc>
          <w:tcPr>
            <w:tcW w:w="1530"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SIC</w:t>
            </w:r>
          </w:p>
        </w:tc>
        <w:tc>
          <w:tcPr>
            <w:tcW w:w="1509" w:type="dxa"/>
            <w:gridSpan w:val="2"/>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HQ</w:t>
            </w:r>
          </w:p>
        </w:tc>
      </w:tr>
      <w:tr w:rsidR="00A60347" w:rsidRPr="00A60347" w:rsidTr="00A60347">
        <w:trPr>
          <w:trHeight w:val="18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346DF" w:rsidRPr="00A60347" w:rsidRDefault="00B346DF" w:rsidP="001B487D">
            <w:pPr>
              <w:rPr>
                <w:b/>
                <w:sz w:val="18"/>
                <w:szCs w:val="18"/>
              </w:rPr>
            </w:pPr>
          </w:p>
        </w:tc>
        <w:tc>
          <w:tcPr>
            <w:tcW w:w="82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2</w:t>
            </w:r>
          </w:p>
        </w:tc>
        <w:tc>
          <w:tcPr>
            <w:tcW w:w="81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3</w:t>
            </w:r>
          </w:p>
        </w:tc>
        <w:tc>
          <w:tcPr>
            <w:tcW w:w="79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2</w:t>
            </w:r>
          </w:p>
        </w:tc>
        <w:tc>
          <w:tcPr>
            <w:tcW w:w="81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3</w:t>
            </w:r>
          </w:p>
        </w:tc>
        <w:tc>
          <w:tcPr>
            <w:tcW w:w="81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2</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3</w:t>
            </w:r>
          </w:p>
        </w:tc>
        <w:tc>
          <w:tcPr>
            <w:tcW w:w="72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2</w:t>
            </w:r>
          </w:p>
        </w:tc>
        <w:tc>
          <w:tcPr>
            <w:tcW w:w="78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346DF" w:rsidRPr="00A60347" w:rsidRDefault="00B346DF" w:rsidP="001B487D">
            <w:pPr>
              <w:jc w:val="center"/>
              <w:rPr>
                <w:b/>
                <w:sz w:val="18"/>
                <w:szCs w:val="18"/>
              </w:rPr>
            </w:pPr>
            <w:r w:rsidRPr="00A60347">
              <w:rPr>
                <w:b/>
                <w:sz w:val="18"/>
                <w:szCs w:val="18"/>
              </w:rPr>
              <w:t>M</w:t>
            </w:r>
            <w:r w:rsidRPr="00A60347">
              <w:rPr>
                <w:b/>
                <w:sz w:val="18"/>
                <w:szCs w:val="18"/>
                <w:vertAlign w:val="subscript"/>
              </w:rPr>
              <w:t>3</w:t>
            </w:r>
          </w:p>
        </w:tc>
      </w:tr>
      <w:tr w:rsidR="00A60347" w:rsidRPr="00A60347" w:rsidTr="00A60347">
        <w:trPr>
          <w:trHeight w:val="123"/>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ADPL</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112.221</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116.219</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103.221</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106.219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91.193</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92.855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98.345</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100.802</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ADRS</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157.333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160.209</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148.333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150.209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136.305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136.845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143.457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144.792</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ARNT</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74.883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77.851</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65.883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67.851</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53.855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54.487</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61.007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62.433</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ATPL</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101.429</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104.219</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92.429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94.219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80.402</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80.855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87.553</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88.801</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BLJE</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88.441</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88.542</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79.441</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78.542</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67.414</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65.178</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74.565</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73.124</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DDJH</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76.827</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78.050</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67.827</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68.050</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55.799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54.686</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62.951</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62.633</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DLKV</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90.388</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91.758</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81.388</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81.758</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69.361</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68.394</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76.512</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76.341</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ERNT</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138.289</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138.613</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129.289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128.613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117.249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115.249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123.195</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124.413</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HUPZ</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130.949</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132.399</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121.949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122.399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109.921</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109.035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117.073</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116.981</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INGR</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47.383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47.416</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38.383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37.416</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26.355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24.051</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33.507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31.998</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KOEI</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133.051</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132.793</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124.051</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122.793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112.023</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109.429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119.175</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117.375</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KORF</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104.114</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103.888</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95.114</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93.888</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83.086</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80.524</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90.238</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88.470</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KRAS</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144.131</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144.523</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135.131</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134.523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123.104</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121.159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130.255</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129.105</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LEDO</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96.463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96.956</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87.463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86.956</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75.435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73.592</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82.587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81.539</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LKPC</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115.993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117.673</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106.993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107.673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94.966</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94.309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102.117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102.255</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LKRI</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90.003</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90.270</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81.003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80.270</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68.975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66.906</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76.127</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74.853</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PODR</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155.862</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157.466</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146.862</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147.466</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134.834</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134.102</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141.862</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142.048</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PTKM</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97.609</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100.503</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88.609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90.503</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76.581</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77.139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83.733</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85.0855</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ULPL</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112.495</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112.497</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103.495</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102.497</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91.468</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89.133</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98.620</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97.0792</w:t>
            </w:r>
          </w:p>
        </w:tc>
      </w:tr>
      <w:tr w:rsidR="00A60347" w:rsidRPr="00A60347" w:rsidTr="00A60347">
        <w:trPr>
          <w:trHeight w:val="56"/>
          <w:jc w:val="center"/>
        </w:trPr>
        <w:tc>
          <w:tcPr>
            <w:tcW w:w="720"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VDKT</w:t>
            </w:r>
          </w:p>
        </w:tc>
        <w:tc>
          <w:tcPr>
            <w:tcW w:w="821" w:type="dxa"/>
            <w:tcBorders>
              <w:top w:val="nil"/>
              <w:left w:val="single" w:sz="4" w:space="0" w:color="auto"/>
              <w:bottom w:val="nil"/>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60.746</w:t>
            </w:r>
          </w:p>
        </w:tc>
        <w:tc>
          <w:tcPr>
            <w:tcW w:w="810" w:type="dxa"/>
            <w:tcBorders>
              <w:top w:val="nil"/>
              <w:left w:val="single" w:sz="4" w:space="0" w:color="auto"/>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61.479</w:t>
            </w:r>
          </w:p>
        </w:tc>
        <w:tc>
          <w:tcPr>
            <w:tcW w:w="79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51.746</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51.479</w:t>
            </w:r>
          </w:p>
        </w:tc>
        <w:tc>
          <w:tcPr>
            <w:tcW w:w="81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39.719</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38.115</w:t>
            </w:r>
          </w:p>
        </w:tc>
        <w:tc>
          <w:tcPr>
            <w:tcW w:w="720"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46.871</w:t>
            </w:r>
          </w:p>
        </w:tc>
        <w:tc>
          <w:tcPr>
            <w:tcW w:w="789" w:type="dxa"/>
            <w:tcBorders>
              <w:top w:val="nil"/>
              <w:left w:val="nil"/>
              <w:bottom w:val="nil"/>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46.061</w:t>
            </w:r>
          </w:p>
        </w:tc>
      </w:tr>
      <w:tr w:rsidR="00A60347" w:rsidRPr="00A60347" w:rsidTr="00A60347">
        <w:trPr>
          <w:trHeight w:val="56"/>
          <w:jc w:val="center"/>
        </w:trPr>
        <w:tc>
          <w:tcPr>
            <w:tcW w:w="720" w:type="dxa"/>
            <w:tcBorders>
              <w:top w:val="nil"/>
              <w:left w:val="single" w:sz="4" w:space="0" w:color="auto"/>
              <w:bottom w:val="single" w:sz="4" w:space="0" w:color="auto"/>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ZABA</w:t>
            </w:r>
          </w:p>
        </w:tc>
        <w:tc>
          <w:tcPr>
            <w:tcW w:w="821" w:type="dxa"/>
            <w:tcBorders>
              <w:top w:val="nil"/>
              <w:left w:val="single" w:sz="4" w:space="0" w:color="auto"/>
              <w:bottom w:val="single" w:sz="4" w:space="0" w:color="auto"/>
              <w:right w:val="nil"/>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113.785</w:t>
            </w:r>
          </w:p>
        </w:tc>
        <w:tc>
          <w:tcPr>
            <w:tcW w:w="810" w:type="dxa"/>
            <w:tcBorders>
              <w:top w:val="nil"/>
              <w:left w:val="single" w:sz="4" w:space="0" w:color="auto"/>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112.919</w:t>
            </w:r>
          </w:p>
        </w:tc>
        <w:tc>
          <w:tcPr>
            <w:tcW w:w="799"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104.785</w:t>
            </w:r>
          </w:p>
        </w:tc>
        <w:tc>
          <w:tcPr>
            <w:tcW w:w="810"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112.919</w:t>
            </w:r>
          </w:p>
        </w:tc>
        <w:tc>
          <w:tcPr>
            <w:tcW w:w="810"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92.757</w:t>
            </w:r>
          </w:p>
        </w:tc>
        <w:tc>
          <w:tcPr>
            <w:tcW w:w="720"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89.555</w:t>
            </w:r>
          </w:p>
        </w:tc>
        <w:tc>
          <w:tcPr>
            <w:tcW w:w="720"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99.909</w:t>
            </w:r>
          </w:p>
        </w:tc>
        <w:tc>
          <w:tcPr>
            <w:tcW w:w="789" w:type="dxa"/>
            <w:tcBorders>
              <w:top w:val="nil"/>
              <w:left w:val="nil"/>
              <w:bottom w:val="single" w:sz="4" w:space="0" w:color="auto"/>
              <w:right w:val="single" w:sz="4" w:space="0" w:color="auto"/>
            </w:tcBorders>
            <w:shd w:val="clear" w:color="000000" w:fill="FFFFFF"/>
            <w:noWrap/>
            <w:tcMar>
              <w:top w:w="14" w:type="dxa"/>
              <w:left w:w="14" w:type="dxa"/>
              <w:bottom w:w="0" w:type="dxa"/>
              <w:right w:w="14" w:type="dxa"/>
            </w:tcMar>
            <w:vAlign w:val="center"/>
            <w:hideMark/>
          </w:tcPr>
          <w:p w:rsidR="00B346DF" w:rsidRPr="00A60347" w:rsidRDefault="00B346DF" w:rsidP="001B487D">
            <w:pPr>
              <w:jc w:val="center"/>
              <w:rPr>
                <w:sz w:val="18"/>
                <w:szCs w:val="18"/>
              </w:rPr>
            </w:pPr>
            <w:r w:rsidRPr="00A60347">
              <w:rPr>
                <w:sz w:val="18"/>
                <w:szCs w:val="18"/>
              </w:rPr>
              <w:t>97.501</w:t>
            </w:r>
          </w:p>
        </w:tc>
      </w:tr>
    </w:tbl>
    <w:p w:rsidR="00B346DF" w:rsidRPr="00F92351" w:rsidRDefault="00F232E6" w:rsidP="00F92351">
      <w:pPr>
        <w:spacing w:before="120"/>
        <w:jc w:val="center"/>
        <w:rPr>
          <w:sz w:val="22"/>
          <w:szCs w:val="22"/>
        </w:rPr>
      </w:pPr>
      <w:proofErr w:type="gramStart"/>
      <w:r>
        <w:rPr>
          <w:rStyle w:val="hps"/>
          <w:sz w:val="22"/>
          <w:szCs w:val="22"/>
        </w:rPr>
        <w:t>Table 3.</w:t>
      </w:r>
      <w:proofErr w:type="gramEnd"/>
      <w:r>
        <w:rPr>
          <w:rStyle w:val="hps"/>
          <w:sz w:val="22"/>
          <w:szCs w:val="22"/>
        </w:rPr>
        <w:t xml:space="preserve"> </w:t>
      </w:r>
      <w:r w:rsidR="00B346DF" w:rsidRPr="00FF0978">
        <w:rPr>
          <w:rStyle w:val="hps"/>
          <w:sz w:val="22"/>
          <w:szCs w:val="22"/>
        </w:rPr>
        <w:t>Criteria for model selection</w:t>
      </w:r>
      <w:bookmarkStart w:id="0" w:name="_GoBack"/>
      <w:bookmarkEnd w:id="0"/>
    </w:p>
    <w:sectPr w:rsidR="00B346DF" w:rsidRPr="00F92351" w:rsidSect="00F92351">
      <w:headerReference w:type="even" r:id="rId81"/>
      <w:headerReference w:type="default" r:id="rId82"/>
      <w:headerReference w:type="first" r:id="rId83"/>
      <w:footerReference w:type="first" r:id="rId84"/>
      <w:pgSz w:w="9979" w:h="14175" w:code="34"/>
      <w:pgMar w:top="1411" w:right="1411" w:bottom="1411" w:left="1411" w:header="706" w:footer="706" w:gutter="0"/>
      <w:lnNumType w:countBy="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F2" w:rsidRDefault="007355F2">
      <w:r>
        <w:separator/>
      </w:r>
    </w:p>
  </w:endnote>
  <w:endnote w:type="continuationSeparator" w:id="0">
    <w:p w:rsidR="007355F2" w:rsidRDefault="0073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D" w:rsidRPr="00FE7BC6" w:rsidRDefault="0026434D" w:rsidP="006C0348">
    <w:pPr>
      <w:pStyle w:val="Footer"/>
      <w:ind w:right="360"/>
      <w:rPr>
        <w:sz w:val="18"/>
        <w:szCs w:val="18"/>
      </w:rPr>
    </w:pPr>
    <w:r w:rsidRPr="006C0348">
      <w:rPr>
        <w:sz w:val="18"/>
        <w:szCs w:val="18"/>
        <w:lang w:val="hr-HR" w:eastAsia="hr-HR"/>
      </w:rPr>
      <w:t>http://www.hdoi.hr/crorr-journal</w:t>
    </w:r>
    <w:r>
      <w:rPr>
        <w:sz w:val="18"/>
        <w:szCs w:val="18"/>
        <w:lang w:val="hr-HR" w:eastAsia="hr-HR"/>
      </w:rPr>
      <w:t xml:space="preserve">                       </w:t>
    </w:r>
    <w:r>
      <w:rPr>
        <w:sz w:val="18"/>
        <w:szCs w:val="18"/>
        <w:lang w:val="hr-HR" w:eastAsia="hr-HR"/>
      </w:rPr>
      <w:tab/>
      <w:t xml:space="preserve"> ©2014</w:t>
    </w:r>
    <w:r w:rsidRPr="00FE7BC6">
      <w:rPr>
        <w:sz w:val="18"/>
        <w:szCs w:val="18"/>
        <w:lang w:val="hr-HR" w:eastAsia="hr-HR"/>
      </w:rPr>
      <w:t xml:space="preserve"> Croatian Operational Research Society</w:t>
    </w:r>
  </w:p>
  <w:p w:rsidR="0026434D" w:rsidRDefault="0026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F2" w:rsidRDefault="007355F2">
      <w:r>
        <w:separator/>
      </w:r>
    </w:p>
  </w:footnote>
  <w:footnote w:type="continuationSeparator" w:id="0">
    <w:p w:rsidR="007355F2" w:rsidRDefault="007355F2">
      <w:r>
        <w:continuationSeparator/>
      </w:r>
    </w:p>
  </w:footnote>
  <w:footnote w:id="1">
    <w:p w:rsidR="000A50E5" w:rsidRDefault="000A50E5">
      <w:pPr>
        <w:pStyle w:val="FootnoteText"/>
      </w:pPr>
      <w:r w:rsidRPr="000A50E5">
        <w:rPr>
          <w:rStyle w:val="FootnoteReference"/>
        </w:rPr>
        <w:sym w:font="Symbol" w:char="F02A"/>
      </w:r>
      <w:r>
        <w:t xml:space="preserve"> </w:t>
      </w:r>
      <w:r>
        <w:rPr>
          <w:lang w:val="hr-HR"/>
        </w:rPr>
        <w:t>Corresponding author</w:t>
      </w:r>
    </w:p>
  </w:footnote>
  <w:footnote w:id="2">
    <w:p w:rsidR="0026434D" w:rsidRPr="000104B9" w:rsidRDefault="0026434D" w:rsidP="000D3BE4">
      <w:pPr>
        <w:pStyle w:val="FootnoteText"/>
        <w:jc w:val="both"/>
        <w:rPr>
          <w:lang w:val="hr-HR"/>
        </w:rPr>
      </w:pPr>
      <w:r w:rsidRPr="000104B9">
        <w:rPr>
          <w:rStyle w:val="FootnoteReference"/>
        </w:rPr>
        <w:footnoteRef/>
      </w:r>
      <w:r w:rsidRPr="000104B9">
        <w:t xml:space="preserve"> </w:t>
      </w:r>
      <w:r>
        <w:t xml:space="preserve">The </w:t>
      </w:r>
      <w:r w:rsidRPr="00AC0212">
        <w:t>aforementioned</w:t>
      </w:r>
      <w:r>
        <w:t xml:space="preserve"> </w:t>
      </w:r>
      <w:r w:rsidRPr="000104B9">
        <w:t>research has shown that when the prices are rising, volatility is low, thus the low volatility regime</w:t>
      </w:r>
      <w:r>
        <w:t xml:space="preserve"> responds to the bull markets. On the c</w:t>
      </w:r>
      <w:r w:rsidRPr="000104B9">
        <w:t>ontrary, when the prices are dropping on the stock market, volatility becomes higher and this phase is identified as the bear market</w:t>
      </w:r>
      <w:r>
        <w:t>.</w:t>
      </w:r>
    </w:p>
  </w:footnote>
  <w:footnote w:id="3">
    <w:p w:rsidR="0026434D" w:rsidRPr="000104B9" w:rsidRDefault="0026434D" w:rsidP="000D3BE4">
      <w:pPr>
        <w:pStyle w:val="FootnoteText"/>
        <w:jc w:val="both"/>
      </w:pPr>
      <w:r w:rsidRPr="000104B9">
        <w:rPr>
          <w:rStyle w:val="FootnoteReference"/>
        </w:rPr>
        <w:footnoteRef/>
      </w:r>
      <w:r w:rsidRPr="000104B9">
        <w:t xml:space="preserve"> </w:t>
      </w:r>
      <w:proofErr w:type="gramStart"/>
      <w:r w:rsidRPr="000104B9">
        <w:t xml:space="preserve">Generalized Autoregressive Conditional </w:t>
      </w:r>
      <w:proofErr w:type="spellStart"/>
      <w:r w:rsidRPr="000104B9">
        <w:t>Heteroskedasticity</w:t>
      </w:r>
      <w:proofErr w:type="spellEnd"/>
      <w:r w:rsidRPr="000104B9">
        <w:t>.</w:t>
      </w:r>
      <w:proofErr w:type="gramEnd"/>
    </w:p>
  </w:footnote>
  <w:footnote w:id="4">
    <w:p w:rsidR="0026434D" w:rsidRPr="000104B9" w:rsidRDefault="0026434D" w:rsidP="000D3BE4">
      <w:pPr>
        <w:pStyle w:val="FootnoteText"/>
        <w:jc w:val="both"/>
      </w:pPr>
      <w:r w:rsidRPr="000104B9">
        <w:rPr>
          <w:rStyle w:val="FootnoteReference"/>
        </w:rPr>
        <w:footnoteRef/>
      </w:r>
      <w:r w:rsidRPr="000104B9">
        <w:t xml:space="preserve"> Excess return is calculated </w:t>
      </w:r>
      <w:proofErr w:type="gramStart"/>
      <w:r w:rsidRPr="000104B9">
        <w:t xml:space="preserve">as </w:t>
      </w:r>
      <w:proofErr w:type="gramEnd"/>
      <w:r w:rsidRPr="000104B9">
        <w:rPr>
          <w:position w:val="-12"/>
        </w:rPr>
        <w:object w:dxaOrig="920" w:dyaOrig="300">
          <v:shape id="_x0000_i1062" type="#_x0000_t75" style="width:45.75pt;height:15pt" o:ole="">
            <v:imagedata r:id="rId1" o:title=""/>
          </v:shape>
          <o:OLEObject Type="Embed" ProgID="Equation.DSMT4" ShapeID="_x0000_i1062" DrawAspect="Content" ObjectID="_1479797626" r:id="rId2"/>
        </w:object>
      </w:r>
      <w:r w:rsidRPr="000104B9">
        <w:t xml:space="preserve">, where </w:t>
      </w:r>
      <w:proofErr w:type="spellStart"/>
      <w:r w:rsidRPr="000104B9">
        <w:rPr>
          <w:i/>
        </w:rPr>
        <w:t>R</w:t>
      </w:r>
      <w:r w:rsidRPr="000104B9">
        <w:rPr>
          <w:i/>
          <w:vertAlign w:val="subscript"/>
        </w:rPr>
        <w:t>it</w:t>
      </w:r>
      <w:proofErr w:type="spellEnd"/>
      <w:r w:rsidRPr="000104B9">
        <w:t xml:space="preserve"> represents the return on</w:t>
      </w:r>
      <w:r>
        <w:t xml:space="preserve"> the</w:t>
      </w:r>
      <w:r w:rsidRPr="000104B9">
        <w:t xml:space="preserve"> </w:t>
      </w:r>
      <w:proofErr w:type="spellStart"/>
      <w:r w:rsidRPr="000104B9">
        <w:rPr>
          <w:i/>
        </w:rPr>
        <w:t>i</w:t>
      </w:r>
      <w:r w:rsidRPr="000104B9">
        <w:t>-th</w:t>
      </w:r>
      <w:proofErr w:type="spellEnd"/>
      <w:r w:rsidRPr="000104B9">
        <w:t xml:space="preserve"> stock in moment </w:t>
      </w:r>
      <w:r w:rsidRPr="000104B9">
        <w:rPr>
          <w:i/>
        </w:rPr>
        <w:t>t</w:t>
      </w:r>
      <w:r w:rsidRPr="000104B9">
        <w:t xml:space="preserve"> and </w:t>
      </w:r>
      <w:proofErr w:type="spellStart"/>
      <w:r w:rsidRPr="000104B9">
        <w:rPr>
          <w:i/>
        </w:rPr>
        <w:t>r</w:t>
      </w:r>
      <w:r w:rsidRPr="000104B9">
        <w:rPr>
          <w:i/>
          <w:vertAlign w:val="subscript"/>
        </w:rPr>
        <w:t>ft</w:t>
      </w:r>
      <w:proofErr w:type="spellEnd"/>
      <w:r w:rsidRPr="000104B9">
        <w:t xml:space="preserve"> represents</w:t>
      </w:r>
      <w:r>
        <w:t xml:space="preserve"> a</w:t>
      </w:r>
      <w:r w:rsidRPr="000104B9">
        <w:t xml:space="preserve"> risk-free return in moment </w:t>
      </w:r>
      <w:r w:rsidRPr="000104B9">
        <w:rPr>
          <w:i/>
        </w:rPr>
        <w:t>t</w:t>
      </w:r>
      <w:r w:rsidRPr="000104B9">
        <w:t xml:space="preserve">. </w:t>
      </w:r>
      <w:r>
        <w:t>The e</w:t>
      </w:r>
      <w:r w:rsidRPr="000104B9">
        <w:t xml:space="preserve">xcess market return is calculated </w:t>
      </w:r>
      <w:proofErr w:type="gramStart"/>
      <w:r w:rsidRPr="000104B9">
        <w:t xml:space="preserve">as </w:t>
      </w:r>
      <w:proofErr w:type="gramEnd"/>
      <w:r w:rsidRPr="000104B9">
        <w:rPr>
          <w:position w:val="-12"/>
        </w:rPr>
        <w:object w:dxaOrig="1040" w:dyaOrig="300">
          <v:shape id="_x0000_i1063" type="#_x0000_t75" style="width:51.75pt;height:15pt" o:ole="">
            <v:imagedata r:id="rId3" o:title=""/>
          </v:shape>
          <o:OLEObject Type="Embed" ProgID="Equation.DSMT4" ShapeID="_x0000_i1063" DrawAspect="Content" ObjectID="_1479797627" r:id="rId4"/>
        </w:object>
      </w:r>
      <w:r w:rsidRPr="000104B9">
        <w:t xml:space="preserve">, where </w:t>
      </w:r>
      <w:proofErr w:type="spellStart"/>
      <w:r w:rsidRPr="000104B9">
        <w:rPr>
          <w:i/>
        </w:rPr>
        <w:t>R</w:t>
      </w:r>
      <w:r w:rsidRPr="000104B9">
        <w:rPr>
          <w:i/>
          <w:vertAlign w:val="subscript"/>
        </w:rPr>
        <w:t>mt</w:t>
      </w:r>
      <w:proofErr w:type="spellEnd"/>
      <w:r w:rsidRPr="000104B9">
        <w:t xml:space="preserve"> represents</w:t>
      </w:r>
      <w:r>
        <w:t xml:space="preserve"> a</w:t>
      </w:r>
      <w:r w:rsidRPr="000104B9">
        <w:t xml:space="preserve"> stock market return.</w:t>
      </w:r>
    </w:p>
  </w:footnote>
  <w:footnote w:id="5">
    <w:p w:rsidR="0026434D" w:rsidRPr="000104B9" w:rsidRDefault="0026434D" w:rsidP="000D3BE4">
      <w:pPr>
        <w:pStyle w:val="FootnoteText"/>
        <w:jc w:val="both"/>
      </w:pPr>
      <w:r w:rsidRPr="000104B9">
        <w:rPr>
          <w:rStyle w:val="FootnoteReference"/>
        </w:rPr>
        <w:footnoteRef/>
      </w:r>
      <w:r w:rsidRPr="000104B9">
        <w:t xml:space="preserve"> Usually, when analyzing financial data the assumption of a Gaussian distribution of error terms is often replaced by a Student</w:t>
      </w:r>
      <w:r>
        <w:t>’s</w:t>
      </w:r>
      <w:r w:rsidRPr="000104B9">
        <w:t xml:space="preserve"> distribution.</w:t>
      </w:r>
    </w:p>
  </w:footnote>
  <w:footnote w:id="6">
    <w:p w:rsidR="0026434D" w:rsidRPr="00BC0626" w:rsidRDefault="0026434D" w:rsidP="000D3BE4">
      <w:pPr>
        <w:pStyle w:val="FootnoteText"/>
        <w:jc w:val="both"/>
      </w:pPr>
      <w:r w:rsidRPr="00BC0626">
        <w:rPr>
          <w:rStyle w:val="FootnoteReference"/>
        </w:rPr>
        <w:footnoteRef/>
      </w:r>
      <w:r w:rsidRPr="00BC0626">
        <w:t xml:space="preserve"> And CROBEX</w:t>
      </w:r>
      <w:r>
        <w:t xml:space="preserve"> </w:t>
      </w:r>
      <w:r w:rsidRPr="00BC0626">
        <w:t>index as well.</w:t>
      </w:r>
    </w:p>
  </w:footnote>
  <w:footnote w:id="7">
    <w:p w:rsidR="0026434D" w:rsidRPr="00BC0626" w:rsidRDefault="0026434D" w:rsidP="000D3BE4">
      <w:pPr>
        <w:pStyle w:val="FootnoteText"/>
        <w:jc w:val="both"/>
      </w:pPr>
      <w:r w:rsidRPr="00BC0626">
        <w:rPr>
          <w:rStyle w:val="FootnoteReference"/>
        </w:rPr>
        <w:footnoteRef/>
      </w:r>
      <w:r w:rsidRPr="00BC0626">
        <w:t xml:space="preserve"> ADF unit root test was performed in levels, with constant and trend and only constant as deterministic components. For each stock</w:t>
      </w:r>
      <w:r>
        <w:t>,</w:t>
      </w:r>
      <w:r w:rsidRPr="00BC0626">
        <w:t xml:space="preserve"> except KOEI and KORF</w:t>
      </w:r>
      <w:r>
        <w:t>,</w:t>
      </w:r>
      <w:r w:rsidRPr="00BC0626">
        <w:t xml:space="preserve"> test results on</w:t>
      </w:r>
      <w:r>
        <w:t xml:space="preserve"> a</w:t>
      </w:r>
      <w:r w:rsidRPr="00BC0626">
        <w:t xml:space="preserve"> 1% significance level indicated to reject the null hypothesis. For two mentioned stocks, the null can be rejected on </w:t>
      </w:r>
      <w:r>
        <w:t xml:space="preserve">a </w:t>
      </w:r>
      <w:r w:rsidRPr="00BC0626">
        <w:t xml:space="preserve">5% level. Additionally, a PP test was performed on two mentioned stocks, which confirmed that their returns are a stationary process. </w:t>
      </w:r>
      <w:r>
        <w:t>Full</w:t>
      </w:r>
      <w:r w:rsidRPr="00BC0626">
        <w:t xml:space="preserve"> results </w:t>
      </w:r>
      <w:r>
        <w:t>of the</w:t>
      </w:r>
      <w:r w:rsidRPr="00BC0626">
        <w:t xml:space="preserve"> mentioned tests are omitted due to the lack of space but are available upon request.</w:t>
      </w:r>
    </w:p>
  </w:footnote>
  <w:footnote w:id="8">
    <w:p w:rsidR="0026434D" w:rsidRPr="00BC0626" w:rsidRDefault="0026434D" w:rsidP="000D3BE4">
      <w:pPr>
        <w:pStyle w:val="FootnoteText"/>
        <w:jc w:val="both"/>
      </w:pPr>
      <w:r w:rsidRPr="00BC0626">
        <w:rPr>
          <w:rStyle w:val="FootnoteReference"/>
        </w:rPr>
        <w:footnoteRef/>
      </w:r>
      <w:r w:rsidRPr="00BC0626">
        <w:t xml:space="preserve"> Again, the results are omitted, but are available upon request.</w:t>
      </w:r>
    </w:p>
  </w:footnote>
  <w:footnote w:id="9">
    <w:p w:rsidR="0026434D" w:rsidRDefault="0026434D">
      <w:pPr>
        <w:pStyle w:val="FootnoteText"/>
      </w:pPr>
      <w:r>
        <w:rPr>
          <w:rStyle w:val="FootnoteReference"/>
        </w:rPr>
        <w:footnoteRef/>
      </w:r>
      <w:r>
        <w:t xml:space="preserve"> </w:t>
      </w:r>
      <w:r w:rsidRPr="00BC0626">
        <w:t>Default initial values of p = q = 0.5 were used</w:t>
      </w:r>
      <w:r>
        <w:t xml:space="preserve">. </w:t>
      </w:r>
    </w:p>
  </w:footnote>
  <w:footnote w:id="10">
    <w:p w:rsidR="0026434D" w:rsidRPr="000104B9" w:rsidRDefault="0026434D" w:rsidP="00A23E59">
      <w:pPr>
        <w:pStyle w:val="ListParagraph"/>
        <w:ind w:left="0"/>
        <w:jc w:val="both"/>
        <w:rPr>
          <w:sz w:val="20"/>
          <w:szCs w:val="20"/>
        </w:rPr>
      </w:pPr>
      <w:r w:rsidRPr="000104B9">
        <w:rPr>
          <w:rStyle w:val="FootnoteReference"/>
          <w:sz w:val="20"/>
          <w:szCs w:val="20"/>
        </w:rPr>
        <w:footnoteRef/>
      </w:r>
      <w:r w:rsidRPr="000104B9">
        <w:rPr>
          <w:sz w:val="20"/>
          <w:szCs w:val="20"/>
        </w:rPr>
        <w:t xml:space="preserve"> Beta is a measure of systematic risk of an individual stock, and the std. deviations are measures of the volatility (risk) of the market as a whole. </w:t>
      </w:r>
      <w:r>
        <w:rPr>
          <w:sz w:val="20"/>
          <w:szCs w:val="20"/>
        </w:rPr>
        <w:t>For more details, see</w:t>
      </w:r>
      <w:r w:rsidRPr="000104B9">
        <w:rPr>
          <w:sz w:val="20"/>
          <w:szCs w:val="20"/>
        </w:rPr>
        <w:t xml:space="preserve"> </w:t>
      </w:r>
      <w:proofErr w:type="spellStart"/>
      <w:r w:rsidRPr="000104B9">
        <w:rPr>
          <w:sz w:val="20"/>
          <w:szCs w:val="20"/>
        </w:rPr>
        <w:t>Korkmaz</w:t>
      </w:r>
      <w:proofErr w:type="spellEnd"/>
      <w:r w:rsidRPr="000104B9">
        <w:rPr>
          <w:sz w:val="20"/>
          <w:szCs w:val="20"/>
        </w:rPr>
        <w:t xml:space="preserve"> et al (2010), Shu-</w:t>
      </w:r>
      <w:proofErr w:type="spellStart"/>
      <w:r w:rsidRPr="000104B9">
        <w:rPr>
          <w:sz w:val="20"/>
          <w:szCs w:val="20"/>
        </w:rPr>
        <w:t>Hwa</w:t>
      </w:r>
      <w:proofErr w:type="spellEnd"/>
      <w:r w:rsidRPr="000104B9">
        <w:rPr>
          <w:sz w:val="20"/>
          <w:szCs w:val="20"/>
        </w:rPr>
        <w:t xml:space="preserve"> and Ho (2008) for more details.</w:t>
      </w:r>
    </w:p>
  </w:footnote>
  <w:footnote w:id="11">
    <w:p w:rsidR="0026434D" w:rsidRPr="000104B9" w:rsidRDefault="0026434D" w:rsidP="000D3BE4">
      <w:pPr>
        <w:pStyle w:val="FootnoteText"/>
        <w:jc w:val="both"/>
      </w:pPr>
      <w:r w:rsidRPr="000104B9">
        <w:rPr>
          <w:rStyle w:val="FootnoteReference"/>
        </w:rPr>
        <w:footnoteRef/>
      </w:r>
      <w:r w:rsidRPr="000104B9">
        <w:t xml:space="preserve"> Detailed results are available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D" w:rsidRPr="005273B2" w:rsidRDefault="0026434D" w:rsidP="003D1D07">
    <w:pPr>
      <w:pStyle w:val="Header"/>
      <w:jc w:val="center"/>
      <w:rPr>
        <w:sz w:val="18"/>
        <w:szCs w:val="18"/>
      </w:rPr>
    </w:pPr>
    <w:proofErr w:type="spellStart"/>
    <w:r>
      <w:rPr>
        <w:sz w:val="18"/>
        <w:szCs w:val="18"/>
      </w:rPr>
      <w:t>Tihana</w:t>
    </w:r>
    <w:proofErr w:type="spellEnd"/>
    <w:r>
      <w:rPr>
        <w:sz w:val="18"/>
        <w:szCs w:val="18"/>
      </w:rPr>
      <w:t xml:space="preserve"> </w:t>
    </w:r>
    <w:proofErr w:type="spellStart"/>
    <w:r>
      <w:rPr>
        <w:sz w:val="18"/>
        <w:szCs w:val="18"/>
      </w:rPr>
      <w:t>Škrinjarić</w:t>
    </w:r>
    <w:proofErr w:type="spellEnd"/>
  </w:p>
  <w:p w:rsidR="0026434D" w:rsidRPr="005273B2" w:rsidRDefault="0026434D" w:rsidP="005273B2">
    <w:pPr>
      <w:pStyle w:val="Header"/>
      <w:rPr>
        <w:noProof/>
      </w:rPr>
    </w:pPr>
    <w:r w:rsidRPr="005273B2">
      <w:fldChar w:fldCharType="begin"/>
    </w:r>
    <w:r w:rsidRPr="005273B2">
      <w:instrText xml:space="preserve"> PAGE   \* MERGEFORMAT </w:instrText>
    </w:r>
    <w:r w:rsidRPr="005273B2">
      <w:fldChar w:fldCharType="separate"/>
    </w:r>
    <w:r w:rsidR="00F92351">
      <w:rPr>
        <w:noProof/>
      </w:rPr>
      <w:t>16</w:t>
    </w:r>
    <w:r w:rsidRPr="005273B2">
      <w:rPr>
        <w:noProof/>
      </w:rPr>
      <w:fldChar w:fldCharType="end"/>
    </w:r>
  </w:p>
  <w:p w:rsidR="0026434D" w:rsidRDefault="0026434D" w:rsidP="0052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D" w:rsidRPr="005273B2" w:rsidRDefault="0026434D" w:rsidP="003D1D07">
    <w:pPr>
      <w:pStyle w:val="Header"/>
      <w:jc w:val="center"/>
      <w:rPr>
        <w:sz w:val="18"/>
        <w:szCs w:val="18"/>
      </w:rPr>
    </w:pPr>
    <w:r>
      <w:rPr>
        <w:sz w:val="18"/>
        <w:szCs w:val="18"/>
      </w:rPr>
      <w:t>Testing For Regime-Switching CAPM on Zagreb Stock Exchange</w:t>
    </w:r>
  </w:p>
  <w:p w:rsidR="0026434D" w:rsidRPr="005273B2" w:rsidRDefault="0026434D" w:rsidP="006C0348">
    <w:pPr>
      <w:pStyle w:val="Header"/>
      <w:jc w:val="right"/>
    </w:pPr>
    <w:r w:rsidRPr="005273B2">
      <w:fldChar w:fldCharType="begin"/>
    </w:r>
    <w:r w:rsidRPr="005273B2">
      <w:instrText xml:space="preserve"> PAGE   \* MERGEFORMAT </w:instrText>
    </w:r>
    <w:r w:rsidRPr="005273B2">
      <w:fldChar w:fldCharType="separate"/>
    </w:r>
    <w:r w:rsidR="00F92351">
      <w:rPr>
        <w:noProof/>
      </w:rPr>
      <w:t>15</w:t>
    </w:r>
    <w:r w:rsidRPr="005273B2">
      <w:rPr>
        <w:noProof/>
      </w:rPr>
      <w:fldChar w:fldCharType="end"/>
    </w:r>
  </w:p>
  <w:p w:rsidR="0026434D" w:rsidRDefault="00264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D" w:rsidRPr="0041497A" w:rsidRDefault="0026434D" w:rsidP="006C0348">
    <w:pPr>
      <w:pStyle w:val="Header"/>
      <w:rPr>
        <w:sz w:val="20"/>
        <w:szCs w:val="20"/>
      </w:rPr>
    </w:pPr>
    <w:r w:rsidRPr="0041497A">
      <w:rPr>
        <w:sz w:val="20"/>
        <w:szCs w:val="20"/>
      </w:rPr>
      <w:t>Croatian Operational Research Review</w:t>
    </w:r>
  </w:p>
  <w:p w:rsidR="0026434D" w:rsidRPr="0041497A" w:rsidRDefault="0026434D" w:rsidP="006C0348">
    <w:pPr>
      <w:pStyle w:val="Header"/>
      <w:rPr>
        <w:sz w:val="20"/>
        <w:szCs w:val="20"/>
      </w:rPr>
    </w:pPr>
    <w:r>
      <w:rPr>
        <w:sz w:val="20"/>
        <w:szCs w:val="20"/>
      </w:rPr>
      <w:t>CRORR 6 (2014</w:t>
    </w:r>
    <w:r w:rsidRPr="0041497A">
      <w:rPr>
        <w:sz w:val="20"/>
        <w:szCs w:val="20"/>
      </w:rPr>
      <w:t>)</w:t>
    </w:r>
    <w:r>
      <w:rPr>
        <w:sz w:val="20"/>
        <w:szCs w:val="20"/>
      </w:rPr>
      <w:t>, 1-16</w:t>
    </w:r>
  </w:p>
  <w:p w:rsidR="0026434D" w:rsidRDefault="00264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43B6211"/>
    <w:multiLevelType w:val="hybridMultilevel"/>
    <w:tmpl w:val="861A141A"/>
    <w:lvl w:ilvl="0" w:tplc="CA82701C">
      <w:start w:val="1"/>
      <w:numFmt w:val="decimal"/>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39001C"/>
    <w:multiLevelType w:val="hybridMultilevel"/>
    <w:tmpl w:val="DB8C118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1D033EA"/>
    <w:multiLevelType w:val="hybridMultilevel"/>
    <w:tmpl w:val="CB18D4F8"/>
    <w:lvl w:ilvl="0" w:tplc="CD222F24">
      <w:start w:val="3"/>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B900C04"/>
    <w:multiLevelType w:val="multilevel"/>
    <w:tmpl w:val="B198BD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91B7FF7"/>
    <w:multiLevelType w:val="hybridMultilevel"/>
    <w:tmpl w:val="0A129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8"/>
  </w:num>
  <w:num w:numId="4">
    <w:abstractNumId w:val="9"/>
  </w:num>
  <w:num w:numId="5">
    <w:abstractNumId w:val="11"/>
  </w:num>
  <w:num w:numId="6">
    <w:abstractNumId w:val="17"/>
  </w:num>
  <w:num w:numId="7">
    <w:abstractNumId w:val="1"/>
  </w:num>
  <w:num w:numId="8">
    <w:abstractNumId w:val="6"/>
  </w:num>
  <w:num w:numId="9">
    <w:abstractNumId w:val="15"/>
  </w:num>
  <w:num w:numId="10">
    <w:abstractNumId w:val="12"/>
  </w:num>
  <w:num w:numId="11">
    <w:abstractNumId w:val="14"/>
  </w:num>
  <w:num w:numId="12">
    <w:abstractNumId w:val="0"/>
  </w:num>
  <w:num w:numId="13">
    <w:abstractNumId w:val="21"/>
  </w:num>
  <w:num w:numId="14">
    <w:abstractNumId w:val="2"/>
  </w:num>
  <w:num w:numId="15">
    <w:abstractNumId w:val="16"/>
  </w:num>
  <w:num w:numId="16">
    <w:abstractNumId w:val="3"/>
  </w:num>
  <w:num w:numId="17">
    <w:abstractNumId w:val="20"/>
  </w:num>
  <w:num w:numId="18">
    <w:abstractNumId w:val="13"/>
  </w:num>
  <w:num w:numId="19">
    <w:abstractNumId w:val="5"/>
  </w:num>
  <w:num w:numId="20">
    <w:abstractNumId w:val="4"/>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350D"/>
    <w:rsid w:val="00007028"/>
    <w:rsid w:val="00021AFE"/>
    <w:rsid w:val="00036595"/>
    <w:rsid w:val="00052110"/>
    <w:rsid w:val="000632EE"/>
    <w:rsid w:val="00071AAD"/>
    <w:rsid w:val="0008023D"/>
    <w:rsid w:val="00097B78"/>
    <w:rsid w:val="000A16FB"/>
    <w:rsid w:val="000A50E5"/>
    <w:rsid w:val="000D3BE4"/>
    <w:rsid w:val="00111409"/>
    <w:rsid w:val="00112950"/>
    <w:rsid w:val="00117960"/>
    <w:rsid w:val="00143DEB"/>
    <w:rsid w:val="001760F5"/>
    <w:rsid w:val="00192D6E"/>
    <w:rsid w:val="001B487D"/>
    <w:rsid w:val="001C29F5"/>
    <w:rsid w:val="001C3835"/>
    <w:rsid w:val="001D08B6"/>
    <w:rsid w:val="001D71EC"/>
    <w:rsid w:val="0026434D"/>
    <w:rsid w:val="00285EA2"/>
    <w:rsid w:val="002A7E63"/>
    <w:rsid w:val="002E1F00"/>
    <w:rsid w:val="002E30EC"/>
    <w:rsid w:val="002F6562"/>
    <w:rsid w:val="00301CC1"/>
    <w:rsid w:val="00303013"/>
    <w:rsid w:val="00305EE6"/>
    <w:rsid w:val="00353105"/>
    <w:rsid w:val="003B0746"/>
    <w:rsid w:val="003B704F"/>
    <w:rsid w:val="003C6E58"/>
    <w:rsid w:val="003D1D07"/>
    <w:rsid w:val="003F5D82"/>
    <w:rsid w:val="00407164"/>
    <w:rsid w:val="0041497A"/>
    <w:rsid w:val="00417288"/>
    <w:rsid w:val="00426F53"/>
    <w:rsid w:val="00427BD9"/>
    <w:rsid w:val="004916D0"/>
    <w:rsid w:val="00492C95"/>
    <w:rsid w:val="004A1772"/>
    <w:rsid w:val="004A49F7"/>
    <w:rsid w:val="004B5FC5"/>
    <w:rsid w:val="004E6DC3"/>
    <w:rsid w:val="0050479B"/>
    <w:rsid w:val="005273B2"/>
    <w:rsid w:val="005406D1"/>
    <w:rsid w:val="00542E9E"/>
    <w:rsid w:val="00554766"/>
    <w:rsid w:val="005D26A0"/>
    <w:rsid w:val="005E07A7"/>
    <w:rsid w:val="00616CA4"/>
    <w:rsid w:val="00623455"/>
    <w:rsid w:val="00647D48"/>
    <w:rsid w:val="00654AC4"/>
    <w:rsid w:val="00696F04"/>
    <w:rsid w:val="006C0348"/>
    <w:rsid w:val="006D6858"/>
    <w:rsid w:val="006F03ED"/>
    <w:rsid w:val="00703809"/>
    <w:rsid w:val="007049E4"/>
    <w:rsid w:val="007066CC"/>
    <w:rsid w:val="00716344"/>
    <w:rsid w:val="007355F2"/>
    <w:rsid w:val="00747FBC"/>
    <w:rsid w:val="00765F39"/>
    <w:rsid w:val="0076669B"/>
    <w:rsid w:val="0078142C"/>
    <w:rsid w:val="00795EE5"/>
    <w:rsid w:val="007A77F0"/>
    <w:rsid w:val="007A7E4C"/>
    <w:rsid w:val="007B0937"/>
    <w:rsid w:val="007C4B15"/>
    <w:rsid w:val="007E350D"/>
    <w:rsid w:val="00802D6B"/>
    <w:rsid w:val="008460EB"/>
    <w:rsid w:val="00852B3E"/>
    <w:rsid w:val="008677CE"/>
    <w:rsid w:val="0088672B"/>
    <w:rsid w:val="008F2F9E"/>
    <w:rsid w:val="008F497D"/>
    <w:rsid w:val="009155B8"/>
    <w:rsid w:val="0092656E"/>
    <w:rsid w:val="00930BB9"/>
    <w:rsid w:val="009A0017"/>
    <w:rsid w:val="009C213C"/>
    <w:rsid w:val="00A06222"/>
    <w:rsid w:val="00A11623"/>
    <w:rsid w:val="00A11AD8"/>
    <w:rsid w:val="00A145F7"/>
    <w:rsid w:val="00A23E59"/>
    <w:rsid w:val="00A521BD"/>
    <w:rsid w:val="00A551A4"/>
    <w:rsid w:val="00A60347"/>
    <w:rsid w:val="00A66F34"/>
    <w:rsid w:val="00A706F8"/>
    <w:rsid w:val="00AA113E"/>
    <w:rsid w:val="00AC0212"/>
    <w:rsid w:val="00AD257F"/>
    <w:rsid w:val="00AF3B7C"/>
    <w:rsid w:val="00B10970"/>
    <w:rsid w:val="00B1752C"/>
    <w:rsid w:val="00B1759E"/>
    <w:rsid w:val="00B262F3"/>
    <w:rsid w:val="00B346DF"/>
    <w:rsid w:val="00BA4E6D"/>
    <w:rsid w:val="00BC0626"/>
    <w:rsid w:val="00BD1B60"/>
    <w:rsid w:val="00BD7DCE"/>
    <w:rsid w:val="00BE5310"/>
    <w:rsid w:val="00C41F06"/>
    <w:rsid w:val="00C46F7E"/>
    <w:rsid w:val="00C81192"/>
    <w:rsid w:val="00C956C2"/>
    <w:rsid w:val="00CD22B5"/>
    <w:rsid w:val="00CE082C"/>
    <w:rsid w:val="00CE6038"/>
    <w:rsid w:val="00D5211A"/>
    <w:rsid w:val="00D65D03"/>
    <w:rsid w:val="00D65E8F"/>
    <w:rsid w:val="00D96FFA"/>
    <w:rsid w:val="00DB19D9"/>
    <w:rsid w:val="00DC1C9B"/>
    <w:rsid w:val="00DE3863"/>
    <w:rsid w:val="00DE6945"/>
    <w:rsid w:val="00E11EB0"/>
    <w:rsid w:val="00E239E7"/>
    <w:rsid w:val="00E40730"/>
    <w:rsid w:val="00E708F2"/>
    <w:rsid w:val="00EF6D94"/>
    <w:rsid w:val="00F036F0"/>
    <w:rsid w:val="00F22601"/>
    <w:rsid w:val="00F232E6"/>
    <w:rsid w:val="00F31AA0"/>
    <w:rsid w:val="00F509AC"/>
    <w:rsid w:val="00F62765"/>
    <w:rsid w:val="00F92351"/>
    <w:rsid w:val="00FE21BE"/>
    <w:rsid w:val="00FE7BC6"/>
    <w:rsid w:val="00FF0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character" w:customStyle="1" w:styleId="FootnoteTextChar">
    <w:name w:val="Footnote Text Char"/>
    <w:link w:val="FootnoteText"/>
    <w:uiPriority w:val="99"/>
    <w:semiHidden/>
    <w:rsid w:val="000D3BE4"/>
    <w:rPr>
      <w:lang w:val="en-US" w:eastAsia="en-US"/>
    </w:rPr>
  </w:style>
  <w:style w:type="character" w:customStyle="1" w:styleId="hps">
    <w:name w:val="hps"/>
    <w:basedOn w:val="DefaultParagraphFont"/>
    <w:rsid w:val="000D3BE4"/>
  </w:style>
  <w:style w:type="paragraph" w:styleId="EndnoteText">
    <w:name w:val="endnote text"/>
    <w:basedOn w:val="Normal"/>
    <w:link w:val="EndnoteTextChar"/>
    <w:rsid w:val="0026434D"/>
    <w:rPr>
      <w:sz w:val="20"/>
      <w:szCs w:val="20"/>
    </w:rPr>
  </w:style>
  <w:style w:type="character" w:customStyle="1" w:styleId="EndnoteTextChar">
    <w:name w:val="Endnote Text Char"/>
    <w:basedOn w:val="DefaultParagraphFont"/>
    <w:link w:val="EndnoteText"/>
    <w:rsid w:val="0026434D"/>
    <w:rPr>
      <w:lang w:val="en-US" w:eastAsia="en-US"/>
    </w:rPr>
  </w:style>
  <w:style w:type="character" w:styleId="EndnoteReference">
    <w:name w:val="endnote reference"/>
    <w:basedOn w:val="DefaultParagraphFont"/>
    <w:rsid w:val="0026434D"/>
    <w:rPr>
      <w:vertAlign w:val="superscript"/>
    </w:rPr>
  </w:style>
  <w:style w:type="character" w:styleId="LineNumber">
    <w:name w:val="line number"/>
    <w:basedOn w:val="DefaultParagraphFont"/>
    <w:rsid w:val="00F92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character" w:customStyle="1" w:styleId="FootnoteTextChar">
    <w:name w:val="Footnote Text Char"/>
    <w:link w:val="FootnoteText"/>
    <w:uiPriority w:val="99"/>
    <w:semiHidden/>
    <w:rsid w:val="000D3BE4"/>
    <w:rPr>
      <w:lang w:val="en-US" w:eastAsia="en-US"/>
    </w:rPr>
  </w:style>
  <w:style w:type="character" w:customStyle="1" w:styleId="hps">
    <w:name w:val="hps"/>
    <w:basedOn w:val="DefaultParagraphFont"/>
    <w:rsid w:val="000D3BE4"/>
  </w:style>
  <w:style w:type="paragraph" w:styleId="EndnoteText">
    <w:name w:val="endnote text"/>
    <w:basedOn w:val="Normal"/>
    <w:link w:val="EndnoteTextChar"/>
    <w:rsid w:val="0026434D"/>
    <w:rPr>
      <w:sz w:val="20"/>
      <w:szCs w:val="20"/>
    </w:rPr>
  </w:style>
  <w:style w:type="character" w:customStyle="1" w:styleId="EndnoteTextChar">
    <w:name w:val="Endnote Text Char"/>
    <w:basedOn w:val="DefaultParagraphFont"/>
    <w:link w:val="EndnoteText"/>
    <w:rsid w:val="0026434D"/>
    <w:rPr>
      <w:lang w:val="en-US" w:eastAsia="en-US"/>
    </w:rPr>
  </w:style>
  <w:style w:type="character" w:styleId="EndnoteReference">
    <w:name w:val="endnote reference"/>
    <w:basedOn w:val="DefaultParagraphFont"/>
    <w:rsid w:val="0026434D"/>
    <w:rPr>
      <w:vertAlign w:val="superscript"/>
    </w:rPr>
  </w:style>
  <w:style w:type="character" w:styleId="LineNumber">
    <w:name w:val="line number"/>
    <w:basedOn w:val="DefaultParagraphFont"/>
    <w:rsid w:val="00F9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footer" Target="footer1.xml"/><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9.bin"/><Relationship Id="rId5" Type="http://schemas.openxmlformats.org/officeDocument/2006/relationships/settings" Target="settings.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7.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header" Target="header1.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61" Type="http://schemas.openxmlformats.org/officeDocument/2006/relationships/image" Target="media/image29.wmf"/><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D32D-C086-4BAE-91E2-3F845AD9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Prof</vt:lpstr>
    </vt:vector>
  </TitlesOfParts>
  <Company>efst</Company>
  <LinksUpToDate>false</LinksUpToDate>
  <CharactersWithSpaces>34879</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Helena</cp:lastModifiedBy>
  <cp:revision>44</cp:revision>
  <cp:lastPrinted>2014-12-10T15:47:00Z</cp:lastPrinted>
  <dcterms:created xsi:type="dcterms:W3CDTF">2014-09-15T09:09:00Z</dcterms:created>
  <dcterms:modified xsi:type="dcterms:W3CDTF">2014-12-11T09:06:00Z</dcterms:modified>
</cp:coreProperties>
</file>