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FC" w:rsidRPr="00001F65" w:rsidRDefault="005E6FFC" w:rsidP="0084153F">
      <w:pPr>
        <w:jc w:val="center"/>
        <w:rPr>
          <w:b/>
          <w:sz w:val="28"/>
          <w:szCs w:val="28"/>
        </w:rPr>
      </w:pPr>
      <w:r w:rsidRPr="00001F65">
        <w:rPr>
          <w:b/>
          <w:sz w:val="28"/>
          <w:szCs w:val="28"/>
        </w:rPr>
        <w:t>Multivariate Approach to Determination of Intermediate Target of Monetary Policy Strategy in CEE Countries</w:t>
      </w:r>
    </w:p>
    <w:p w:rsidR="005E6FFC" w:rsidRDefault="005E6FFC" w:rsidP="00CC518F">
      <w:pPr>
        <w:rPr>
          <w:b/>
          <w:bCs/>
          <w:lang w:val="en-GB"/>
        </w:rPr>
      </w:pPr>
    </w:p>
    <w:p w:rsidR="005E6FFC" w:rsidRPr="00DC1C9B" w:rsidRDefault="005E6FFC" w:rsidP="00CC518F">
      <w:pPr>
        <w:rPr>
          <w:b/>
          <w:bCs/>
          <w:lang w:val="en-GB"/>
        </w:rPr>
      </w:pPr>
    </w:p>
    <w:p w:rsidR="005E6FFC" w:rsidRPr="00DC1C9B" w:rsidRDefault="005E6FFC" w:rsidP="00CC518F">
      <w:pPr>
        <w:pStyle w:val="Heading1"/>
      </w:pPr>
      <w:r>
        <w:t>Mario Pečarić</w:t>
      </w:r>
    </w:p>
    <w:p w:rsidR="005E6FFC" w:rsidRPr="00CC518F" w:rsidRDefault="005E6FFC" w:rsidP="00CC518F">
      <w:pPr>
        <w:jc w:val="center"/>
        <w:rPr>
          <w:lang w:val="en-GB"/>
        </w:rPr>
      </w:pPr>
      <w:r w:rsidRPr="00CC518F">
        <w:rPr>
          <w:lang w:val="en-GB"/>
        </w:rPr>
        <w:t xml:space="preserve">Faculty of Economics, </w:t>
      </w:r>
      <w:smartTag w:uri="urn:schemas-microsoft-com:office:smarttags" w:element="PlaceType">
        <w:smartTag w:uri="urn:schemas-microsoft-com:office:smarttags" w:element="place">
          <w:r w:rsidRPr="00CC518F">
            <w:rPr>
              <w:lang w:val="en-GB"/>
            </w:rPr>
            <w:t>University</w:t>
          </w:r>
        </w:smartTag>
        <w:r w:rsidRPr="00CC518F">
          <w:rPr>
            <w:lang w:val="en-GB"/>
          </w:rPr>
          <w:t xml:space="preserve"> of </w:t>
        </w:r>
        <w:smartTag w:uri="urn:schemas-microsoft-com:office:smarttags" w:element="PlaceName">
          <w:r w:rsidRPr="00CC518F">
            <w:rPr>
              <w:lang w:val="en-GB"/>
            </w:rPr>
            <w:t>Split</w:t>
          </w:r>
        </w:smartTag>
      </w:smartTag>
    </w:p>
    <w:p w:rsidR="005E6FFC" w:rsidRPr="00CC518F" w:rsidRDefault="005E6FFC" w:rsidP="00CC518F">
      <w:pPr>
        <w:jc w:val="center"/>
        <w:rPr>
          <w:lang w:val="en-GB"/>
        </w:rPr>
      </w:pPr>
      <w:r w:rsidRPr="00CC518F">
        <w:rPr>
          <w:lang w:val="en-GB"/>
        </w:rPr>
        <w:t xml:space="preserve">Cvite Fiskovića 5, 21 000 </w:t>
      </w:r>
      <w:smartTag w:uri="urn:schemas-microsoft-com:office:smarttags" w:element="City">
        <w:r w:rsidRPr="00CC518F">
          <w:rPr>
            <w:lang w:val="en-GB"/>
          </w:rPr>
          <w:t>Split</w:t>
        </w:r>
      </w:smartTag>
      <w:r w:rsidRPr="00CC518F">
        <w:rPr>
          <w:lang w:val="en-GB"/>
        </w:rPr>
        <w:t xml:space="preserve">, </w:t>
      </w:r>
      <w:smartTag w:uri="urn:schemas-microsoft-com:office:smarttags" w:element="country-region">
        <w:smartTag w:uri="urn:schemas-microsoft-com:office:smarttags" w:element="place">
          <w:r w:rsidRPr="00CC518F">
            <w:rPr>
              <w:lang w:val="en-GB"/>
            </w:rPr>
            <w:t>Croatia</w:t>
          </w:r>
        </w:smartTag>
      </w:smartTag>
    </w:p>
    <w:p w:rsidR="005E6FFC" w:rsidRPr="00DC1C9B" w:rsidRDefault="005E6FFC" w:rsidP="00CC518F">
      <w:pPr>
        <w:jc w:val="center"/>
      </w:pPr>
      <w:r w:rsidRPr="00CC518F">
        <w:rPr>
          <w:lang w:val="en-GB"/>
        </w:rPr>
        <w:t>E-mail: &lt;mpecaric@efst.hr&gt;</w:t>
      </w:r>
    </w:p>
    <w:p w:rsidR="005E6FFC" w:rsidRPr="00DC1C9B" w:rsidRDefault="005E6FFC" w:rsidP="00CC518F">
      <w:pPr>
        <w:jc w:val="center"/>
      </w:pPr>
    </w:p>
    <w:p w:rsidR="005E6FFC" w:rsidRPr="00DC1C9B" w:rsidRDefault="005E6FFC" w:rsidP="00CC518F">
      <w:pPr>
        <w:pStyle w:val="Heading1"/>
      </w:pPr>
      <w:r>
        <w:t>Snježana Pivac</w:t>
      </w:r>
      <w:r>
        <w:rPr>
          <w:rStyle w:val="FootnoteReference"/>
        </w:rPr>
        <w:t xml:space="preserve"> </w:t>
      </w:r>
      <w:r>
        <w:rPr>
          <w:rStyle w:val="FootnoteReference"/>
        </w:rPr>
        <w:footnoteReference w:id="1"/>
      </w:r>
    </w:p>
    <w:p w:rsidR="005E6FFC" w:rsidRPr="00CC518F" w:rsidRDefault="005E6FFC" w:rsidP="00CC518F">
      <w:pPr>
        <w:jc w:val="center"/>
        <w:rPr>
          <w:lang w:val="en-GB"/>
        </w:rPr>
      </w:pPr>
      <w:r w:rsidRPr="00CC518F">
        <w:rPr>
          <w:lang w:val="en-GB"/>
        </w:rPr>
        <w:t xml:space="preserve">Faculty of Economics, </w:t>
      </w:r>
      <w:smartTag w:uri="urn:schemas-microsoft-com:office:smarttags" w:element="PlaceType">
        <w:smartTag w:uri="urn:schemas-microsoft-com:office:smarttags" w:element="place">
          <w:r w:rsidRPr="00CC518F">
            <w:rPr>
              <w:lang w:val="en-GB"/>
            </w:rPr>
            <w:t>University</w:t>
          </w:r>
        </w:smartTag>
        <w:r w:rsidRPr="00CC518F">
          <w:rPr>
            <w:lang w:val="en-GB"/>
          </w:rPr>
          <w:t xml:space="preserve"> of </w:t>
        </w:r>
        <w:smartTag w:uri="urn:schemas-microsoft-com:office:smarttags" w:element="PlaceName">
          <w:r w:rsidRPr="00CC518F">
            <w:rPr>
              <w:lang w:val="en-GB"/>
            </w:rPr>
            <w:t>Split</w:t>
          </w:r>
        </w:smartTag>
      </w:smartTag>
    </w:p>
    <w:p w:rsidR="005E6FFC" w:rsidRPr="00CC518F" w:rsidRDefault="005E6FFC" w:rsidP="00CC518F">
      <w:pPr>
        <w:jc w:val="center"/>
        <w:rPr>
          <w:lang w:val="en-GB"/>
        </w:rPr>
      </w:pPr>
      <w:r w:rsidRPr="00CC518F">
        <w:rPr>
          <w:lang w:val="en-GB"/>
        </w:rPr>
        <w:t xml:space="preserve">Cvite Fiskovića 5, 21 000 </w:t>
      </w:r>
      <w:smartTag w:uri="urn:schemas-microsoft-com:office:smarttags" w:element="City">
        <w:r w:rsidRPr="00CC518F">
          <w:rPr>
            <w:lang w:val="en-GB"/>
          </w:rPr>
          <w:t>Split</w:t>
        </w:r>
      </w:smartTag>
      <w:r w:rsidRPr="00CC518F">
        <w:rPr>
          <w:lang w:val="en-GB"/>
        </w:rPr>
        <w:t xml:space="preserve">, </w:t>
      </w:r>
      <w:smartTag w:uri="urn:schemas-microsoft-com:office:smarttags" w:element="country-region">
        <w:smartTag w:uri="urn:schemas-microsoft-com:office:smarttags" w:element="place">
          <w:r w:rsidRPr="00CC518F">
            <w:rPr>
              <w:lang w:val="en-GB"/>
            </w:rPr>
            <w:t>Croatia</w:t>
          </w:r>
        </w:smartTag>
      </w:smartTag>
    </w:p>
    <w:p w:rsidR="005E6FFC" w:rsidRDefault="005E6FFC" w:rsidP="00CC518F">
      <w:pPr>
        <w:jc w:val="center"/>
      </w:pPr>
      <w:r w:rsidRPr="00CC518F">
        <w:rPr>
          <w:lang w:val="en-GB"/>
        </w:rPr>
        <w:t>E-mail: &lt;</w:t>
      </w:r>
      <w:r>
        <w:rPr>
          <w:lang w:val="it-IT"/>
        </w:rPr>
        <w:t>spivac</w:t>
      </w:r>
      <w:r w:rsidRPr="00E45B64">
        <w:rPr>
          <w:lang w:val="it-IT"/>
        </w:rPr>
        <w:t>@efst.hr</w:t>
      </w:r>
      <w:r w:rsidRPr="00CC518F">
        <w:rPr>
          <w:lang w:val="en-GB"/>
        </w:rPr>
        <w:t>&gt;</w:t>
      </w:r>
      <w:r w:rsidRPr="00CC518F">
        <w:t xml:space="preserve"> </w:t>
      </w:r>
    </w:p>
    <w:p w:rsidR="005E6FFC" w:rsidRPr="00DC1C9B" w:rsidRDefault="005E6FFC" w:rsidP="00CC518F">
      <w:pPr>
        <w:jc w:val="center"/>
      </w:pPr>
    </w:p>
    <w:p w:rsidR="005E6FFC" w:rsidRDefault="005E6FFC" w:rsidP="006D37B5">
      <w:pPr>
        <w:pStyle w:val="Heading1"/>
      </w:pPr>
      <w:r>
        <w:t>Josip</w:t>
      </w:r>
      <w:r w:rsidRPr="006D37B5">
        <w:t xml:space="preserve"> </w:t>
      </w:r>
      <w:r>
        <w:t>Visković</w:t>
      </w:r>
    </w:p>
    <w:p w:rsidR="005E6FFC" w:rsidRPr="00621EEF" w:rsidRDefault="005E6FFC" w:rsidP="006D37B5">
      <w:pPr>
        <w:pStyle w:val="Heading1"/>
        <w:rPr>
          <w:b w:val="0"/>
        </w:rPr>
      </w:pPr>
      <w:r w:rsidRPr="00621EEF">
        <w:rPr>
          <w:b w:val="0"/>
        </w:rPr>
        <w:t xml:space="preserve">Faculty of Economics, </w:t>
      </w:r>
      <w:smartTag w:uri="urn:schemas-microsoft-com:office:smarttags" w:element="PlaceType">
        <w:smartTag w:uri="urn:schemas-microsoft-com:office:smarttags" w:element="place">
          <w:r w:rsidRPr="00621EEF">
            <w:rPr>
              <w:b w:val="0"/>
            </w:rPr>
            <w:t>University</w:t>
          </w:r>
        </w:smartTag>
        <w:r w:rsidRPr="00621EEF">
          <w:rPr>
            <w:b w:val="0"/>
          </w:rPr>
          <w:t xml:space="preserve"> of </w:t>
        </w:r>
        <w:smartTag w:uri="urn:schemas-microsoft-com:office:smarttags" w:element="PlaceName">
          <w:r w:rsidRPr="00621EEF">
            <w:rPr>
              <w:b w:val="0"/>
            </w:rPr>
            <w:t>Split</w:t>
          </w:r>
        </w:smartTag>
      </w:smartTag>
    </w:p>
    <w:p w:rsidR="005E6FFC" w:rsidRPr="00CC518F" w:rsidRDefault="005E6FFC" w:rsidP="00CC518F">
      <w:pPr>
        <w:jc w:val="center"/>
        <w:rPr>
          <w:lang w:val="en-GB"/>
        </w:rPr>
      </w:pPr>
      <w:r w:rsidRPr="00CC518F">
        <w:rPr>
          <w:lang w:val="en-GB"/>
        </w:rPr>
        <w:t xml:space="preserve">Cvite Fiskovića 5, 21 000 </w:t>
      </w:r>
      <w:smartTag w:uri="urn:schemas-microsoft-com:office:smarttags" w:element="City">
        <w:r w:rsidRPr="00CC518F">
          <w:rPr>
            <w:lang w:val="en-GB"/>
          </w:rPr>
          <w:t>Split</w:t>
        </w:r>
      </w:smartTag>
      <w:r w:rsidRPr="00CC518F">
        <w:rPr>
          <w:lang w:val="en-GB"/>
        </w:rPr>
        <w:t xml:space="preserve">, </w:t>
      </w:r>
      <w:smartTag w:uri="urn:schemas-microsoft-com:office:smarttags" w:element="country-region">
        <w:smartTag w:uri="urn:schemas-microsoft-com:office:smarttags" w:element="place">
          <w:r w:rsidRPr="00CC518F">
            <w:rPr>
              <w:lang w:val="en-GB"/>
            </w:rPr>
            <w:t>Croatia</w:t>
          </w:r>
        </w:smartTag>
      </w:smartTag>
    </w:p>
    <w:p w:rsidR="005E6FFC" w:rsidRPr="00DC1C9B" w:rsidRDefault="005E6FFC" w:rsidP="00CC518F">
      <w:pPr>
        <w:jc w:val="center"/>
      </w:pPr>
      <w:r w:rsidRPr="00CC518F">
        <w:rPr>
          <w:lang w:val="en-GB"/>
        </w:rPr>
        <w:t>E-mail: &lt;</w:t>
      </w:r>
      <w:r>
        <w:rPr>
          <w:lang w:val="it-IT"/>
        </w:rPr>
        <w:t>josip.viskovic</w:t>
      </w:r>
      <w:r w:rsidRPr="00E45B64">
        <w:rPr>
          <w:lang w:val="it-IT"/>
        </w:rPr>
        <w:t>@efst.hr</w:t>
      </w:r>
      <w:r w:rsidRPr="00CC518F">
        <w:rPr>
          <w:lang w:val="en-GB"/>
        </w:rPr>
        <w:t>&gt;</w:t>
      </w:r>
    </w:p>
    <w:p w:rsidR="005E6FFC" w:rsidRDefault="005E6FFC" w:rsidP="00CC518F">
      <w:pPr>
        <w:jc w:val="center"/>
        <w:rPr>
          <w:b/>
          <w:bCs/>
          <w:lang w:val="en-GB"/>
        </w:rPr>
      </w:pPr>
    </w:p>
    <w:p w:rsidR="005E6FFC" w:rsidRPr="00C81192" w:rsidRDefault="005E6FFC" w:rsidP="00CC518F">
      <w:pPr>
        <w:rPr>
          <w:b/>
          <w:bCs/>
          <w:lang w:val="en-GB"/>
        </w:rPr>
      </w:pPr>
      <w:r w:rsidRPr="00C81192">
        <w:rPr>
          <w:b/>
          <w:bCs/>
          <w:lang w:val="en-GB"/>
        </w:rPr>
        <w:t>Abstract</w:t>
      </w:r>
    </w:p>
    <w:p w:rsidR="005E6FFC" w:rsidRPr="00001F65" w:rsidRDefault="005E6FFC" w:rsidP="0084153F">
      <w:pPr>
        <w:spacing w:before="120" w:line="360" w:lineRule="auto"/>
        <w:jc w:val="both"/>
      </w:pPr>
      <w:r w:rsidRPr="00001F65">
        <w:t>The main aim of this paper is to investigate the characteristics of Central and East European (CEE) countries considering their choice of intermediate target of monetary policy strategy. Theoretical choice of intermediate target of monetary policy strategy refers to inflation targeting, exchange rate targeting and monetary targeting, with the latter one not being practical choice in these countries. This research tends to find out whether this choice means different economic characteristics considering macroeconomic and financial variables, and whether the choice of individual intermediate target means better overall economic performance. Eleven characteristics are classified for 14 chosen CEE countries, using the multivariate and multicriteria approaches. The research is done for four years (2005, 2007, 2009 and 2011) in order to see whether performance and ranking of countries changes when taking into account financial crisis. The results show that countries, when considering all 11 indicators, cannot be classified in two equal clusters considering the choice of intermediate target. However, when cluster is done using foreign currency denominated loans and three forms of central bank independence, results show that countries are clustered according to our expectations i.e. foreign currency denominated loans and two forms of central bank independence contribute to difference between countries. Furthermore, countries were ranked considering overall economic performance, but no significant difference considering the choice of intermediate target was found.</w:t>
      </w:r>
    </w:p>
    <w:p w:rsidR="005E6FFC" w:rsidRPr="00001F65" w:rsidRDefault="005E6FFC" w:rsidP="0084153F">
      <w:pPr>
        <w:jc w:val="both"/>
        <w:rPr>
          <w:b/>
          <w:bCs/>
        </w:rPr>
      </w:pPr>
    </w:p>
    <w:p w:rsidR="005E6FFC" w:rsidRPr="00001F65" w:rsidRDefault="005E6FFC" w:rsidP="0084153F">
      <w:pPr>
        <w:jc w:val="both"/>
      </w:pPr>
      <w:r w:rsidRPr="00001F65">
        <w:rPr>
          <w:b/>
          <w:bCs/>
        </w:rPr>
        <w:t xml:space="preserve">Keywords: </w:t>
      </w:r>
      <w:r w:rsidRPr="00001F65">
        <w:rPr>
          <w:b/>
          <w:bCs/>
        </w:rPr>
        <w:tab/>
      </w:r>
      <w:r w:rsidRPr="00001F65">
        <w:rPr>
          <w:i/>
        </w:rPr>
        <w:t>multivariate and multicriteria approaches, the choice of intermediate target, characteristics of CEE countries</w:t>
      </w:r>
    </w:p>
    <w:p w:rsidR="005E6FFC" w:rsidRPr="00001F65" w:rsidRDefault="005E6FFC" w:rsidP="00C956C2">
      <w:pPr>
        <w:jc w:val="both"/>
        <w:rPr>
          <w:i/>
          <w:iCs/>
        </w:rPr>
      </w:pPr>
    </w:p>
    <w:p w:rsidR="005E6FFC" w:rsidRPr="00001F65" w:rsidRDefault="005E6FFC" w:rsidP="001760F5">
      <w:pPr>
        <w:jc w:val="center"/>
        <w:rPr>
          <w:iCs/>
        </w:rPr>
      </w:pPr>
      <w:r w:rsidRPr="00001F65">
        <w:rPr>
          <w:iCs/>
        </w:rPr>
        <w:t>Received: xx xx, 201x; accepted: yy yy 201x; available online: zz zz; 201x</w:t>
      </w:r>
    </w:p>
    <w:p w:rsidR="005E6FFC" w:rsidRPr="00001F65" w:rsidRDefault="005E6FFC" w:rsidP="00C956C2">
      <w:pPr>
        <w:pBdr>
          <w:bottom w:val="single" w:sz="6" w:space="1" w:color="auto"/>
        </w:pBdr>
        <w:jc w:val="both"/>
        <w:rPr>
          <w:b/>
          <w:bCs/>
        </w:rPr>
      </w:pPr>
    </w:p>
    <w:p w:rsidR="005E6FFC" w:rsidRPr="00001F65" w:rsidRDefault="005E6FFC">
      <w:pPr>
        <w:jc w:val="both"/>
      </w:pPr>
    </w:p>
    <w:p w:rsidR="005E6FFC" w:rsidRPr="00001F65" w:rsidRDefault="005E6FFC">
      <w:pPr>
        <w:jc w:val="both"/>
        <w:rPr>
          <w:b/>
          <w:bCs/>
          <w:sz w:val="28"/>
          <w:szCs w:val="28"/>
        </w:rPr>
      </w:pPr>
      <w:r w:rsidRPr="00001F65">
        <w:rPr>
          <w:b/>
          <w:bCs/>
          <w:sz w:val="28"/>
          <w:szCs w:val="28"/>
        </w:rPr>
        <w:t>1. Introduction</w:t>
      </w:r>
    </w:p>
    <w:p w:rsidR="005E6FFC" w:rsidRPr="00001F65" w:rsidRDefault="005E6FFC">
      <w:pPr>
        <w:jc w:val="both"/>
        <w:rPr>
          <w:b/>
          <w:bCs/>
        </w:rPr>
      </w:pPr>
    </w:p>
    <w:p w:rsidR="005E6FFC" w:rsidRPr="009C4A2D" w:rsidRDefault="005E6FFC" w:rsidP="000836F9">
      <w:pPr>
        <w:autoSpaceDE w:val="0"/>
        <w:autoSpaceDN w:val="0"/>
        <w:adjustRightInd w:val="0"/>
        <w:jc w:val="both"/>
        <w:rPr>
          <w:lang w:eastAsia="hr-HR"/>
        </w:rPr>
      </w:pPr>
      <w:r w:rsidRPr="00001F65">
        <w:rPr>
          <w:lang w:eastAsia="hr-HR"/>
        </w:rPr>
        <w:t xml:space="preserve">Intermediate target serves as a nominal anchor for monetary policy and tend to resolve the problem of time-lag in conducting monetary policy by which central bank accomplishes and maintains its ultimate goal of monetary policy. The theoretical choice </w:t>
      </w:r>
      <w:r w:rsidRPr="00001F65">
        <w:t xml:space="preserve">refers to inflation targeting, exchange rate targeting and monetary targeting. </w:t>
      </w:r>
      <w:r w:rsidRPr="00001F65">
        <w:rPr>
          <w:lang w:eastAsia="hr-HR"/>
        </w:rPr>
        <w:t xml:space="preserve">However, neither all intermediate targets are recommended for each country nor all of them have the same consequences once they are implemented. </w:t>
      </w:r>
      <w:r w:rsidRPr="00001F65">
        <w:t xml:space="preserve">Therefore, the aim of this paper is to find out whether practical choice of intermediate target is in line with theoretical background considering 11 selected economic </w:t>
      </w:r>
      <w:r w:rsidRPr="009C4A2D">
        <w:t xml:space="preserve">indicators in CEE countries. These </w:t>
      </w:r>
      <w:r w:rsidRPr="009C4A2D">
        <w:rPr>
          <w:lang w:eastAsia="hr-HR"/>
        </w:rPr>
        <w:t xml:space="preserve">countries, as small open economies, that were/are on their way to economic integration with EU exhibit two types of intermediate targets – inflation targeting and exchange rate targeting. Accordingly, the aim is to find out whether these two intermediate targets are connected with different CEE countries characteristics i.e. to find out which of these 11 characteristics contribute to difference between clusters considering intermediate target. Also, world is still fighting with the consequences of the recent financial crisis, which has revealed the flaws of some intermediate targets. Thus, additional aim is to find out whether the selected characteristics have changed during the financial crisis (2009 and 2011) in comparison to period before crisis (2005 and 2007) for CEE countries. Previous researches were based on the adequacy of the intermediate target’s choice for particular countries ([3], [4], [10]), but not on the connection between the choice and the economic performance of the countries, especially in CEE countries. Moreover, interrelation between the choice of intermediate target and performances was not previously done using multivariate analysis. </w:t>
      </w:r>
    </w:p>
    <w:p w:rsidR="005E6FFC" w:rsidRPr="009C4A2D" w:rsidRDefault="005E6FFC" w:rsidP="00F46359">
      <w:pPr>
        <w:spacing w:before="120"/>
        <w:jc w:val="both"/>
        <w:rPr>
          <w:lang w:eastAsia="hr-HR"/>
        </w:rPr>
      </w:pPr>
      <w:r w:rsidRPr="009C4A2D">
        <w:rPr>
          <w:lang w:eastAsia="hr-HR"/>
        </w:rPr>
        <w:t>Due to fact that m</w:t>
      </w:r>
      <w:r w:rsidRPr="009C4A2D">
        <w:rPr>
          <w:bCs/>
          <w:lang w:eastAsia="hr-HR"/>
        </w:rPr>
        <w:t>ultivariate analysis</w:t>
      </w:r>
      <w:r w:rsidRPr="009C4A2D">
        <w:rPr>
          <w:lang w:eastAsia="hr-HR"/>
        </w:rPr>
        <w:t xml:space="preserve"> is based on the statistical principle of </w:t>
      </w:r>
      <w:hyperlink r:id="rId7" w:tooltip="Multivariate statistics" w:history="1">
        <w:r w:rsidRPr="009C4A2D">
          <w:rPr>
            <w:lang w:eastAsia="hr-HR"/>
          </w:rPr>
          <w:t>multivariate statistics</w:t>
        </w:r>
      </w:hyperlink>
      <w:r w:rsidRPr="009C4A2D">
        <w:rPr>
          <w:lang w:eastAsia="hr-HR"/>
        </w:rPr>
        <w:t>, which involves observation and analysis of more than one statistical variable at a time, multivariate</w:t>
      </w:r>
      <w:r w:rsidRPr="009C4A2D">
        <w:t xml:space="preserve"> </w:t>
      </w:r>
      <w:r w:rsidRPr="009C4A2D">
        <w:rPr>
          <w:lang w:eastAsia="hr-HR"/>
        </w:rPr>
        <w:t>analysis is considered as adequate method for this type of research. Furthermore, multivariate analysis examines interdependencies and group variables and/or grouping of cases, according to their similarity, e.g., connections (cluster analysis).</w:t>
      </w:r>
    </w:p>
    <w:p w:rsidR="005E6FFC" w:rsidRPr="00001F65" w:rsidRDefault="005E6FFC" w:rsidP="00F46359">
      <w:pPr>
        <w:autoSpaceDE w:val="0"/>
        <w:autoSpaceDN w:val="0"/>
        <w:adjustRightInd w:val="0"/>
        <w:spacing w:before="120"/>
        <w:jc w:val="both"/>
        <w:rPr>
          <w:lang w:eastAsia="hr-HR"/>
        </w:rPr>
      </w:pPr>
      <w:r w:rsidRPr="009C4A2D">
        <w:rPr>
          <w:lang w:eastAsia="hr-HR"/>
        </w:rPr>
        <w:t>The rest of the paper is organized as follows. Section 2 provides a theoretical background of relationship between the choice of intermediate targets and selected characteristics. Section 3</w:t>
      </w:r>
      <w:r w:rsidRPr="00001F65">
        <w:rPr>
          <w:lang w:eastAsia="hr-HR"/>
        </w:rPr>
        <w:t xml:space="preserve"> presents research methods and results. At the end of the paper concluding remarks of the study are presented.</w:t>
      </w:r>
    </w:p>
    <w:p w:rsidR="005E6FFC" w:rsidRPr="00001F65" w:rsidRDefault="005E6FFC" w:rsidP="00EB58E4">
      <w:pPr>
        <w:autoSpaceDE w:val="0"/>
        <w:autoSpaceDN w:val="0"/>
        <w:adjustRightInd w:val="0"/>
        <w:jc w:val="both"/>
        <w:rPr>
          <w:sz w:val="22"/>
          <w:szCs w:val="22"/>
          <w:lang w:eastAsia="hr-HR"/>
        </w:rPr>
      </w:pPr>
    </w:p>
    <w:p w:rsidR="005E6FFC" w:rsidRPr="00001F65" w:rsidRDefault="005E6FFC" w:rsidP="006D6858">
      <w:pPr>
        <w:autoSpaceDE w:val="0"/>
        <w:autoSpaceDN w:val="0"/>
        <w:adjustRightInd w:val="0"/>
        <w:rPr>
          <w:b/>
          <w:sz w:val="28"/>
          <w:szCs w:val="28"/>
          <w:lang w:eastAsia="hr-HR"/>
        </w:rPr>
      </w:pPr>
      <w:r w:rsidRPr="00001F65">
        <w:rPr>
          <w:b/>
          <w:sz w:val="28"/>
          <w:szCs w:val="28"/>
          <w:lang w:eastAsia="hr-HR"/>
        </w:rPr>
        <w:t>2. The country’s economic characteristics and the choice of intermediate target of monetary policy</w:t>
      </w:r>
    </w:p>
    <w:p w:rsidR="005E6FFC" w:rsidRPr="00001F65" w:rsidRDefault="005E6FFC" w:rsidP="006D6858">
      <w:pPr>
        <w:autoSpaceDE w:val="0"/>
        <w:autoSpaceDN w:val="0"/>
        <w:adjustRightInd w:val="0"/>
        <w:rPr>
          <w:lang w:eastAsia="hr-HR"/>
        </w:rPr>
      </w:pPr>
    </w:p>
    <w:p w:rsidR="005E6FFC" w:rsidRPr="00001F65" w:rsidRDefault="005E6FFC" w:rsidP="00E95ED7">
      <w:pPr>
        <w:autoSpaceDE w:val="0"/>
        <w:autoSpaceDN w:val="0"/>
        <w:adjustRightInd w:val="0"/>
        <w:jc w:val="both"/>
      </w:pPr>
      <w:r w:rsidRPr="00001F65">
        <w:t>Intermediate target is defined as an economic variable which: (i) central bank can control with a certain lag and a certain degree of accuracy and (ii) which is relatively stable or at least predictably connected with the ultimate goal of monetary policy. Moreover, intermediate target increases the effectiveness of monetary policy in achieving the final goals. Besides, the choice also defines the exchange rate regime of the country and freedom of monetary policy. Namely, the countries that have inflation targeting strategy allow more flexible exchange rate and monetary policy. This choice further determines features of the country, especially during financial crisis.</w:t>
      </w:r>
    </w:p>
    <w:p w:rsidR="005E6FFC" w:rsidRPr="009C4A2D" w:rsidRDefault="005E6FFC" w:rsidP="00F46359">
      <w:pPr>
        <w:autoSpaceDE w:val="0"/>
        <w:autoSpaceDN w:val="0"/>
        <w:adjustRightInd w:val="0"/>
        <w:spacing w:before="120"/>
        <w:jc w:val="both"/>
        <w:rPr>
          <w:lang w:eastAsia="hr-HR"/>
        </w:rPr>
      </w:pPr>
      <w:r w:rsidRPr="009C4A2D">
        <w:rPr>
          <w:lang w:eastAsia="hr-HR"/>
        </w:rPr>
        <w:t>Inflation targeting is relatively new monetary policy strategy whose number grew to over 50 countries in 2000 [9], with the global share of countries that target inflation in 2005 over 55% [13]. A growing number of countries have adopted inflation targeting strategy in nineties and this increased tendency was due to failure of other nominal anchors to contain inflation in developed as well as in developing countries [15]. The share of countries that target the exchange rate in 2000 was approximately 30% mainly characterizing developing countries that have fixed their currency.</w:t>
      </w:r>
      <w:r w:rsidRPr="009C4A2D">
        <w:rPr>
          <w:sz w:val="20"/>
          <w:szCs w:val="20"/>
          <w:lang w:eastAsia="hr-HR"/>
        </w:rPr>
        <w:t xml:space="preserve"> T</w:t>
      </w:r>
      <w:r w:rsidRPr="009C4A2D">
        <w:rPr>
          <w:lang w:eastAsia="hr-HR"/>
        </w:rPr>
        <w:t>argeting monetary aggregates fell to approximately less than 10% [13].</w:t>
      </w:r>
      <w:r w:rsidRPr="009C4A2D">
        <w:rPr>
          <w:sz w:val="20"/>
          <w:szCs w:val="20"/>
          <w:lang w:eastAsia="hr-HR"/>
        </w:rPr>
        <w:t xml:space="preserve"> </w:t>
      </w:r>
      <w:r w:rsidRPr="009C4A2D">
        <w:rPr>
          <w:lang w:eastAsia="hr-HR"/>
        </w:rPr>
        <w:t>These global trends can also be recognized in CEE countries. Specifically, according to data for 2010, seven sample countries have inflation and seven exchange rate targeting strategy. Therefore this paper will focus on these two strategies.</w:t>
      </w:r>
    </w:p>
    <w:p w:rsidR="005E6FFC" w:rsidRPr="009C4A2D" w:rsidRDefault="005E6FFC" w:rsidP="00F46359">
      <w:pPr>
        <w:autoSpaceDE w:val="0"/>
        <w:autoSpaceDN w:val="0"/>
        <w:adjustRightInd w:val="0"/>
        <w:spacing w:before="120"/>
        <w:jc w:val="both"/>
      </w:pPr>
      <w:r w:rsidRPr="009C4A2D">
        <w:t>In next section relationship between the choice of intermediate target and following characteristics i.e. variables will be discussed: GDP level, inflation, external debt, foreign currency denominated loans, central bank independence, level of banking sector loans, international reserves, interest rates, trade openness, government budget deficit and capital openness.</w:t>
      </w:r>
    </w:p>
    <w:p w:rsidR="005E6FFC" w:rsidRPr="009C4A2D" w:rsidRDefault="005E6FFC" w:rsidP="00F46359">
      <w:pPr>
        <w:autoSpaceDE w:val="0"/>
        <w:autoSpaceDN w:val="0"/>
        <w:adjustRightInd w:val="0"/>
        <w:spacing w:before="120"/>
        <w:jc w:val="both"/>
        <w:rPr>
          <w:lang w:eastAsia="hr-HR"/>
        </w:rPr>
      </w:pPr>
      <w:r w:rsidRPr="009C4A2D">
        <w:rPr>
          <w:lang w:eastAsia="hr-HR"/>
        </w:rPr>
        <w:t>GDP level, as a common measure of economic development, expressed as GDP p/c is expected to be more prone to inflation targeting countries. GDP level means more developed financial system as a prerequisite for implementing more sophisticated monetary strategy. Therefore, more developed countries are prone to inflation targeting strategy. Still, due to relatively homogenous group of selected countries, some other indicators might be crucial in the choice of nominal anchor, so level of economic development might not be significant variable.</w:t>
      </w:r>
    </w:p>
    <w:p w:rsidR="005E6FFC" w:rsidRPr="009C4A2D" w:rsidRDefault="005E6FFC" w:rsidP="00F46359">
      <w:pPr>
        <w:autoSpaceDE w:val="0"/>
        <w:autoSpaceDN w:val="0"/>
        <w:adjustRightInd w:val="0"/>
        <w:spacing w:before="120"/>
        <w:jc w:val="both"/>
        <w:rPr>
          <w:lang w:eastAsia="hr-HR"/>
        </w:rPr>
      </w:pPr>
      <w:r w:rsidRPr="009C4A2D">
        <w:rPr>
          <w:lang w:eastAsia="hr-HR"/>
        </w:rPr>
        <w:t>Regarding level of consumer price index, both strategies have tendency to low and stable inflation. The aim of inflation targeting is to diminish inflation expectations and bring low and stable inflation. Exchange rate targeting strategy is mainly used as a nominal anchor for price stability i.e. these countries practically “import” price stability form pegged country and exchange rate serves as a credible monetary anchor diminishing inflation expectations. Countries that were not targeting inflation achieved equal, if not better results in terms of price stability [2]. This means that there should not be any difference in inflation level considering the choice of intermediate target.</w:t>
      </w:r>
    </w:p>
    <w:p w:rsidR="005E6FFC" w:rsidRPr="009C4A2D" w:rsidRDefault="005E6FFC" w:rsidP="00F46359">
      <w:pPr>
        <w:autoSpaceDE w:val="0"/>
        <w:autoSpaceDN w:val="0"/>
        <w:adjustRightInd w:val="0"/>
        <w:spacing w:before="120"/>
        <w:jc w:val="both"/>
        <w:rPr>
          <w:lang w:eastAsia="hr-HR"/>
        </w:rPr>
      </w:pPr>
      <w:r w:rsidRPr="009C4A2D">
        <w:rPr>
          <w:lang w:eastAsia="hr-HR"/>
        </w:rPr>
        <w:t>In countries that chose exchange rate strategy domestic interest rate is determined by anchor country interest rate. Considering the inflation targeting countries, interest rate is the main instrument in achieving price stability and is expected to show relatively often usage and possible higher interest rate volatility. Still, all selected countries, despite of nominal anchor strategy, are characterized by country risk premium and therefore interest rates are expected not to be significantly different. High trade openness is characteristic of small open economies, so it is expected that these economies prefer fixed exchange rate regimes which reduce transaction costs and currency risk as well as encourage capital inflows. However, all selected countries have high level of trade openness.</w:t>
      </w:r>
    </w:p>
    <w:p w:rsidR="005E6FFC" w:rsidRPr="009C4A2D" w:rsidRDefault="005E6FFC" w:rsidP="00F46359">
      <w:pPr>
        <w:autoSpaceDE w:val="0"/>
        <w:autoSpaceDN w:val="0"/>
        <w:adjustRightInd w:val="0"/>
        <w:spacing w:before="120"/>
        <w:jc w:val="both"/>
        <w:rPr>
          <w:lang w:eastAsia="hr-HR"/>
        </w:rPr>
      </w:pPr>
      <w:r w:rsidRPr="009C4A2D">
        <w:rPr>
          <w:lang w:eastAsia="hr-HR"/>
        </w:rPr>
        <w:t>It should be taken into consideration that all selected countries have liberalized, more or less, their capital accounts (capital openness should therefore be similar) and have witnessed great capital inflows during last decade indebting their selves abroad. The result of this process is high level of external debt which might be characteristic of all countries. But due to real exchange rate appreciation i.e. deficit of current account balance, in the case of exchange rate targeting countries, it would be expected that these countries witness significant external debt growth. As a result of great inflows high level of banking loans in both groups of countries is expected i.e. similar levels of credit to private sector to GDP ratio.</w:t>
      </w:r>
    </w:p>
    <w:p w:rsidR="005E6FFC" w:rsidRPr="009C4A2D" w:rsidRDefault="005E6FFC" w:rsidP="00F46359">
      <w:pPr>
        <w:autoSpaceDE w:val="0"/>
        <w:autoSpaceDN w:val="0"/>
        <w:adjustRightInd w:val="0"/>
        <w:spacing w:before="120"/>
        <w:jc w:val="both"/>
        <w:rPr>
          <w:lang w:eastAsia="hr-HR"/>
        </w:rPr>
      </w:pPr>
      <w:r w:rsidRPr="009C4A2D">
        <w:rPr>
          <w:lang w:eastAsia="hr-HR"/>
        </w:rPr>
        <w:t>In order to be able to maintain the stability of exchange rate of domestic currency, countries that target exchange rate are expected to have higher level of international reserves. This does not mean that inflation targeting countries do not hold adequate levels of international reserves, but more active approach in managing currency risk is expected. Due to high inflation, monetary policy credibility deficit and high devaluation of domestic currency in history, companies and households in these countries are prone to place their savings in foreign currency resulting in high deposit eurisation. Consequence is that loans are then also denominated in foreign currency resulting in high level of foreign currency loans or foreign currency denominated loans, especially in exchange rate targeting countries [17]. Therefore, foreign currency denominated loans (eurisation) should characterize exchange rate countries.</w:t>
      </w:r>
    </w:p>
    <w:p w:rsidR="005E6FFC" w:rsidRPr="009C4A2D" w:rsidRDefault="005E6FFC" w:rsidP="00F46359">
      <w:pPr>
        <w:autoSpaceDE w:val="0"/>
        <w:autoSpaceDN w:val="0"/>
        <w:adjustRightInd w:val="0"/>
        <w:spacing w:before="120"/>
        <w:jc w:val="both"/>
        <w:rPr>
          <w:lang w:eastAsia="hr-HR"/>
        </w:rPr>
      </w:pPr>
      <w:r w:rsidRPr="009C4A2D">
        <w:rPr>
          <w:lang w:eastAsia="hr-HR"/>
        </w:rPr>
        <w:t xml:space="preserve">Because of more rigid exchange rate regimes used in exchange rate targeting countries, mainly based on rules, it is expected that these countries have higher </w:t>
      </w:r>
      <w:r w:rsidRPr="009C4A2D">
        <w:rPr>
          <w:i/>
          <w:lang w:eastAsia="hr-HR"/>
        </w:rPr>
        <w:t>de iure</w:t>
      </w:r>
      <w:r w:rsidRPr="009C4A2D">
        <w:rPr>
          <w:lang w:eastAsia="hr-HR"/>
        </w:rPr>
        <w:t xml:space="preserve"> central bank independence [17]</w:t>
      </w:r>
      <w:r w:rsidRPr="009C4A2D">
        <w:t xml:space="preserve">. </w:t>
      </w:r>
      <w:r w:rsidRPr="009C4A2D">
        <w:rPr>
          <w:lang w:eastAsia="hr-HR"/>
        </w:rPr>
        <w:t xml:space="preserve">On the other hand, due to complexity of monetary policy management, in terms of instruments and goals [11], higher </w:t>
      </w:r>
      <w:r w:rsidRPr="009C4A2D">
        <w:rPr>
          <w:i/>
          <w:lang w:eastAsia="hr-HR"/>
        </w:rPr>
        <w:t>de facto</w:t>
      </w:r>
      <w:r w:rsidRPr="009C4A2D">
        <w:rPr>
          <w:lang w:eastAsia="hr-HR"/>
        </w:rPr>
        <w:t xml:space="preserve"> central bank independence is expected in inflation targeting countries. Finally, one of the assumptions of inflation targeting is that fiscal policy must be reliable, [12]. But fiscal discipline is necessary for exchange rate targeting too aiming to sustain fixed exchange rate regime in longer period. Lack of active monetary policy in later countries is theoretically expected to be compensated by expansive fiscal policy i.e. budget deficit policy. In time of financial crisis both types of targeting are prone to budget deficit.</w:t>
      </w:r>
    </w:p>
    <w:p w:rsidR="005E6FFC" w:rsidRPr="009C4A2D" w:rsidRDefault="005E6FFC" w:rsidP="00F46359">
      <w:pPr>
        <w:spacing w:before="120"/>
        <w:jc w:val="both"/>
      </w:pPr>
      <w:r w:rsidRPr="009C4A2D">
        <w:t>Generally, cluster analysis is not expected to cluster countries considering intermediate target when all selected variables are taken into account. However, our aim is to find out which of these 11 variables contribute to clustering i.e. whether these are, regarding the theoretical background and selected sample, foreign currency loans, central bank independence and external debt.</w:t>
      </w:r>
      <w:bookmarkStart w:id="0" w:name="_GoBack"/>
      <w:bookmarkEnd w:id="0"/>
    </w:p>
    <w:p w:rsidR="005E6FFC" w:rsidRPr="009C4A2D" w:rsidRDefault="005E6FFC" w:rsidP="001C3835">
      <w:pPr>
        <w:rPr>
          <w:sz w:val="22"/>
          <w:szCs w:val="22"/>
        </w:rPr>
      </w:pPr>
    </w:p>
    <w:p w:rsidR="005E6FFC" w:rsidRPr="009C4A2D" w:rsidRDefault="005E6FFC" w:rsidP="001C3835">
      <w:pPr>
        <w:jc w:val="both"/>
        <w:rPr>
          <w:b/>
          <w:bCs/>
          <w:color w:val="000000"/>
          <w:sz w:val="28"/>
          <w:szCs w:val="28"/>
        </w:rPr>
      </w:pPr>
      <w:r w:rsidRPr="009C4A2D">
        <w:rPr>
          <w:b/>
          <w:bCs/>
          <w:sz w:val="28"/>
          <w:szCs w:val="28"/>
        </w:rPr>
        <w:t>3. Methods and results</w:t>
      </w:r>
    </w:p>
    <w:p w:rsidR="005E6FFC" w:rsidRPr="009C4A2D" w:rsidRDefault="005E6FFC" w:rsidP="001C3835">
      <w:pPr>
        <w:jc w:val="both"/>
        <w:rPr>
          <w:b/>
          <w:bCs/>
          <w:color w:val="000000"/>
        </w:rPr>
      </w:pPr>
    </w:p>
    <w:p w:rsidR="005E6FFC" w:rsidRPr="009C4A2D" w:rsidRDefault="005E6FFC" w:rsidP="00B03F36">
      <w:pPr>
        <w:jc w:val="both"/>
        <w:rPr>
          <w:bCs/>
        </w:rPr>
      </w:pPr>
      <w:r w:rsidRPr="009C4A2D">
        <w:rPr>
          <w:bCs/>
        </w:rPr>
        <w:t>According to theoretical background, multivariate and multicriteria analysis is used in order to cluster and to rank selected sample countries in two groups considering selected variables [14]. In this section used methods will be presented, selected sample explained and variables and research results presented.</w:t>
      </w:r>
    </w:p>
    <w:p w:rsidR="005E6FFC" w:rsidRPr="00001F65" w:rsidRDefault="005E6FFC" w:rsidP="00F46359">
      <w:pPr>
        <w:spacing w:before="120"/>
        <w:jc w:val="both"/>
      </w:pPr>
      <w:r w:rsidRPr="009C4A2D">
        <w:rPr>
          <w:bCs/>
        </w:rPr>
        <w:t>Multivariate analysis</w:t>
      </w:r>
      <w:r w:rsidRPr="009C4A2D">
        <w:t xml:space="preserve"> (MVA) is based on the statistical principle of </w:t>
      </w:r>
      <w:hyperlink r:id="rId8" w:tooltip="Multivariate statistics" w:history="1">
        <w:r w:rsidRPr="009C4A2D">
          <w:rPr>
            <w:rStyle w:val="Hyperlink"/>
            <w:color w:val="auto"/>
            <w:u w:val="none"/>
          </w:rPr>
          <w:t>multivariate statistics</w:t>
        </w:r>
      </w:hyperlink>
      <w:r w:rsidRPr="009C4A2D">
        <w:t xml:space="preserve">, which involves observation and analysis of more than one statistical variable at a time. Clustering is a type of multivariate statistical analysis also known as cluster analysis, unsupervised classification analysis, or numerical taxonomy. It is based on a mathematical formulation of a measure of similarity. The term </w:t>
      </w:r>
      <w:r w:rsidRPr="009C4A2D">
        <w:rPr>
          <w:i/>
          <w:iCs/>
        </w:rPr>
        <w:t>cluster analysis</w:t>
      </w:r>
      <w:r w:rsidRPr="009C4A2D">
        <w:t xml:space="preserve"> [1] encompasses a number of different </w:t>
      </w:r>
      <w:hyperlink r:id="rId9" w:anchor="Algorithm" w:history="1">
        <w:r w:rsidRPr="009C4A2D">
          <w:rPr>
            <w:rStyle w:val="Hyperlink"/>
            <w:color w:val="auto"/>
            <w:u w:val="none"/>
          </w:rPr>
          <w:t>algorithms</w:t>
        </w:r>
      </w:hyperlink>
      <w:r w:rsidRPr="009C4A2D">
        <w:t xml:space="preserve"> and methods for grouping objects of similar kind into respective categories. Use of different distance metrics for measuring distances between clusters may generate different results. Performing multiple experiments and comparing the results is recommended to support the veracity of the original results. The most common distance measurements between data points are the Euclidean distance and Euclidean squared distance. Cluster analysis does not presuppose any statistical significance, and it is therefore recommended to use appropriate statistical tests in practical analyses [16].</w:t>
      </w:r>
    </w:p>
    <w:p w:rsidR="005E6FFC" w:rsidRPr="00001F65" w:rsidRDefault="005E6FFC" w:rsidP="00B45971">
      <w:pPr>
        <w:jc w:val="both"/>
        <w:rPr>
          <w:sz w:val="22"/>
          <w:szCs w:val="22"/>
        </w:rPr>
      </w:pPr>
    </w:p>
    <w:p w:rsidR="005E6FFC" w:rsidRPr="00001F65" w:rsidRDefault="005E6FFC" w:rsidP="00901484">
      <w:pPr>
        <w:pStyle w:val="ListParagraph"/>
        <w:numPr>
          <w:ilvl w:val="1"/>
          <w:numId w:val="21"/>
        </w:numPr>
        <w:jc w:val="both"/>
        <w:rPr>
          <w:b/>
        </w:rPr>
      </w:pPr>
      <w:r w:rsidRPr="00001F65">
        <w:rPr>
          <w:b/>
        </w:rPr>
        <w:t xml:space="preserve"> Data description</w:t>
      </w:r>
    </w:p>
    <w:p w:rsidR="005E6FFC" w:rsidRPr="00001F65" w:rsidRDefault="005E6FFC" w:rsidP="00901484">
      <w:pPr>
        <w:jc w:val="both"/>
      </w:pPr>
    </w:p>
    <w:p w:rsidR="005E6FFC" w:rsidRPr="009C4A2D" w:rsidRDefault="005E6FFC" w:rsidP="00276BE9">
      <w:pPr>
        <w:jc w:val="both"/>
      </w:pPr>
      <w:r w:rsidRPr="00001F65">
        <w:t xml:space="preserve">To find out macroeconomic and financial variables that contribute to difference between countries considering their intermediate target, data on following 14 CEE countries are </w:t>
      </w:r>
      <w:r w:rsidRPr="009C4A2D">
        <w:t>considered: Albania, Bosnia and Herzegovina, Bulgaria, Croatia, Czech Republic, Estonia, Latvia, Lithuania, Hungary, Macedonia, Moldavia, Poland, Romania and Turkey. Selected variables are expressed as follows: (i) economic development as GDP per capita; (ii) inflation as consumer price index; (iii) external debt to GDP ratio; (iv) FC loans to total loans (due to Estonian approach to EMU, data from 2010 for 2011 is used); (v) central bank independence (due to data unavailability, data from 2009 for 2011 are used) is divided in three categories of independence - Political and Legal (PLCBI),  Governance and Conduct of Monetary Policy (CBGCMP) and Transparency and Accountability (CBTA) [8]; (vi) level of domestic credit to private sector, (vii) the ratio of international reserves to imports, (viii) interest rates as lending interest rates (due to data availability, average interest rate excluding interest rates on overdraft and revolving credit for Poland and average interest rate on loans in $, € and Turkish lira for Turkey is used), (ix) trade openness as ratio of a sum of export and import to GDP, (x) government fiscal policy as government budget deficit to GDP and (xi) capital openness as [7]. The data are taken from database of the World Bank and database of European bank for Reconstruction and Development, as well as form mecometer.com. All data refer to year 2005, 2007, 2009 and 2011. The data for CBI indices is taken from [8], data for capital openness from [7], while intermediate target is defined by authors.</w:t>
      </w:r>
    </w:p>
    <w:p w:rsidR="005E6FFC" w:rsidRPr="009C4A2D" w:rsidRDefault="005E6FFC" w:rsidP="00533CAF">
      <w:pPr>
        <w:jc w:val="both"/>
        <w:rPr>
          <w:sz w:val="22"/>
          <w:szCs w:val="22"/>
        </w:rPr>
      </w:pPr>
    </w:p>
    <w:p w:rsidR="005E6FFC" w:rsidRPr="009C4A2D" w:rsidRDefault="005E6FFC" w:rsidP="00533CAF">
      <w:pPr>
        <w:pStyle w:val="ListParagraph"/>
        <w:numPr>
          <w:ilvl w:val="1"/>
          <w:numId w:val="21"/>
        </w:numPr>
        <w:jc w:val="both"/>
        <w:rPr>
          <w:b/>
        </w:rPr>
      </w:pPr>
      <w:r w:rsidRPr="009C4A2D">
        <w:rPr>
          <w:b/>
        </w:rPr>
        <w:t xml:space="preserve"> Research results</w:t>
      </w:r>
    </w:p>
    <w:p w:rsidR="005E6FFC" w:rsidRPr="009C4A2D" w:rsidRDefault="005E6FFC" w:rsidP="00D17282">
      <w:pPr>
        <w:jc w:val="both"/>
        <w:rPr>
          <w:sz w:val="22"/>
          <w:szCs w:val="22"/>
        </w:rPr>
      </w:pPr>
    </w:p>
    <w:p w:rsidR="005E6FFC" w:rsidRPr="009C4A2D" w:rsidRDefault="005E6FFC" w:rsidP="00D17282">
      <w:pPr>
        <w:jc w:val="both"/>
        <w:rPr>
          <w:b/>
        </w:rPr>
      </w:pPr>
      <w:r w:rsidRPr="009C4A2D">
        <w:rPr>
          <w:b/>
        </w:rPr>
        <w:t xml:space="preserve">3.2.1. </w:t>
      </w:r>
      <w:r w:rsidRPr="009C4A2D">
        <w:rPr>
          <w:b/>
        </w:rPr>
        <w:tab/>
        <w:t>Multivariate analysis</w:t>
      </w:r>
    </w:p>
    <w:p w:rsidR="005E6FFC" w:rsidRPr="009C4A2D" w:rsidRDefault="005E6FFC" w:rsidP="00D17282">
      <w:pPr>
        <w:jc w:val="both"/>
      </w:pPr>
    </w:p>
    <w:p w:rsidR="005E6FFC" w:rsidRPr="009C4A2D" w:rsidRDefault="005E6FFC" w:rsidP="00D17282">
      <w:pPr>
        <w:jc w:val="both"/>
      </w:pPr>
      <w:r w:rsidRPr="009C4A2D">
        <w:t>Research was done in two steps. Firstly countries were clustered using all selected variables, and in the second step only considering variables that were the least important in first cluster. Results of first clustering are presented in Tables 1 and 2. As table 1 shows clusters are mainly formed by the level of economic development. All cluster 1 countries are, considering all indicators, ranked in worse economic positions in comparison to cluster 2. These results are in line with the results of the ranking multicriteria PROMETHEE method (section 3.2.2.). However, cluster analysis does not divide countries considering the intermediate target i.e. CEE countries are quite similarly presented in each cluster. This is in line with expectations that some variables might not be significant characteristics in differing countries considering intermediate target.</w:t>
      </w:r>
    </w:p>
    <w:p w:rsidR="005E6FFC" w:rsidRPr="009C4A2D" w:rsidRDefault="005E6FFC" w:rsidP="00B45971">
      <w:pPr>
        <w:jc w:val="both"/>
        <w:rPr>
          <w:rFonts w:cs="Arial"/>
          <w:b/>
          <w:szCs w:val="20"/>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4742"/>
        <w:gridCol w:w="3110"/>
      </w:tblGrid>
      <w:tr w:rsidR="005E6FFC" w:rsidRPr="009C4A2D" w:rsidTr="0040586D">
        <w:trPr>
          <w:trHeight w:val="575"/>
        </w:trPr>
        <w:tc>
          <w:tcPr>
            <w:tcW w:w="0" w:type="auto"/>
            <w:vMerge w:val="restart"/>
            <w:vAlign w:val="center"/>
          </w:tcPr>
          <w:p w:rsidR="005E6FFC" w:rsidRPr="009C4A2D" w:rsidRDefault="005E6FFC" w:rsidP="00BA7E52">
            <w:pPr>
              <w:jc w:val="center"/>
              <w:rPr>
                <w:b/>
              </w:rPr>
            </w:pPr>
            <w:r w:rsidRPr="009C4A2D">
              <w:rPr>
                <w:b/>
                <w:sz w:val="22"/>
                <w:szCs w:val="22"/>
              </w:rPr>
              <w:t>Years</w:t>
            </w:r>
          </w:p>
        </w:tc>
        <w:tc>
          <w:tcPr>
            <w:tcW w:w="4742" w:type="dxa"/>
            <w:vMerge w:val="restart"/>
            <w:vAlign w:val="center"/>
          </w:tcPr>
          <w:p w:rsidR="005E6FFC" w:rsidRPr="009C4A2D" w:rsidRDefault="005E6FFC" w:rsidP="00BA7E52">
            <w:pPr>
              <w:jc w:val="center"/>
            </w:pPr>
            <w:r w:rsidRPr="009C4A2D">
              <w:rPr>
                <w:b/>
                <w:sz w:val="22"/>
                <w:szCs w:val="22"/>
              </w:rPr>
              <w:t>CLUSTERS</w:t>
            </w:r>
          </w:p>
        </w:tc>
        <w:tc>
          <w:tcPr>
            <w:tcW w:w="3110" w:type="dxa"/>
            <w:vMerge w:val="restart"/>
            <w:vAlign w:val="center"/>
          </w:tcPr>
          <w:p w:rsidR="005E6FFC" w:rsidRPr="009C4A2D" w:rsidRDefault="005E6FFC" w:rsidP="00B01D40">
            <w:r w:rsidRPr="009C4A2D">
              <w:rPr>
                <w:sz w:val="22"/>
                <w:szCs w:val="22"/>
              </w:rPr>
              <w:t xml:space="preserve">Number of countries with </w:t>
            </w:r>
          </w:p>
          <w:p w:rsidR="005E6FFC" w:rsidRPr="009C4A2D" w:rsidRDefault="005E6FFC" w:rsidP="00B01D40">
            <w:r w:rsidRPr="009C4A2D">
              <w:rPr>
                <w:sz w:val="22"/>
                <w:szCs w:val="22"/>
              </w:rPr>
              <w:t>appropriate intermediate target:</w:t>
            </w:r>
          </w:p>
        </w:tc>
      </w:tr>
      <w:tr w:rsidR="005E6FFC" w:rsidRPr="009C4A2D" w:rsidTr="0040586D">
        <w:trPr>
          <w:trHeight w:val="276"/>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jc w:val="center"/>
            </w:pPr>
          </w:p>
        </w:tc>
        <w:tc>
          <w:tcPr>
            <w:tcW w:w="3110" w:type="dxa"/>
            <w:vMerge/>
            <w:vAlign w:val="center"/>
          </w:tcPr>
          <w:p w:rsidR="005E6FFC" w:rsidRPr="009C4A2D" w:rsidRDefault="005E6FFC" w:rsidP="00BA7E52">
            <w:pPr>
              <w:jc w:val="center"/>
            </w:pPr>
          </w:p>
        </w:tc>
      </w:tr>
      <w:tr w:rsidR="005E6FFC" w:rsidRPr="009C4A2D" w:rsidTr="0040586D">
        <w:trPr>
          <w:trHeight w:val="158"/>
        </w:trPr>
        <w:tc>
          <w:tcPr>
            <w:tcW w:w="0" w:type="auto"/>
            <w:vMerge w:val="restart"/>
            <w:textDirection w:val="btLr"/>
            <w:vAlign w:val="center"/>
          </w:tcPr>
          <w:p w:rsidR="005E6FFC" w:rsidRPr="009C4A2D" w:rsidRDefault="005E6FFC" w:rsidP="00BA7E52">
            <w:pPr>
              <w:ind w:left="113" w:right="113"/>
              <w:jc w:val="center"/>
              <w:rPr>
                <w:b/>
              </w:rPr>
            </w:pPr>
            <w:r w:rsidRPr="009C4A2D">
              <w:rPr>
                <w:b/>
                <w:sz w:val="22"/>
                <w:szCs w:val="22"/>
              </w:rPr>
              <w:t>2005</w:t>
            </w:r>
          </w:p>
        </w:tc>
        <w:tc>
          <w:tcPr>
            <w:tcW w:w="4742" w:type="dxa"/>
            <w:vMerge w:val="restart"/>
            <w:vAlign w:val="center"/>
          </w:tcPr>
          <w:p w:rsidR="005E6FFC" w:rsidRPr="009C4A2D" w:rsidRDefault="005E6FFC" w:rsidP="00BA7E52">
            <w:pPr>
              <w:rPr>
                <w:b/>
              </w:rPr>
            </w:pPr>
            <w:r w:rsidRPr="009C4A2D">
              <w:rPr>
                <w:b/>
                <w:sz w:val="22"/>
                <w:szCs w:val="22"/>
              </w:rPr>
              <w:t xml:space="preserve">Cluster 1: </w:t>
            </w:r>
            <w:r w:rsidRPr="009C4A2D">
              <w:rPr>
                <w:sz w:val="22"/>
                <w:szCs w:val="22"/>
              </w:rPr>
              <w:t>Albania, Bosnia, Bulgaria, Latvia, Macedonia, Moldova, Romania, Turkey</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222"/>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(5)</w:t>
            </w:r>
          </w:p>
        </w:tc>
      </w:tr>
      <w:tr w:rsidR="005E6FFC" w:rsidRPr="009C4A2D" w:rsidTr="0040586D">
        <w:trPr>
          <w:trHeight w:val="222"/>
        </w:trPr>
        <w:tc>
          <w:tcPr>
            <w:tcW w:w="0" w:type="auto"/>
            <w:vMerge/>
            <w:vAlign w:val="center"/>
          </w:tcPr>
          <w:p w:rsidR="005E6FFC" w:rsidRPr="009C4A2D" w:rsidRDefault="005E6FFC" w:rsidP="00BA7E52">
            <w:pPr>
              <w:jc w:val="center"/>
              <w:rPr>
                <w:b/>
              </w:rPr>
            </w:pPr>
          </w:p>
        </w:tc>
        <w:tc>
          <w:tcPr>
            <w:tcW w:w="4742" w:type="dxa"/>
            <w:vMerge w:val="restart"/>
            <w:vAlign w:val="center"/>
          </w:tcPr>
          <w:p w:rsidR="005E6FFC" w:rsidRPr="009C4A2D" w:rsidRDefault="005E6FFC" w:rsidP="00B01D40">
            <w:pPr>
              <w:pStyle w:val="Notesoncontributors"/>
              <w:rPr>
                <w:sz w:val="22"/>
                <w:lang w:val="en-US"/>
              </w:rPr>
            </w:pPr>
            <w:r w:rsidRPr="009C4A2D">
              <w:rPr>
                <w:b/>
                <w:sz w:val="22"/>
                <w:szCs w:val="22"/>
                <w:lang w:val="en-US"/>
              </w:rPr>
              <w:t>Cluster 2:</w:t>
            </w:r>
            <w:r w:rsidRPr="009C4A2D">
              <w:rPr>
                <w:sz w:val="22"/>
                <w:szCs w:val="22"/>
                <w:lang w:val="en-US"/>
              </w:rPr>
              <w:t xml:space="preserve"> Croatia, Czech R., Estonia, Hungary, Lithuania, Poland</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(2)</w:t>
            </w:r>
          </w:p>
        </w:tc>
      </w:tr>
      <w:tr w:rsidR="005E6FFC" w:rsidRPr="009C4A2D" w:rsidTr="0040586D">
        <w:trPr>
          <w:trHeight w:val="150"/>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(4)</w:t>
            </w:r>
          </w:p>
        </w:tc>
      </w:tr>
      <w:tr w:rsidR="005E6FFC" w:rsidRPr="009C4A2D" w:rsidTr="0040586D">
        <w:trPr>
          <w:trHeight w:val="93"/>
        </w:trPr>
        <w:tc>
          <w:tcPr>
            <w:tcW w:w="0" w:type="auto"/>
            <w:vMerge w:val="restart"/>
            <w:textDirection w:val="btLr"/>
            <w:vAlign w:val="center"/>
          </w:tcPr>
          <w:p w:rsidR="005E6FFC" w:rsidRPr="009C4A2D" w:rsidRDefault="005E6FFC" w:rsidP="00BA7E52">
            <w:pPr>
              <w:ind w:left="113" w:right="113"/>
              <w:jc w:val="center"/>
              <w:rPr>
                <w:b/>
              </w:rPr>
            </w:pPr>
            <w:r w:rsidRPr="009C4A2D">
              <w:rPr>
                <w:b/>
                <w:sz w:val="22"/>
                <w:szCs w:val="22"/>
              </w:rPr>
              <w:t>2007</w:t>
            </w:r>
          </w:p>
        </w:tc>
        <w:tc>
          <w:tcPr>
            <w:tcW w:w="4742" w:type="dxa"/>
            <w:vMerge w:val="restart"/>
            <w:vAlign w:val="center"/>
          </w:tcPr>
          <w:p w:rsidR="005E6FFC" w:rsidRPr="009C4A2D" w:rsidRDefault="005E6FFC" w:rsidP="00BA7E52">
            <w:pPr>
              <w:pStyle w:val="Notesoncontributors"/>
              <w:rPr>
                <w:b/>
                <w:sz w:val="22"/>
                <w:lang w:val="en-US"/>
              </w:rPr>
            </w:pPr>
            <w:r w:rsidRPr="009C4A2D">
              <w:rPr>
                <w:b/>
                <w:sz w:val="22"/>
                <w:szCs w:val="22"/>
                <w:lang w:val="en-US"/>
              </w:rPr>
              <w:t>Cluster 1:</w:t>
            </w:r>
            <w:r w:rsidRPr="009C4A2D">
              <w:rPr>
                <w:sz w:val="22"/>
                <w:szCs w:val="22"/>
                <w:lang w:val="en-US"/>
              </w:rPr>
              <w:t xml:space="preserve"> Albania, Bosnia, Bulgaria, Macedonia, Moldova, Romania, Turkey</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214"/>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(4)</w:t>
            </w:r>
          </w:p>
        </w:tc>
      </w:tr>
      <w:tr w:rsidR="005E6FFC" w:rsidRPr="009C4A2D" w:rsidTr="0040586D">
        <w:trPr>
          <w:trHeight w:val="156"/>
        </w:trPr>
        <w:tc>
          <w:tcPr>
            <w:tcW w:w="0" w:type="auto"/>
            <w:vMerge/>
            <w:vAlign w:val="center"/>
          </w:tcPr>
          <w:p w:rsidR="005E6FFC" w:rsidRPr="009C4A2D" w:rsidRDefault="005E6FFC" w:rsidP="00BA7E52">
            <w:pPr>
              <w:jc w:val="center"/>
              <w:rPr>
                <w:b/>
              </w:rPr>
            </w:pPr>
          </w:p>
        </w:tc>
        <w:tc>
          <w:tcPr>
            <w:tcW w:w="4742" w:type="dxa"/>
            <w:vMerge w:val="restart"/>
            <w:vAlign w:val="center"/>
          </w:tcPr>
          <w:p w:rsidR="005E6FFC" w:rsidRPr="009C4A2D" w:rsidRDefault="005E6FFC" w:rsidP="00B01D40">
            <w:pPr>
              <w:pStyle w:val="Notesoncontributors"/>
              <w:rPr>
                <w:b/>
                <w:sz w:val="22"/>
                <w:lang w:val="en-US"/>
              </w:rPr>
            </w:pPr>
            <w:r w:rsidRPr="009C4A2D">
              <w:rPr>
                <w:b/>
                <w:sz w:val="22"/>
                <w:szCs w:val="22"/>
                <w:lang w:val="en-US"/>
              </w:rPr>
              <w:t>Cluster 2:</w:t>
            </w:r>
            <w:r w:rsidRPr="009C4A2D">
              <w:rPr>
                <w:sz w:val="22"/>
                <w:szCs w:val="22"/>
                <w:lang w:val="en-US"/>
              </w:rPr>
              <w:t xml:space="preserve"> Croatia, Czech R., Estonia, Lithuania, Hungary, Latvia, Poland</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(5)</w:t>
            </w:r>
          </w:p>
        </w:tc>
      </w:tr>
      <w:tr w:rsidR="005E6FFC" w:rsidRPr="009C4A2D" w:rsidTr="0040586D">
        <w:trPr>
          <w:trHeight w:val="98"/>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(2)</w:t>
            </w:r>
          </w:p>
        </w:tc>
      </w:tr>
      <w:tr w:rsidR="005E6FFC" w:rsidRPr="009C4A2D" w:rsidTr="0040586D">
        <w:trPr>
          <w:trHeight w:val="220"/>
        </w:trPr>
        <w:tc>
          <w:tcPr>
            <w:tcW w:w="0" w:type="auto"/>
            <w:vMerge w:val="restart"/>
            <w:textDirection w:val="btLr"/>
            <w:vAlign w:val="center"/>
          </w:tcPr>
          <w:p w:rsidR="005E6FFC" w:rsidRPr="009C4A2D" w:rsidRDefault="005E6FFC" w:rsidP="00BA7E52">
            <w:pPr>
              <w:ind w:left="113" w:right="113"/>
              <w:jc w:val="center"/>
              <w:rPr>
                <w:b/>
              </w:rPr>
            </w:pPr>
            <w:r w:rsidRPr="009C4A2D">
              <w:rPr>
                <w:b/>
                <w:sz w:val="22"/>
                <w:szCs w:val="22"/>
              </w:rPr>
              <w:t>2009</w:t>
            </w:r>
          </w:p>
        </w:tc>
        <w:tc>
          <w:tcPr>
            <w:tcW w:w="4742" w:type="dxa"/>
            <w:vMerge w:val="restart"/>
            <w:vAlign w:val="center"/>
          </w:tcPr>
          <w:p w:rsidR="005E6FFC" w:rsidRPr="009C4A2D" w:rsidRDefault="005E6FFC" w:rsidP="00BA7E52">
            <w:pPr>
              <w:pStyle w:val="Notesoncontributors"/>
              <w:rPr>
                <w:b/>
                <w:sz w:val="22"/>
                <w:lang w:val="en-US"/>
              </w:rPr>
            </w:pPr>
            <w:r w:rsidRPr="009C4A2D">
              <w:rPr>
                <w:b/>
                <w:sz w:val="22"/>
                <w:szCs w:val="22"/>
                <w:lang w:val="en-US"/>
              </w:rPr>
              <w:t>Cluster 1:</w:t>
            </w:r>
            <w:r w:rsidRPr="009C4A2D">
              <w:rPr>
                <w:sz w:val="22"/>
                <w:szCs w:val="22"/>
                <w:lang w:val="en-US"/>
              </w:rPr>
              <w:t xml:space="preserve"> Albania, Bosnia, Bulgaria, Macedonia, Moldova, Romania, Turkey</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(4)</w:t>
            </w:r>
          </w:p>
        </w:tc>
      </w:tr>
      <w:tr w:rsidR="005E6FFC" w:rsidRPr="009C4A2D" w:rsidTr="0040586D">
        <w:trPr>
          <w:trHeight w:val="149"/>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(3)</w:t>
            </w:r>
          </w:p>
        </w:tc>
      </w:tr>
      <w:tr w:rsidR="005E6FFC" w:rsidRPr="009C4A2D" w:rsidTr="0040586D">
        <w:trPr>
          <w:trHeight w:val="90"/>
        </w:trPr>
        <w:tc>
          <w:tcPr>
            <w:tcW w:w="0" w:type="auto"/>
            <w:vMerge/>
            <w:vAlign w:val="center"/>
          </w:tcPr>
          <w:p w:rsidR="005E6FFC" w:rsidRPr="009C4A2D" w:rsidRDefault="005E6FFC" w:rsidP="00BA7E52">
            <w:pPr>
              <w:jc w:val="center"/>
              <w:rPr>
                <w:b/>
              </w:rPr>
            </w:pPr>
          </w:p>
        </w:tc>
        <w:tc>
          <w:tcPr>
            <w:tcW w:w="4742" w:type="dxa"/>
            <w:vMerge w:val="restart"/>
            <w:vAlign w:val="center"/>
          </w:tcPr>
          <w:p w:rsidR="005E6FFC" w:rsidRPr="009C4A2D" w:rsidRDefault="005E6FFC" w:rsidP="00B01D40">
            <w:pPr>
              <w:pStyle w:val="Notesoncontributors"/>
              <w:rPr>
                <w:b/>
                <w:sz w:val="22"/>
                <w:lang w:val="en-US"/>
              </w:rPr>
            </w:pPr>
            <w:r w:rsidRPr="009C4A2D">
              <w:rPr>
                <w:b/>
                <w:sz w:val="22"/>
                <w:szCs w:val="22"/>
                <w:lang w:val="en-US"/>
              </w:rPr>
              <w:t>Cluster 2:</w:t>
            </w:r>
            <w:r w:rsidRPr="009C4A2D">
              <w:rPr>
                <w:sz w:val="22"/>
                <w:szCs w:val="22"/>
                <w:lang w:val="en-US"/>
              </w:rPr>
              <w:t xml:space="preserve"> Croatia, Czech R., Estonia, Hungary, Latvia, Lithuania, Poland</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213"/>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(4)</w:t>
            </w:r>
          </w:p>
        </w:tc>
      </w:tr>
      <w:tr w:rsidR="005E6FFC" w:rsidRPr="009C4A2D" w:rsidTr="0040586D">
        <w:trPr>
          <w:trHeight w:val="154"/>
        </w:trPr>
        <w:tc>
          <w:tcPr>
            <w:tcW w:w="0" w:type="auto"/>
            <w:vMerge w:val="restart"/>
            <w:textDirection w:val="btLr"/>
            <w:vAlign w:val="center"/>
          </w:tcPr>
          <w:p w:rsidR="005E6FFC" w:rsidRPr="009C4A2D" w:rsidRDefault="005E6FFC" w:rsidP="00BA7E52">
            <w:pPr>
              <w:ind w:left="113" w:right="113"/>
              <w:jc w:val="center"/>
              <w:rPr>
                <w:b/>
              </w:rPr>
            </w:pPr>
            <w:r w:rsidRPr="009C4A2D">
              <w:rPr>
                <w:b/>
                <w:sz w:val="22"/>
                <w:szCs w:val="22"/>
              </w:rPr>
              <w:t>2011</w:t>
            </w:r>
          </w:p>
        </w:tc>
        <w:tc>
          <w:tcPr>
            <w:tcW w:w="4742" w:type="dxa"/>
            <w:vMerge w:val="restart"/>
            <w:vAlign w:val="center"/>
          </w:tcPr>
          <w:p w:rsidR="005E6FFC" w:rsidRPr="009C4A2D" w:rsidRDefault="005E6FFC" w:rsidP="00BA7E52">
            <w:pPr>
              <w:pStyle w:val="Notesoncontributors"/>
              <w:rPr>
                <w:b/>
                <w:sz w:val="22"/>
                <w:lang w:val="en-US"/>
              </w:rPr>
            </w:pPr>
            <w:r w:rsidRPr="009C4A2D">
              <w:rPr>
                <w:b/>
                <w:sz w:val="22"/>
                <w:szCs w:val="22"/>
                <w:lang w:val="en-US"/>
              </w:rPr>
              <w:t>Cluster 1:</w:t>
            </w:r>
            <w:r w:rsidRPr="009C4A2D">
              <w:rPr>
                <w:sz w:val="22"/>
                <w:szCs w:val="22"/>
                <w:lang w:val="en-US"/>
              </w:rPr>
              <w:t xml:space="preserve"> Albania, Bosnia, Bulgaria, Macedonia, Moldova, Romania, Turkey</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(4)</w:t>
            </w:r>
          </w:p>
        </w:tc>
      </w:tr>
      <w:tr w:rsidR="005E6FFC" w:rsidRPr="009C4A2D" w:rsidTr="0040586D">
        <w:trPr>
          <w:trHeight w:val="96"/>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(3)</w:t>
            </w:r>
          </w:p>
        </w:tc>
      </w:tr>
      <w:tr w:rsidR="005E6FFC" w:rsidRPr="009C4A2D" w:rsidTr="0040586D">
        <w:trPr>
          <w:trHeight w:val="204"/>
        </w:trPr>
        <w:tc>
          <w:tcPr>
            <w:tcW w:w="0" w:type="auto"/>
            <w:vMerge/>
            <w:vAlign w:val="center"/>
          </w:tcPr>
          <w:p w:rsidR="005E6FFC" w:rsidRPr="009C4A2D" w:rsidRDefault="005E6FFC" w:rsidP="00BA7E52">
            <w:pPr>
              <w:jc w:val="center"/>
              <w:rPr>
                <w:b/>
              </w:rPr>
            </w:pPr>
          </w:p>
        </w:tc>
        <w:tc>
          <w:tcPr>
            <w:tcW w:w="4742" w:type="dxa"/>
            <w:vMerge w:val="restart"/>
            <w:vAlign w:val="center"/>
          </w:tcPr>
          <w:p w:rsidR="005E6FFC" w:rsidRPr="009C4A2D" w:rsidRDefault="005E6FFC" w:rsidP="00B01D40">
            <w:pPr>
              <w:pStyle w:val="Notesoncontributors"/>
              <w:rPr>
                <w:b/>
                <w:sz w:val="22"/>
                <w:lang w:val="en-US"/>
              </w:rPr>
            </w:pPr>
            <w:r w:rsidRPr="009C4A2D">
              <w:rPr>
                <w:b/>
                <w:sz w:val="22"/>
                <w:szCs w:val="22"/>
                <w:lang w:val="en-US"/>
              </w:rPr>
              <w:t>Cluster 2:</w:t>
            </w:r>
            <w:r w:rsidRPr="009C4A2D">
              <w:rPr>
                <w:sz w:val="22"/>
                <w:szCs w:val="22"/>
                <w:lang w:val="en-US"/>
              </w:rPr>
              <w:t xml:space="preserve"> Croatia, Czech R., Estonia, Hungary, Latvia, Lithuania, Poland</w:t>
            </w: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146"/>
        </w:trPr>
        <w:tc>
          <w:tcPr>
            <w:tcW w:w="0" w:type="auto"/>
            <w:vMerge/>
            <w:vAlign w:val="center"/>
          </w:tcPr>
          <w:p w:rsidR="005E6FFC" w:rsidRPr="009C4A2D" w:rsidRDefault="005E6FFC" w:rsidP="00BA7E52">
            <w:pPr>
              <w:jc w:val="center"/>
              <w:rPr>
                <w:b/>
              </w:rPr>
            </w:pPr>
          </w:p>
        </w:tc>
        <w:tc>
          <w:tcPr>
            <w:tcW w:w="4742" w:type="dxa"/>
            <w:vMerge/>
            <w:vAlign w:val="center"/>
          </w:tcPr>
          <w:p w:rsidR="005E6FFC" w:rsidRPr="009C4A2D" w:rsidRDefault="005E6FFC" w:rsidP="00BA7E52">
            <w:pPr>
              <w:pStyle w:val="Notesoncontributors"/>
              <w:rPr>
                <w:sz w:val="22"/>
                <w:lang w:val="en-US"/>
              </w:rPr>
            </w:pPr>
          </w:p>
        </w:tc>
        <w:tc>
          <w:tcPr>
            <w:tcW w:w="3110" w:type="dxa"/>
            <w:vAlign w:val="center"/>
          </w:tcPr>
          <w:p w:rsidR="005E6FFC" w:rsidRPr="009C4A2D" w:rsidRDefault="005E6FFC" w:rsidP="00BA7E52">
            <w:pPr>
              <w:pStyle w:val="Notesoncontributors"/>
              <w:rPr>
                <w:sz w:val="22"/>
                <w:lang w:val="en-US"/>
              </w:rPr>
            </w:pPr>
            <w:r w:rsidRPr="009C4A2D">
              <w:rPr>
                <w:sz w:val="22"/>
                <w:szCs w:val="22"/>
                <w:lang w:val="en-US"/>
              </w:rPr>
              <w:t>-exchange rate targeting (4)</w:t>
            </w:r>
          </w:p>
        </w:tc>
      </w:tr>
    </w:tbl>
    <w:p w:rsidR="005E6FFC" w:rsidRPr="009C4A2D" w:rsidRDefault="005E6FFC" w:rsidP="00B45971">
      <w:pPr>
        <w:pStyle w:val="BodyText"/>
        <w:ind w:left="770" w:hanging="784"/>
        <w:jc w:val="left"/>
        <w:rPr>
          <w:b w:val="0"/>
          <w:sz w:val="22"/>
          <w:szCs w:val="22"/>
          <w:lang w:val="en-US"/>
        </w:rPr>
      </w:pPr>
    </w:p>
    <w:p w:rsidR="005E6FFC" w:rsidRPr="009C4A2D" w:rsidRDefault="005E6FFC" w:rsidP="00B45971">
      <w:pPr>
        <w:pStyle w:val="BodyText"/>
        <w:ind w:left="770" w:hanging="784"/>
        <w:jc w:val="left"/>
        <w:rPr>
          <w:b w:val="0"/>
          <w:sz w:val="22"/>
          <w:szCs w:val="22"/>
          <w:lang w:val="en-US"/>
        </w:rPr>
      </w:pPr>
      <w:r w:rsidRPr="009C4A2D">
        <w:rPr>
          <w:b w:val="0"/>
          <w:sz w:val="22"/>
          <w:szCs w:val="22"/>
          <w:lang w:val="en-US"/>
        </w:rPr>
        <w:t>Table 1: Countries classification using non-hierarchical k-means cluster method according to all selected criteria</w:t>
      </w:r>
    </w:p>
    <w:p w:rsidR="005E6FFC" w:rsidRPr="009C4A2D" w:rsidRDefault="005E6FFC" w:rsidP="000836F9">
      <w:pPr>
        <w:jc w:val="both"/>
      </w:pPr>
    </w:p>
    <w:p w:rsidR="005E6FFC" w:rsidRPr="009C4A2D" w:rsidRDefault="005E6FFC" w:rsidP="00724380">
      <w:pPr>
        <w:jc w:val="both"/>
      </w:pPr>
      <w:r w:rsidRPr="009C4A2D">
        <w:t>Furthermore, as Table 2 shows, economic development (GDP p/c), domestic credit to private sector and capital openness index contribute to difference between clusters in each selected year (bolded p-values), while intermediate target, foreign currency denominated loans and three forms of central bank independence do not contribute to difference in neither year. Other indicators were significant mainly in three years (external debt, international reserves, lending interest rates and trade openness), while inflation contributed to difference two years.</w:t>
      </w:r>
    </w:p>
    <w:p w:rsidR="005E6FFC" w:rsidRPr="009C4A2D" w:rsidRDefault="005E6FFC" w:rsidP="0072438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879"/>
        <w:gridCol w:w="879"/>
        <w:gridCol w:w="879"/>
        <w:gridCol w:w="879"/>
      </w:tblGrid>
      <w:tr w:rsidR="005E6FFC" w:rsidRPr="009C4A2D" w:rsidTr="00BA7E52">
        <w:trPr>
          <w:jc w:val="center"/>
        </w:trPr>
        <w:tc>
          <w:tcPr>
            <w:tcW w:w="1083" w:type="dxa"/>
            <w:vMerge w:val="restart"/>
            <w:vAlign w:val="center"/>
          </w:tcPr>
          <w:p w:rsidR="005E6FFC" w:rsidRPr="009C4A2D" w:rsidRDefault="005E6FFC" w:rsidP="00BA7E52">
            <w:pPr>
              <w:rPr>
                <w:b/>
              </w:rPr>
            </w:pPr>
            <w:r w:rsidRPr="009C4A2D">
              <w:rPr>
                <w:b/>
                <w:sz w:val="22"/>
                <w:szCs w:val="22"/>
              </w:rPr>
              <w:t>Criteria</w:t>
            </w:r>
            <w:r w:rsidRPr="009C4A2D">
              <w:rPr>
                <w:rStyle w:val="FootnoteReference"/>
                <w:b/>
                <w:sz w:val="22"/>
                <w:szCs w:val="22"/>
              </w:rPr>
              <w:t>ii</w:t>
            </w:r>
          </w:p>
        </w:tc>
        <w:tc>
          <w:tcPr>
            <w:tcW w:w="3516" w:type="dxa"/>
            <w:gridSpan w:val="4"/>
            <w:vAlign w:val="center"/>
          </w:tcPr>
          <w:p w:rsidR="005E6FFC" w:rsidRPr="009C4A2D" w:rsidRDefault="005E6FFC" w:rsidP="00BA7E52">
            <w:pPr>
              <w:jc w:val="center"/>
            </w:pPr>
            <w:r w:rsidRPr="009C4A2D">
              <w:rPr>
                <w:sz w:val="22"/>
                <w:szCs w:val="22"/>
              </w:rPr>
              <w:t>F test</w:t>
            </w:r>
            <w:r w:rsidRPr="009C4A2D">
              <w:rPr>
                <w:rStyle w:val="FootnoteReference"/>
                <w:b/>
                <w:sz w:val="22"/>
                <w:szCs w:val="22"/>
              </w:rPr>
              <w:t>i</w:t>
            </w:r>
            <w:r w:rsidRPr="009C4A2D">
              <w:rPr>
                <w:b/>
                <w:sz w:val="22"/>
                <w:szCs w:val="22"/>
              </w:rPr>
              <w:t xml:space="preserve"> </w:t>
            </w:r>
            <w:r w:rsidRPr="009C4A2D">
              <w:rPr>
                <w:sz w:val="22"/>
                <w:szCs w:val="22"/>
              </w:rPr>
              <w:t>p-value</w:t>
            </w:r>
          </w:p>
        </w:tc>
      </w:tr>
      <w:tr w:rsidR="005E6FFC" w:rsidRPr="009C4A2D" w:rsidTr="00BA7E52">
        <w:trPr>
          <w:jc w:val="center"/>
        </w:trPr>
        <w:tc>
          <w:tcPr>
            <w:tcW w:w="1083" w:type="dxa"/>
            <w:vMerge/>
            <w:vAlign w:val="center"/>
          </w:tcPr>
          <w:p w:rsidR="005E6FFC" w:rsidRPr="009C4A2D" w:rsidRDefault="005E6FFC" w:rsidP="00BA7E52"/>
        </w:tc>
        <w:tc>
          <w:tcPr>
            <w:tcW w:w="879" w:type="dxa"/>
            <w:vAlign w:val="center"/>
          </w:tcPr>
          <w:p w:rsidR="005E6FFC" w:rsidRPr="009C4A2D" w:rsidRDefault="005E6FFC" w:rsidP="00BA7E52">
            <w:pPr>
              <w:jc w:val="center"/>
            </w:pPr>
            <w:r w:rsidRPr="009C4A2D">
              <w:rPr>
                <w:sz w:val="22"/>
                <w:szCs w:val="22"/>
              </w:rPr>
              <w:t>2005</w:t>
            </w:r>
          </w:p>
        </w:tc>
        <w:tc>
          <w:tcPr>
            <w:tcW w:w="879" w:type="dxa"/>
            <w:vAlign w:val="center"/>
          </w:tcPr>
          <w:p w:rsidR="005E6FFC" w:rsidRPr="009C4A2D" w:rsidRDefault="005E6FFC" w:rsidP="00BA7E52">
            <w:pPr>
              <w:jc w:val="center"/>
            </w:pPr>
            <w:r w:rsidRPr="009C4A2D">
              <w:rPr>
                <w:sz w:val="22"/>
                <w:szCs w:val="22"/>
              </w:rPr>
              <w:t>2007</w:t>
            </w:r>
          </w:p>
        </w:tc>
        <w:tc>
          <w:tcPr>
            <w:tcW w:w="879" w:type="dxa"/>
            <w:vAlign w:val="center"/>
          </w:tcPr>
          <w:p w:rsidR="005E6FFC" w:rsidRPr="009C4A2D" w:rsidRDefault="005E6FFC" w:rsidP="00BA7E52">
            <w:pPr>
              <w:jc w:val="center"/>
            </w:pPr>
            <w:r w:rsidRPr="009C4A2D">
              <w:rPr>
                <w:sz w:val="22"/>
                <w:szCs w:val="22"/>
              </w:rPr>
              <w:t>2009</w:t>
            </w:r>
          </w:p>
        </w:tc>
        <w:tc>
          <w:tcPr>
            <w:tcW w:w="879" w:type="dxa"/>
            <w:vAlign w:val="center"/>
          </w:tcPr>
          <w:p w:rsidR="005E6FFC" w:rsidRPr="009C4A2D" w:rsidRDefault="005E6FFC" w:rsidP="00BA7E52">
            <w:pPr>
              <w:jc w:val="center"/>
            </w:pPr>
            <w:r w:rsidRPr="009C4A2D">
              <w:rPr>
                <w:sz w:val="22"/>
                <w:szCs w:val="22"/>
              </w:rPr>
              <w:t>2011</w:t>
            </w:r>
          </w:p>
        </w:tc>
      </w:tr>
      <w:tr w:rsidR="005E6FFC" w:rsidRPr="009C4A2D" w:rsidTr="00BA7E52">
        <w:trPr>
          <w:jc w:val="center"/>
        </w:trPr>
        <w:tc>
          <w:tcPr>
            <w:tcW w:w="1083" w:type="dxa"/>
            <w:vAlign w:val="center"/>
          </w:tcPr>
          <w:p w:rsidR="005E6FFC" w:rsidRPr="009C4A2D" w:rsidRDefault="005E6FFC" w:rsidP="00BA7E52">
            <w:r w:rsidRPr="009C4A2D">
              <w:rPr>
                <w:sz w:val="22"/>
                <w:szCs w:val="22"/>
              </w:rPr>
              <w:t>C0</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0.867</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0.317</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0.626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0.626</w:t>
            </w:r>
          </w:p>
        </w:tc>
      </w:tr>
      <w:tr w:rsidR="005E6FFC" w:rsidRPr="009C4A2D" w:rsidTr="00BA7E52">
        <w:trPr>
          <w:jc w:val="center"/>
        </w:trPr>
        <w:tc>
          <w:tcPr>
            <w:tcW w:w="1083" w:type="dxa"/>
            <w:vAlign w:val="center"/>
          </w:tcPr>
          <w:p w:rsidR="005E6FFC" w:rsidRPr="009C4A2D" w:rsidRDefault="005E6FFC" w:rsidP="00BA7E52">
            <w:r w:rsidRPr="009C4A2D">
              <w:rPr>
                <w:sz w:val="22"/>
                <w:szCs w:val="22"/>
              </w:rPr>
              <w:t>C1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&lt;0.000</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&lt;0.000</w:t>
            </w:r>
          </w:p>
        </w:tc>
      </w:tr>
      <w:tr w:rsidR="005E6FFC" w:rsidRPr="009C4A2D" w:rsidTr="00BA7E52">
        <w:trPr>
          <w:jc w:val="center"/>
        </w:trPr>
        <w:tc>
          <w:tcPr>
            <w:tcW w:w="1083" w:type="dxa"/>
            <w:vAlign w:val="center"/>
          </w:tcPr>
          <w:p w:rsidR="005E6FFC" w:rsidRPr="009C4A2D" w:rsidRDefault="005E6FFC" w:rsidP="00BA7E52">
            <w:r w:rsidRPr="009C4A2D">
              <w:rPr>
                <w:sz w:val="22"/>
                <w:szCs w:val="22"/>
              </w:rPr>
              <w:t>C2</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0.146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0.861</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0.685</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0.102</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C3</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0.237</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0.030</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0.088</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0.056</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0.681</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0.631</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0.574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0.513</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C5a</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0.893</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0.906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0.906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0.906</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C5b</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0.831</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0.959</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0.959</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0.959</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C5c</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0.865</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0.346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0.346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0.346</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C6</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0.142</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0.007</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0.008</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0.005</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C7</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0.067</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0.004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0.255</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0.181</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C8</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0.061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0.027</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0.327</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0.005</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C9</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0.069</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0.404</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0.150</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0.081</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C10</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0.186</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0.664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0.903</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0.894</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C11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0.073</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0.048</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0.081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0.118</w:t>
            </w:r>
          </w:p>
        </w:tc>
      </w:tr>
    </w:tbl>
    <w:p w:rsidR="005E6FFC" w:rsidRPr="009C4A2D" w:rsidRDefault="005E6FFC" w:rsidP="00B45971">
      <w:pPr>
        <w:tabs>
          <w:tab w:val="left" w:pos="900"/>
        </w:tabs>
        <w:rPr>
          <w:rFonts w:cs="Arial"/>
          <w:sz w:val="16"/>
          <w:szCs w:val="16"/>
        </w:rPr>
      </w:pPr>
      <w:r w:rsidRPr="009C4A2D">
        <w:rPr>
          <w:rStyle w:val="FootnoteReference"/>
          <w:b/>
          <w:sz w:val="22"/>
          <w:szCs w:val="22"/>
        </w:rPr>
        <w:t>i</w:t>
      </w:r>
      <w:r w:rsidRPr="009C4A2D">
        <w:rPr>
          <w:rFonts w:cs="Arial"/>
          <w:sz w:val="16"/>
          <w:szCs w:val="16"/>
        </w:rPr>
        <w:t xml:space="preserve">The F tests should be used only for descriptive purposes because the clusters have been chosen to maximize the differences among cases in different clusters. The observed significance levels are not corrected for this and thus cannot be interpreted as tests of the hypothesis that the cluster means are equal. </w:t>
      </w:r>
    </w:p>
    <w:p w:rsidR="005E6FFC" w:rsidRPr="009C4A2D" w:rsidRDefault="005E6FFC" w:rsidP="00B45971">
      <w:pPr>
        <w:jc w:val="both"/>
        <w:rPr>
          <w:i/>
          <w:sz w:val="16"/>
          <w:szCs w:val="16"/>
        </w:rPr>
      </w:pPr>
      <w:r w:rsidRPr="009C4A2D">
        <w:rPr>
          <w:rStyle w:val="FootnoteReference"/>
          <w:b/>
          <w:sz w:val="22"/>
          <w:szCs w:val="22"/>
        </w:rPr>
        <w:t>ii</w:t>
      </w:r>
      <w:r w:rsidRPr="009C4A2D">
        <w:rPr>
          <w:i/>
          <w:sz w:val="16"/>
          <w:szCs w:val="16"/>
        </w:rPr>
        <w:t>CRITERIA: C0=intermediate target; C1=GDP p/c; C2=Inflation; C3=External debt stocks; C4=FC loans; C5a=PLCBI; C5b=CBGCMP; C5c=CBTA; C6=Domestic credit to private sector; C7=Inter reserves; C8=Lending interest rate; C9=Trade openness (%GDP); C10=Government budget deficit (expressed negatively); C11=Capital openness index.</w:t>
      </w:r>
    </w:p>
    <w:p w:rsidR="005E6FFC" w:rsidRPr="009C4A2D" w:rsidRDefault="005E6FFC" w:rsidP="00B45971">
      <w:pPr>
        <w:pStyle w:val="BodyText"/>
        <w:ind w:left="770" w:hanging="784"/>
        <w:jc w:val="left"/>
        <w:rPr>
          <w:b w:val="0"/>
          <w:sz w:val="22"/>
          <w:szCs w:val="22"/>
          <w:lang w:val="en-US"/>
        </w:rPr>
      </w:pPr>
    </w:p>
    <w:p w:rsidR="005E6FFC" w:rsidRPr="009C4A2D" w:rsidRDefault="005E6FFC" w:rsidP="00B45971">
      <w:pPr>
        <w:pStyle w:val="BodyText"/>
        <w:ind w:left="770" w:hanging="784"/>
        <w:jc w:val="left"/>
        <w:rPr>
          <w:b w:val="0"/>
          <w:sz w:val="22"/>
          <w:szCs w:val="22"/>
          <w:lang w:val="en-US"/>
        </w:rPr>
      </w:pPr>
      <w:r w:rsidRPr="009C4A2D">
        <w:rPr>
          <w:b w:val="0"/>
          <w:sz w:val="22"/>
          <w:szCs w:val="22"/>
          <w:lang w:val="en-US"/>
        </w:rPr>
        <w:t>Table 2: ANOVA test for all criteria of non-hierarchical k-means cluster method</w:t>
      </w:r>
    </w:p>
    <w:p w:rsidR="005E6FFC" w:rsidRPr="009C4A2D" w:rsidRDefault="005E6FFC" w:rsidP="00B45971">
      <w:pPr>
        <w:pStyle w:val="BodyText"/>
        <w:ind w:left="770" w:hanging="784"/>
        <w:jc w:val="left"/>
        <w:rPr>
          <w:b w:val="0"/>
          <w:lang w:val="en-US"/>
        </w:rPr>
      </w:pPr>
    </w:p>
    <w:p w:rsidR="005E6FFC" w:rsidRPr="009C4A2D" w:rsidRDefault="005E6FFC" w:rsidP="00845F6C">
      <w:pPr>
        <w:jc w:val="both"/>
      </w:pPr>
      <w:r w:rsidRPr="009C4A2D">
        <w:rPr>
          <w:rFonts w:cs="Arial"/>
          <w:szCs w:val="20"/>
        </w:rPr>
        <w:t>In the second step indicators that proved not to be significant in first clustering and that were significant in [17] were taken in analysis.</w:t>
      </w:r>
      <w:r w:rsidRPr="009C4A2D">
        <w:t xml:space="preserve"> Results are presented in Tables 3 and 4.</w:t>
      </w:r>
    </w:p>
    <w:p w:rsidR="005E6FFC" w:rsidRPr="009C4A2D" w:rsidRDefault="005E6FFC" w:rsidP="00B45971">
      <w:pPr>
        <w:pStyle w:val="BodyText"/>
        <w:ind w:left="770" w:hanging="784"/>
        <w:jc w:val="left"/>
        <w:rPr>
          <w:b w:val="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5313"/>
        <w:gridCol w:w="3167"/>
      </w:tblGrid>
      <w:tr w:rsidR="005E6FFC" w:rsidRPr="009C4A2D" w:rsidTr="0040586D">
        <w:trPr>
          <w:trHeight w:val="575"/>
        </w:trPr>
        <w:tc>
          <w:tcPr>
            <w:tcW w:w="434" w:type="pct"/>
            <w:vMerge w:val="restart"/>
            <w:vAlign w:val="center"/>
          </w:tcPr>
          <w:p w:rsidR="005E6FFC" w:rsidRPr="009C4A2D" w:rsidRDefault="005E6FFC" w:rsidP="00BA7E52">
            <w:pPr>
              <w:jc w:val="center"/>
              <w:rPr>
                <w:b/>
              </w:rPr>
            </w:pPr>
            <w:r w:rsidRPr="009C4A2D">
              <w:rPr>
                <w:b/>
                <w:sz w:val="22"/>
                <w:szCs w:val="22"/>
              </w:rPr>
              <w:t>Years</w:t>
            </w:r>
          </w:p>
        </w:tc>
        <w:tc>
          <w:tcPr>
            <w:tcW w:w="2861" w:type="pct"/>
            <w:vMerge w:val="restart"/>
            <w:vAlign w:val="center"/>
          </w:tcPr>
          <w:p w:rsidR="005E6FFC" w:rsidRPr="009C4A2D" w:rsidRDefault="005E6FFC" w:rsidP="00BA7E52">
            <w:pPr>
              <w:jc w:val="center"/>
            </w:pPr>
            <w:r w:rsidRPr="009C4A2D">
              <w:rPr>
                <w:b/>
                <w:sz w:val="22"/>
                <w:szCs w:val="22"/>
              </w:rPr>
              <w:t>CLUSTERS</w:t>
            </w:r>
          </w:p>
        </w:tc>
        <w:tc>
          <w:tcPr>
            <w:tcW w:w="1705" w:type="pct"/>
            <w:vMerge w:val="restart"/>
            <w:vAlign w:val="center"/>
          </w:tcPr>
          <w:p w:rsidR="005E6FFC" w:rsidRPr="009C4A2D" w:rsidRDefault="005E6FFC" w:rsidP="00724380">
            <w:r w:rsidRPr="009C4A2D">
              <w:rPr>
                <w:sz w:val="22"/>
                <w:szCs w:val="22"/>
              </w:rPr>
              <w:t xml:space="preserve">Number of countries with appropriate intermediate target: </w:t>
            </w:r>
          </w:p>
        </w:tc>
      </w:tr>
      <w:tr w:rsidR="005E6FFC" w:rsidRPr="009C4A2D" w:rsidTr="0040586D">
        <w:trPr>
          <w:trHeight w:val="276"/>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jc w:val="center"/>
            </w:pPr>
          </w:p>
        </w:tc>
        <w:tc>
          <w:tcPr>
            <w:tcW w:w="1705" w:type="pct"/>
            <w:vMerge/>
            <w:vAlign w:val="center"/>
          </w:tcPr>
          <w:p w:rsidR="005E6FFC" w:rsidRPr="009C4A2D" w:rsidRDefault="005E6FFC" w:rsidP="00BA7E52">
            <w:pPr>
              <w:jc w:val="center"/>
            </w:pPr>
          </w:p>
        </w:tc>
      </w:tr>
      <w:tr w:rsidR="005E6FFC" w:rsidRPr="009C4A2D" w:rsidTr="0040586D">
        <w:trPr>
          <w:trHeight w:val="158"/>
        </w:trPr>
        <w:tc>
          <w:tcPr>
            <w:tcW w:w="434" w:type="pct"/>
            <w:vMerge w:val="restart"/>
            <w:textDirection w:val="btLr"/>
            <w:vAlign w:val="center"/>
          </w:tcPr>
          <w:p w:rsidR="005E6FFC" w:rsidRPr="009C4A2D" w:rsidRDefault="005E6FFC" w:rsidP="00BA7E52">
            <w:pPr>
              <w:ind w:left="113" w:right="113"/>
              <w:jc w:val="center"/>
              <w:rPr>
                <w:b/>
              </w:rPr>
            </w:pPr>
            <w:r w:rsidRPr="009C4A2D">
              <w:rPr>
                <w:b/>
                <w:sz w:val="22"/>
                <w:szCs w:val="22"/>
              </w:rPr>
              <w:t>2005</w:t>
            </w:r>
          </w:p>
        </w:tc>
        <w:tc>
          <w:tcPr>
            <w:tcW w:w="2861" w:type="pct"/>
            <w:vMerge w:val="restart"/>
            <w:vAlign w:val="center"/>
          </w:tcPr>
          <w:p w:rsidR="005E6FFC" w:rsidRPr="009C4A2D" w:rsidRDefault="005E6FFC" w:rsidP="00BA7E52">
            <w:pPr>
              <w:rPr>
                <w:b/>
              </w:rPr>
            </w:pPr>
            <w:r w:rsidRPr="009C4A2D">
              <w:rPr>
                <w:b/>
                <w:sz w:val="22"/>
                <w:szCs w:val="22"/>
              </w:rPr>
              <w:t xml:space="preserve">Cluster 1: </w:t>
            </w:r>
            <w:r w:rsidRPr="009C4A2D">
              <w:rPr>
                <w:sz w:val="22"/>
                <w:szCs w:val="22"/>
              </w:rPr>
              <w:t>Albania, Bosnia, Bulgaria, Croatia, Estonia, Hungary, Latvia, Lithuania, Romania</w:t>
            </w: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-inflation targeting (2)</w:t>
            </w:r>
          </w:p>
        </w:tc>
      </w:tr>
      <w:tr w:rsidR="005E6FFC" w:rsidRPr="009C4A2D" w:rsidTr="0040586D">
        <w:trPr>
          <w:trHeight w:val="222"/>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(7)</w:t>
            </w:r>
          </w:p>
        </w:tc>
      </w:tr>
      <w:tr w:rsidR="005E6FFC" w:rsidRPr="00001F65" w:rsidTr="0040586D">
        <w:trPr>
          <w:trHeight w:val="222"/>
        </w:trPr>
        <w:tc>
          <w:tcPr>
            <w:tcW w:w="434" w:type="pct"/>
            <w:vMerge/>
            <w:vAlign w:val="center"/>
          </w:tcPr>
          <w:p w:rsidR="005E6FFC" w:rsidRPr="009C4A2D" w:rsidRDefault="005E6FFC" w:rsidP="00BA7E52">
            <w:pPr>
              <w:jc w:val="center"/>
              <w:rPr>
                <w:b/>
              </w:rPr>
            </w:pPr>
          </w:p>
        </w:tc>
        <w:tc>
          <w:tcPr>
            <w:tcW w:w="2861" w:type="pct"/>
            <w:vMerge w:val="restart"/>
            <w:vAlign w:val="center"/>
          </w:tcPr>
          <w:p w:rsidR="005E6FFC" w:rsidRPr="009C4A2D" w:rsidRDefault="005E6FFC" w:rsidP="00B01D40">
            <w:pPr>
              <w:pStyle w:val="Notesoncontributors"/>
              <w:rPr>
                <w:sz w:val="22"/>
                <w:lang w:val="en-US"/>
              </w:rPr>
            </w:pPr>
            <w:r w:rsidRPr="009C4A2D">
              <w:rPr>
                <w:b/>
                <w:sz w:val="22"/>
                <w:szCs w:val="22"/>
                <w:lang w:val="en-US"/>
              </w:rPr>
              <w:t>Cluster 2:</w:t>
            </w:r>
            <w:r w:rsidRPr="009C4A2D">
              <w:rPr>
                <w:sz w:val="22"/>
                <w:szCs w:val="22"/>
                <w:lang w:val="en-US"/>
              </w:rPr>
              <w:t xml:space="preserve"> Czech R., Macedonia, Moldova, Poland, Turkey</w:t>
            </w:r>
          </w:p>
        </w:tc>
        <w:tc>
          <w:tcPr>
            <w:tcW w:w="1705" w:type="pct"/>
            <w:vAlign w:val="center"/>
          </w:tcPr>
          <w:p w:rsidR="005E6FFC" w:rsidRPr="00001F65" w:rsidRDefault="005E6FFC" w:rsidP="00BA7E52">
            <w:pPr>
              <w:pStyle w:val="Notesoncontributors"/>
              <w:rPr>
                <w:sz w:val="22"/>
                <w:lang w:val="en-US"/>
              </w:rPr>
            </w:pPr>
            <w:r w:rsidRPr="009C4A2D">
              <w:rPr>
                <w:sz w:val="22"/>
                <w:szCs w:val="22"/>
                <w:lang w:val="en-US"/>
              </w:rPr>
              <w:t>-inflation targeting (3)</w:t>
            </w:r>
          </w:p>
        </w:tc>
      </w:tr>
      <w:tr w:rsidR="005E6FFC" w:rsidRPr="00001F65" w:rsidTr="0040586D">
        <w:trPr>
          <w:trHeight w:val="150"/>
        </w:trPr>
        <w:tc>
          <w:tcPr>
            <w:tcW w:w="434" w:type="pct"/>
            <w:vMerge/>
            <w:vAlign w:val="center"/>
          </w:tcPr>
          <w:p w:rsidR="005E6FFC" w:rsidRPr="00001F65" w:rsidRDefault="005E6FFC" w:rsidP="00BA7E52">
            <w:pPr>
              <w:jc w:val="center"/>
              <w:rPr>
                <w:b/>
              </w:rPr>
            </w:pPr>
          </w:p>
        </w:tc>
        <w:tc>
          <w:tcPr>
            <w:tcW w:w="2861" w:type="pct"/>
            <w:vMerge/>
            <w:vAlign w:val="center"/>
          </w:tcPr>
          <w:p w:rsidR="005E6FFC" w:rsidRPr="00001F65" w:rsidRDefault="005E6FFC" w:rsidP="00BA7E52">
            <w:pPr>
              <w:pStyle w:val="Notesoncontributors"/>
              <w:rPr>
                <w:sz w:val="22"/>
                <w:lang w:val="en-US"/>
              </w:rPr>
            </w:pPr>
          </w:p>
        </w:tc>
        <w:tc>
          <w:tcPr>
            <w:tcW w:w="1705" w:type="pct"/>
            <w:vAlign w:val="center"/>
          </w:tcPr>
          <w:p w:rsidR="005E6FFC" w:rsidRPr="00001F65" w:rsidRDefault="005E6FFC" w:rsidP="00BA7E52">
            <w:pPr>
              <w:pStyle w:val="Notesoncontributors"/>
              <w:rPr>
                <w:sz w:val="22"/>
                <w:lang w:val="en-US"/>
              </w:rPr>
            </w:pPr>
            <w:r w:rsidRPr="00001F65">
              <w:rPr>
                <w:sz w:val="22"/>
                <w:szCs w:val="22"/>
                <w:lang w:val="en-US"/>
              </w:rPr>
              <w:t>-exchange rate targeting (2)</w:t>
            </w:r>
          </w:p>
        </w:tc>
      </w:tr>
      <w:tr w:rsidR="005E6FFC" w:rsidRPr="00001F65" w:rsidTr="0040586D">
        <w:trPr>
          <w:trHeight w:val="93"/>
        </w:trPr>
        <w:tc>
          <w:tcPr>
            <w:tcW w:w="434" w:type="pct"/>
            <w:vMerge w:val="restart"/>
            <w:textDirection w:val="btLr"/>
            <w:vAlign w:val="center"/>
          </w:tcPr>
          <w:p w:rsidR="005E6FFC" w:rsidRPr="00001F65" w:rsidRDefault="005E6FFC" w:rsidP="00BA7E52">
            <w:pPr>
              <w:ind w:left="113" w:right="113"/>
              <w:jc w:val="center"/>
              <w:rPr>
                <w:b/>
              </w:rPr>
            </w:pPr>
            <w:r w:rsidRPr="00001F65">
              <w:rPr>
                <w:b/>
                <w:sz w:val="22"/>
                <w:szCs w:val="22"/>
              </w:rPr>
              <w:t>2007</w:t>
            </w:r>
          </w:p>
        </w:tc>
        <w:tc>
          <w:tcPr>
            <w:tcW w:w="2861" w:type="pct"/>
            <w:vMerge w:val="restart"/>
            <w:vAlign w:val="center"/>
          </w:tcPr>
          <w:p w:rsidR="005E6FFC" w:rsidRPr="00001F65" w:rsidRDefault="005E6FFC" w:rsidP="00BA7E52">
            <w:pPr>
              <w:pStyle w:val="Notesoncontributors"/>
              <w:rPr>
                <w:b/>
                <w:sz w:val="22"/>
                <w:lang w:val="en-US"/>
              </w:rPr>
            </w:pPr>
            <w:r w:rsidRPr="00001F65">
              <w:rPr>
                <w:b/>
                <w:sz w:val="22"/>
                <w:szCs w:val="22"/>
                <w:lang w:val="en-US"/>
              </w:rPr>
              <w:t>Cluster 1:</w:t>
            </w:r>
            <w:r w:rsidRPr="00001F65">
              <w:rPr>
                <w:sz w:val="22"/>
                <w:szCs w:val="22"/>
                <w:lang w:val="en-US"/>
              </w:rPr>
              <w:t xml:space="preserve"> Albania, Bosnia, Bulgaria, Croatia, Estonia, Hungary, Latvia, Lithuania, Macedonia</w:t>
            </w:r>
          </w:p>
        </w:tc>
        <w:tc>
          <w:tcPr>
            <w:tcW w:w="1705" w:type="pct"/>
            <w:vAlign w:val="center"/>
          </w:tcPr>
          <w:p w:rsidR="005E6FFC" w:rsidRPr="00001F65" w:rsidRDefault="005E6FFC" w:rsidP="00BA7E52">
            <w:pPr>
              <w:pStyle w:val="Notesoncontributors"/>
              <w:rPr>
                <w:sz w:val="22"/>
                <w:lang w:val="en-US"/>
              </w:rPr>
            </w:pPr>
            <w:r w:rsidRPr="00001F65">
              <w:rPr>
                <w:sz w:val="22"/>
                <w:szCs w:val="22"/>
                <w:lang w:val="en-US"/>
              </w:rPr>
              <w:t>-inflation targeting (1)</w:t>
            </w:r>
          </w:p>
        </w:tc>
      </w:tr>
      <w:tr w:rsidR="005E6FFC" w:rsidRPr="00001F65" w:rsidTr="0040586D">
        <w:trPr>
          <w:trHeight w:val="214"/>
        </w:trPr>
        <w:tc>
          <w:tcPr>
            <w:tcW w:w="434" w:type="pct"/>
            <w:vMerge/>
            <w:vAlign w:val="center"/>
          </w:tcPr>
          <w:p w:rsidR="005E6FFC" w:rsidRPr="00001F65" w:rsidRDefault="005E6FFC" w:rsidP="00BA7E52">
            <w:pPr>
              <w:jc w:val="center"/>
              <w:rPr>
                <w:b/>
              </w:rPr>
            </w:pPr>
          </w:p>
        </w:tc>
        <w:tc>
          <w:tcPr>
            <w:tcW w:w="2861" w:type="pct"/>
            <w:vMerge/>
            <w:vAlign w:val="center"/>
          </w:tcPr>
          <w:p w:rsidR="005E6FFC" w:rsidRPr="00001F65" w:rsidRDefault="005E6FFC" w:rsidP="00BA7E52">
            <w:pPr>
              <w:pStyle w:val="Notesoncontributors"/>
              <w:rPr>
                <w:sz w:val="22"/>
                <w:lang w:val="en-US"/>
              </w:rPr>
            </w:pPr>
          </w:p>
        </w:tc>
        <w:tc>
          <w:tcPr>
            <w:tcW w:w="1705" w:type="pct"/>
            <w:vAlign w:val="center"/>
          </w:tcPr>
          <w:p w:rsidR="005E6FFC" w:rsidRPr="00001F65" w:rsidRDefault="005E6FFC" w:rsidP="00BA7E52">
            <w:pPr>
              <w:pStyle w:val="Notesoncontributors"/>
              <w:rPr>
                <w:sz w:val="22"/>
                <w:lang w:val="en-US"/>
              </w:rPr>
            </w:pPr>
            <w:r w:rsidRPr="00001F65">
              <w:rPr>
                <w:sz w:val="22"/>
                <w:szCs w:val="22"/>
                <w:lang w:val="en-US"/>
              </w:rPr>
              <w:t>-exchange rate targeting (8)</w:t>
            </w:r>
          </w:p>
        </w:tc>
      </w:tr>
      <w:tr w:rsidR="005E6FFC" w:rsidRPr="00001F65" w:rsidTr="0040586D">
        <w:trPr>
          <w:trHeight w:val="156"/>
        </w:trPr>
        <w:tc>
          <w:tcPr>
            <w:tcW w:w="434" w:type="pct"/>
            <w:vMerge/>
            <w:vAlign w:val="center"/>
          </w:tcPr>
          <w:p w:rsidR="005E6FFC" w:rsidRPr="00001F65" w:rsidRDefault="005E6FFC" w:rsidP="00BA7E52">
            <w:pPr>
              <w:jc w:val="center"/>
              <w:rPr>
                <w:b/>
              </w:rPr>
            </w:pPr>
          </w:p>
        </w:tc>
        <w:tc>
          <w:tcPr>
            <w:tcW w:w="2861" w:type="pct"/>
            <w:vMerge w:val="restart"/>
            <w:vAlign w:val="center"/>
          </w:tcPr>
          <w:p w:rsidR="005E6FFC" w:rsidRPr="00001F65" w:rsidRDefault="005E6FFC" w:rsidP="00B01D40">
            <w:pPr>
              <w:pStyle w:val="Notesoncontributors"/>
              <w:rPr>
                <w:b/>
                <w:sz w:val="22"/>
                <w:lang w:val="en-US"/>
              </w:rPr>
            </w:pPr>
            <w:r w:rsidRPr="00001F65">
              <w:rPr>
                <w:b/>
                <w:sz w:val="22"/>
                <w:szCs w:val="22"/>
                <w:lang w:val="en-US"/>
              </w:rPr>
              <w:t>Cluster 2:</w:t>
            </w:r>
            <w:r w:rsidRPr="00001F65">
              <w:rPr>
                <w:sz w:val="22"/>
                <w:szCs w:val="22"/>
                <w:lang w:val="en-US"/>
              </w:rPr>
              <w:t xml:space="preserve"> Czech R., Moldova, Poland, Romania, Turkey</w:t>
            </w:r>
          </w:p>
        </w:tc>
        <w:tc>
          <w:tcPr>
            <w:tcW w:w="1705" w:type="pct"/>
            <w:vAlign w:val="center"/>
          </w:tcPr>
          <w:p w:rsidR="005E6FFC" w:rsidRPr="00001F65" w:rsidRDefault="005E6FFC" w:rsidP="00BA7E52">
            <w:pPr>
              <w:pStyle w:val="Notesoncontributors"/>
              <w:rPr>
                <w:sz w:val="22"/>
                <w:lang w:val="en-US"/>
              </w:rPr>
            </w:pPr>
            <w:r w:rsidRPr="00001F65">
              <w:rPr>
                <w:sz w:val="22"/>
                <w:szCs w:val="22"/>
                <w:lang w:val="en-US"/>
              </w:rPr>
              <w:t>-inflation targeting (5)</w:t>
            </w:r>
          </w:p>
        </w:tc>
      </w:tr>
      <w:tr w:rsidR="005E6FFC" w:rsidRPr="009C4A2D" w:rsidTr="0040586D">
        <w:trPr>
          <w:trHeight w:val="98"/>
        </w:trPr>
        <w:tc>
          <w:tcPr>
            <w:tcW w:w="434" w:type="pct"/>
            <w:vMerge/>
            <w:vAlign w:val="center"/>
          </w:tcPr>
          <w:p w:rsidR="005E6FFC" w:rsidRPr="00001F65" w:rsidRDefault="005E6FFC" w:rsidP="00BA7E52">
            <w:pPr>
              <w:jc w:val="center"/>
              <w:rPr>
                <w:b/>
              </w:rPr>
            </w:pPr>
          </w:p>
        </w:tc>
        <w:tc>
          <w:tcPr>
            <w:tcW w:w="2861" w:type="pct"/>
            <w:vMerge/>
            <w:vAlign w:val="center"/>
          </w:tcPr>
          <w:p w:rsidR="005E6FFC" w:rsidRPr="00001F65"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(0)</w:t>
            </w:r>
          </w:p>
        </w:tc>
      </w:tr>
      <w:tr w:rsidR="005E6FFC" w:rsidRPr="009C4A2D" w:rsidTr="0040586D">
        <w:trPr>
          <w:trHeight w:val="220"/>
        </w:trPr>
        <w:tc>
          <w:tcPr>
            <w:tcW w:w="434" w:type="pct"/>
            <w:vMerge w:val="restart"/>
            <w:textDirection w:val="btLr"/>
            <w:vAlign w:val="center"/>
          </w:tcPr>
          <w:p w:rsidR="005E6FFC" w:rsidRPr="009C4A2D" w:rsidRDefault="005E6FFC" w:rsidP="00BA7E52">
            <w:pPr>
              <w:ind w:left="113" w:right="113"/>
              <w:jc w:val="center"/>
              <w:rPr>
                <w:b/>
              </w:rPr>
            </w:pPr>
            <w:r w:rsidRPr="009C4A2D">
              <w:rPr>
                <w:b/>
                <w:sz w:val="22"/>
                <w:szCs w:val="22"/>
              </w:rPr>
              <w:t>2009</w:t>
            </w:r>
          </w:p>
        </w:tc>
        <w:tc>
          <w:tcPr>
            <w:tcW w:w="2861" w:type="pct"/>
            <w:vMerge w:val="restart"/>
            <w:vAlign w:val="center"/>
          </w:tcPr>
          <w:p w:rsidR="005E6FFC" w:rsidRPr="009C4A2D" w:rsidRDefault="005E6FFC" w:rsidP="00BA7E52">
            <w:pPr>
              <w:pStyle w:val="Notesoncontributors"/>
              <w:rPr>
                <w:b/>
                <w:sz w:val="22"/>
                <w:lang w:val="en-US"/>
              </w:rPr>
            </w:pPr>
            <w:r w:rsidRPr="009C4A2D">
              <w:rPr>
                <w:b/>
                <w:sz w:val="22"/>
                <w:szCs w:val="22"/>
                <w:lang w:val="en-US"/>
              </w:rPr>
              <w:t>Cluster 1:</w:t>
            </w:r>
            <w:r w:rsidRPr="009C4A2D">
              <w:rPr>
                <w:sz w:val="22"/>
                <w:szCs w:val="22"/>
                <w:lang w:val="en-US"/>
              </w:rPr>
              <w:t xml:space="preserve"> Albania, Bosnia, Bulgaria, Croatia, Estonia, Hungary, Latvia, Lithuania, Macedonia, Romania</w:t>
            </w: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149"/>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(7)</w:t>
            </w:r>
          </w:p>
        </w:tc>
      </w:tr>
      <w:tr w:rsidR="005E6FFC" w:rsidRPr="009C4A2D" w:rsidTr="0040586D">
        <w:trPr>
          <w:trHeight w:val="90"/>
        </w:trPr>
        <w:tc>
          <w:tcPr>
            <w:tcW w:w="434" w:type="pct"/>
            <w:vMerge/>
            <w:vAlign w:val="center"/>
          </w:tcPr>
          <w:p w:rsidR="005E6FFC" w:rsidRPr="009C4A2D" w:rsidRDefault="005E6FFC" w:rsidP="00BA7E52">
            <w:pPr>
              <w:jc w:val="center"/>
              <w:rPr>
                <w:b/>
              </w:rPr>
            </w:pPr>
          </w:p>
        </w:tc>
        <w:tc>
          <w:tcPr>
            <w:tcW w:w="2861" w:type="pct"/>
            <w:vMerge w:val="restart"/>
            <w:vAlign w:val="center"/>
          </w:tcPr>
          <w:p w:rsidR="005E6FFC" w:rsidRPr="009C4A2D" w:rsidRDefault="005E6FFC" w:rsidP="00B01D40">
            <w:pPr>
              <w:pStyle w:val="Notesoncontributors"/>
              <w:rPr>
                <w:b/>
                <w:sz w:val="22"/>
                <w:lang w:val="en-US"/>
              </w:rPr>
            </w:pPr>
            <w:r w:rsidRPr="009C4A2D">
              <w:rPr>
                <w:b/>
                <w:sz w:val="22"/>
                <w:szCs w:val="22"/>
                <w:lang w:val="en-US"/>
              </w:rPr>
              <w:t>Cluster 2:</w:t>
            </w:r>
            <w:r w:rsidRPr="009C4A2D">
              <w:rPr>
                <w:sz w:val="22"/>
                <w:szCs w:val="22"/>
                <w:lang w:val="en-US"/>
              </w:rPr>
              <w:t xml:space="preserve"> Czech R., Moldova, Poland, Turkey</w:t>
            </w: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-inflation targeting (4)</w:t>
            </w:r>
          </w:p>
        </w:tc>
      </w:tr>
      <w:tr w:rsidR="005E6FFC" w:rsidRPr="009C4A2D" w:rsidTr="0040586D">
        <w:trPr>
          <w:trHeight w:val="213"/>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(0)</w:t>
            </w:r>
          </w:p>
        </w:tc>
      </w:tr>
      <w:tr w:rsidR="005E6FFC" w:rsidRPr="009C4A2D" w:rsidTr="0040586D">
        <w:trPr>
          <w:trHeight w:val="154"/>
        </w:trPr>
        <w:tc>
          <w:tcPr>
            <w:tcW w:w="434" w:type="pct"/>
            <w:vMerge w:val="restart"/>
            <w:textDirection w:val="btLr"/>
            <w:vAlign w:val="center"/>
          </w:tcPr>
          <w:p w:rsidR="005E6FFC" w:rsidRPr="009C4A2D" w:rsidRDefault="005E6FFC" w:rsidP="00BA7E52">
            <w:pPr>
              <w:ind w:left="113" w:right="113"/>
              <w:jc w:val="center"/>
              <w:rPr>
                <w:b/>
              </w:rPr>
            </w:pPr>
            <w:r w:rsidRPr="009C4A2D">
              <w:rPr>
                <w:b/>
                <w:sz w:val="22"/>
                <w:szCs w:val="22"/>
              </w:rPr>
              <w:t>2011</w:t>
            </w:r>
          </w:p>
        </w:tc>
        <w:tc>
          <w:tcPr>
            <w:tcW w:w="2861" w:type="pct"/>
            <w:vMerge w:val="restart"/>
            <w:vAlign w:val="center"/>
          </w:tcPr>
          <w:p w:rsidR="005E6FFC" w:rsidRPr="009C4A2D" w:rsidRDefault="005E6FFC" w:rsidP="00BA7E52">
            <w:pPr>
              <w:pStyle w:val="Notesoncontributors"/>
              <w:rPr>
                <w:b/>
                <w:sz w:val="22"/>
                <w:lang w:val="en-US"/>
              </w:rPr>
            </w:pPr>
            <w:r w:rsidRPr="009C4A2D">
              <w:rPr>
                <w:b/>
                <w:sz w:val="22"/>
                <w:szCs w:val="22"/>
                <w:lang w:val="en-US"/>
              </w:rPr>
              <w:t>Cluster 1:</w:t>
            </w:r>
            <w:r w:rsidRPr="009C4A2D">
              <w:rPr>
                <w:sz w:val="22"/>
                <w:szCs w:val="22"/>
                <w:lang w:val="en-US"/>
              </w:rPr>
              <w:t xml:space="preserve"> Albania, Bosnia, Bulgaria, Croatia, Estonia, Hungary, Latvia, Lithuania, Romania</w:t>
            </w: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-inflation targeting (3)</w:t>
            </w:r>
          </w:p>
        </w:tc>
      </w:tr>
      <w:tr w:rsidR="005E6FFC" w:rsidRPr="009C4A2D" w:rsidTr="0040586D">
        <w:trPr>
          <w:trHeight w:val="96"/>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(6)</w:t>
            </w:r>
          </w:p>
        </w:tc>
      </w:tr>
      <w:tr w:rsidR="005E6FFC" w:rsidRPr="009C4A2D" w:rsidTr="0040586D">
        <w:trPr>
          <w:trHeight w:val="204"/>
        </w:trPr>
        <w:tc>
          <w:tcPr>
            <w:tcW w:w="434" w:type="pct"/>
            <w:vMerge/>
            <w:vAlign w:val="center"/>
          </w:tcPr>
          <w:p w:rsidR="005E6FFC" w:rsidRPr="009C4A2D" w:rsidRDefault="005E6FFC" w:rsidP="00BA7E52">
            <w:pPr>
              <w:jc w:val="center"/>
              <w:rPr>
                <w:b/>
              </w:rPr>
            </w:pPr>
          </w:p>
        </w:tc>
        <w:tc>
          <w:tcPr>
            <w:tcW w:w="2861" w:type="pct"/>
            <w:vMerge w:val="restart"/>
            <w:vAlign w:val="center"/>
          </w:tcPr>
          <w:p w:rsidR="005E6FFC" w:rsidRPr="009C4A2D" w:rsidRDefault="005E6FFC" w:rsidP="00B01D40">
            <w:pPr>
              <w:pStyle w:val="Notesoncontributors"/>
              <w:rPr>
                <w:b/>
                <w:sz w:val="22"/>
                <w:lang w:val="en-US"/>
              </w:rPr>
            </w:pPr>
            <w:r w:rsidRPr="009C4A2D">
              <w:rPr>
                <w:b/>
                <w:sz w:val="22"/>
                <w:szCs w:val="22"/>
                <w:lang w:val="en-US"/>
              </w:rPr>
              <w:t>Cluster 2:</w:t>
            </w:r>
            <w:r w:rsidRPr="009C4A2D">
              <w:rPr>
                <w:sz w:val="22"/>
                <w:szCs w:val="22"/>
                <w:lang w:val="en-US"/>
              </w:rPr>
              <w:t xml:space="preserve"> Czech R., Macedonia, Moldova, Poland, Turkey</w:t>
            </w: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-inflation targeting (4)</w:t>
            </w:r>
          </w:p>
        </w:tc>
      </w:tr>
      <w:tr w:rsidR="005E6FFC" w:rsidRPr="009C4A2D" w:rsidTr="0040586D">
        <w:trPr>
          <w:trHeight w:val="146"/>
        </w:trPr>
        <w:tc>
          <w:tcPr>
            <w:tcW w:w="434" w:type="pct"/>
            <w:vMerge/>
            <w:vAlign w:val="center"/>
          </w:tcPr>
          <w:p w:rsidR="005E6FFC" w:rsidRPr="009C4A2D" w:rsidRDefault="005E6FFC" w:rsidP="00BA7E52">
            <w:pPr>
              <w:jc w:val="center"/>
              <w:rPr>
                <w:b/>
              </w:rPr>
            </w:pPr>
          </w:p>
        </w:tc>
        <w:tc>
          <w:tcPr>
            <w:tcW w:w="2861" w:type="pct"/>
            <w:vMerge/>
            <w:vAlign w:val="center"/>
          </w:tcPr>
          <w:p w:rsidR="005E6FFC" w:rsidRPr="009C4A2D" w:rsidRDefault="005E6FFC" w:rsidP="00BA7E52">
            <w:pPr>
              <w:pStyle w:val="Notesoncontributors"/>
              <w:rPr>
                <w:sz w:val="22"/>
                <w:lang w:val="en-US"/>
              </w:rPr>
            </w:pPr>
          </w:p>
        </w:tc>
        <w:tc>
          <w:tcPr>
            <w:tcW w:w="1705" w:type="pct"/>
            <w:vAlign w:val="center"/>
          </w:tcPr>
          <w:p w:rsidR="005E6FFC" w:rsidRPr="009C4A2D" w:rsidRDefault="005E6FFC" w:rsidP="00BA7E52">
            <w:pPr>
              <w:pStyle w:val="Notesoncontributors"/>
              <w:rPr>
                <w:sz w:val="22"/>
                <w:lang w:val="en-US"/>
              </w:rPr>
            </w:pPr>
            <w:r w:rsidRPr="009C4A2D">
              <w:rPr>
                <w:sz w:val="22"/>
                <w:szCs w:val="22"/>
                <w:lang w:val="en-US"/>
              </w:rPr>
              <w:t>-exchange rate targeting (1)</w:t>
            </w:r>
          </w:p>
        </w:tc>
      </w:tr>
    </w:tbl>
    <w:p w:rsidR="005E6FFC" w:rsidRPr="009C4A2D" w:rsidRDefault="005E6FFC" w:rsidP="00B45971">
      <w:pPr>
        <w:pStyle w:val="BodyText"/>
        <w:ind w:left="770" w:hanging="784"/>
        <w:jc w:val="left"/>
        <w:rPr>
          <w:b w:val="0"/>
          <w:sz w:val="22"/>
          <w:szCs w:val="22"/>
          <w:lang w:val="en-US"/>
        </w:rPr>
      </w:pPr>
    </w:p>
    <w:p w:rsidR="005E6FFC" w:rsidRPr="009C4A2D" w:rsidRDefault="005E6FFC" w:rsidP="00B45971">
      <w:pPr>
        <w:pStyle w:val="BodyText"/>
        <w:ind w:left="770" w:hanging="784"/>
        <w:jc w:val="left"/>
        <w:rPr>
          <w:b w:val="0"/>
          <w:sz w:val="22"/>
          <w:szCs w:val="22"/>
          <w:lang w:val="en-US"/>
        </w:rPr>
      </w:pPr>
      <w:r w:rsidRPr="009C4A2D">
        <w:rPr>
          <w:b w:val="0"/>
          <w:sz w:val="22"/>
          <w:szCs w:val="22"/>
          <w:lang w:val="en-US"/>
        </w:rPr>
        <w:t>Table 3: Countries classification using non-hierarchical k-means cluster method according to 4 selected criteria</w:t>
      </w:r>
    </w:p>
    <w:p w:rsidR="005E6FFC" w:rsidRPr="009C4A2D" w:rsidRDefault="005E6FFC" w:rsidP="0080715A">
      <w:pPr>
        <w:pStyle w:val="BodyText"/>
        <w:ind w:left="770" w:hanging="784"/>
        <w:jc w:val="left"/>
        <w:rPr>
          <w:b w:val="0"/>
          <w:lang w:val="en-US"/>
        </w:rPr>
      </w:pPr>
    </w:p>
    <w:p w:rsidR="005E6FFC" w:rsidRPr="009C4A2D" w:rsidRDefault="005E6FFC" w:rsidP="00B01D40">
      <w:pPr>
        <w:jc w:val="both"/>
      </w:pPr>
      <w:r w:rsidRPr="009C4A2D">
        <w:t>For all selected years, in cluster 1 are mainly countries with exchange rate targeting, while in cluster 2 inflation targeting countries prevail. This is in line with the expected results and previous research. In table 4 bolded p-values show that foreign currency denominated loans and two forms of central bank independence (CBTA in each year and CBGCMP in three years) contribute to difference between clusters. PLCBI proved insignificant. This means that only characteristics that really matter when intermediate target is taken into account are foreign currency denominated loans, CBTA and CBGCMP.</w:t>
      </w:r>
    </w:p>
    <w:p w:rsidR="005E6FFC" w:rsidRPr="009C4A2D" w:rsidRDefault="005E6FFC" w:rsidP="00B4597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879"/>
        <w:gridCol w:w="879"/>
        <w:gridCol w:w="879"/>
        <w:gridCol w:w="879"/>
      </w:tblGrid>
      <w:tr w:rsidR="005E6FFC" w:rsidRPr="009C4A2D" w:rsidTr="00BA7E52">
        <w:trPr>
          <w:jc w:val="center"/>
        </w:trPr>
        <w:tc>
          <w:tcPr>
            <w:tcW w:w="1083" w:type="dxa"/>
            <w:vMerge w:val="restart"/>
            <w:vAlign w:val="center"/>
          </w:tcPr>
          <w:p w:rsidR="005E6FFC" w:rsidRPr="009C4A2D" w:rsidRDefault="005E6FFC" w:rsidP="00BA7E52">
            <w:pPr>
              <w:rPr>
                <w:b/>
              </w:rPr>
            </w:pPr>
            <w:r w:rsidRPr="009C4A2D">
              <w:rPr>
                <w:b/>
                <w:sz w:val="22"/>
                <w:szCs w:val="22"/>
              </w:rPr>
              <w:t>Criteria</w:t>
            </w:r>
            <w:r w:rsidRPr="009C4A2D">
              <w:rPr>
                <w:rStyle w:val="FootnoteReference"/>
                <w:b/>
                <w:sz w:val="22"/>
                <w:szCs w:val="22"/>
              </w:rPr>
              <w:t>ii</w:t>
            </w:r>
          </w:p>
        </w:tc>
        <w:tc>
          <w:tcPr>
            <w:tcW w:w="3516" w:type="dxa"/>
            <w:gridSpan w:val="4"/>
            <w:vAlign w:val="center"/>
          </w:tcPr>
          <w:p w:rsidR="005E6FFC" w:rsidRPr="009C4A2D" w:rsidRDefault="005E6FFC" w:rsidP="00BA7E52">
            <w:pPr>
              <w:jc w:val="center"/>
            </w:pPr>
            <w:r w:rsidRPr="009C4A2D">
              <w:rPr>
                <w:sz w:val="22"/>
                <w:szCs w:val="22"/>
              </w:rPr>
              <w:t>F test</w:t>
            </w:r>
            <w:r w:rsidRPr="009C4A2D">
              <w:rPr>
                <w:rStyle w:val="FootnoteReference"/>
                <w:b/>
                <w:sz w:val="22"/>
                <w:szCs w:val="22"/>
              </w:rPr>
              <w:t>i</w:t>
            </w:r>
            <w:r w:rsidRPr="009C4A2D">
              <w:rPr>
                <w:b/>
                <w:sz w:val="22"/>
                <w:szCs w:val="22"/>
              </w:rPr>
              <w:t xml:space="preserve"> </w:t>
            </w:r>
            <w:r w:rsidRPr="009C4A2D">
              <w:rPr>
                <w:sz w:val="22"/>
                <w:szCs w:val="22"/>
              </w:rPr>
              <w:t>p-value</w:t>
            </w:r>
          </w:p>
        </w:tc>
      </w:tr>
      <w:tr w:rsidR="005E6FFC" w:rsidRPr="009C4A2D" w:rsidTr="00BA7E52">
        <w:trPr>
          <w:jc w:val="center"/>
        </w:trPr>
        <w:tc>
          <w:tcPr>
            <w:tcW w:w="1083" w:type="dxa"/>
            <w:vMerge/>
            <w:vAlign w:val="center"/>
          </w:tcPr>
          <w:p w:rsidR="005E6FFC" w:rsidRPr="009C4A2D" w:rsidRDefault="005E6FFC" w:rsidP="00BA7E52"/>
        </w:tc>
        <w:tc>
          <w:tcPr>
            <w:tcW w:w="879" w:type="dxa"/>
            <w:vAlign w:val="center"/>
          </w:tcPr>
          <w:p w:rsidR="005E6FFC" w:rsidRPr="009C4A2D" w:rsidRDefault="005E6FFC" w:rsidP="00BA7E52">
            <w:pPr>
              <w:jc w:val="center"/>
            </w:pPr>
            <w:r w:rsidRPr="009C4A2D">
              <w:rPr>
                <w:sz w:val="22"/>
                <w:szCs w:val="22"/>
              </w:rPr>
              <w:t>2005</w:t>
            </w:r>
          </w:p>
        </w:tc>
        <w:tc>
          <w:tcPr>
            <w:tcW w:w="879" w:type="dxa"/>
            <w:vAlign w:val="center"/>
          </w:tcPr>
          <w:p w:rsidR="005E6FFC" w:rsidRPr="009C4A2D" w:rsidRDefault="005E6FFC" w:rsidP="00BA7E52">
            <w:pPr>
              <w:jc w:val="center"/>
            </w:pPr>
            <w:r w:rsidRPr="009C4A2D">
              <w:rPr>
                <w:sz w:val="22"/>
                <w:szCs w:val="22"/>
              </w:rPr>
              <w:t>2007</w:t>
            </w:r>
          </w:p>
        </w:tc>
        <w:tc>
          <w:tcPr>
            <w:tcW w:w="879" w:type="dxa"/>
            <w:vAlign w:val="center"/>
          </w:tcPr>
          <w:p w:rsidR="005E6FFC" w:rsidRPr="009C4A2D" w:rsidRDefault="005E6FFC" w:rsidP="00BA7E52">
            <w:pPr>
              <w:jc w:val="center"/>
            </w:pPr>
            <w:r w:rsidRPr="009C4A2D">
              <w:rPr>
                <w:sz w:val="22"/>
                <w:szCs w:val="22"/>
              </w:rPr>
              <w:t>2009</w:t>
            </w:r>
          </w:p>
        </w:tc>
        <w:tc>
          <w:tcPr>
            <w:tcW w:w="879" w:type="dxa"/>
            <w:vAlign w:val="center"/>
          </w:tcPr>
          <w:p w:rsidR="005E6FFC" w:rsidRPr="009C4A2D" w:rsidRDefault="005E6FFC" w:rsidP="00BA7E52">
            <w:pPr>
              <w:jc w:val="center"/>
            </w:pPr>
            <w:r w:rsidRPr="009C4A2D">
              <w:rPr>
                <w:sz w:val="22"/>
                <w:szCs w:val="22"/>
              </w:rPr>
              <w:t>2011</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C4</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&lt;0.001</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C5a</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0.965</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0.777</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0.574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0.965</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C5b</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0.114</w:t>
            </w:r>
          </w:p>
        </w:tc>
        <w:tc>
          <w:tcPr>
            <w:tcW w:w="879" w:type="dxa"/>
            <w:vAlign w:val="center"/>
          </w:tcPr>
          <w:p w:rsidR="005E6FFC" w:rsidRPr="009C4A2D" w:rsidRDefault="005E6FFC" w:rsidP="00BA7E52">
            <w:pPr>
              <w:autoSpaceDE w:val="0"/>
              <w:autoSpaceDN w:val="0"/>
              <w:adjustRightInd w:val="0"/>
              <w:jc w:val="right"/>
              <w:rPr>
                <w:color w:val="000000"/>
              </w:rPr>
            </w:pPr>
            <w:r w:rsidRPr="009C4A2D">
              <w:rPr>
                <w:color w:val="000000"/>
                <w:sz w:val="22"/>
                <w:szCs w:val="22"/>
              </w:rPr>
              <w:t>0.315</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0.102</w:t>
            </w:r>
          </w:p>
        </w:tc>
        <w:tc>
          <w:tcPr>
            <w:tcW w:w="879" w:type="dxa"/>
            <w:vAlign w:val="center"/>
          </w:tcPr>
          <w:p w:rsidR="005E6FFC" w:rsidRPr="009C4A2D" w:rsidRDefault="005E6FFC" w:rsidP="00BA7E52">
            <w:pPr>
              <w:autoSpaceDE w:val="0"/>
              <w:autoSpaceDN w:val="0"/>
              <w:adjustRightInd w:val="0"/>
              <w:jc w:val="right"/>
              <w:rPr>
                <w:b/>
                <w:color w:val="000000"/>
              </w:rPr>
            </w:pPr>
            <w:r w:rsidRPr="009C4A2D">
              <w:rPr>
                <w:b/>
                <w:color w:val="000000"/>
                <w:sz w:val="22"/>
                <w:szCs w:val="22"/>
              </w:rPr>
              <w:t>0.114</w:t>
            </w:r>
          </w:p>
        </w:tc>
      </w:tr>
      <w:tr w:rsidR="005E6FFC" w:rsidRPr="009C4A2D" w:rsidTr="00BA7E52">
        <w:trPr>
          <w:jc w:val="center"/>
        </w:trPr>
        <w:tc>
          <w:tcPr>
            <w:tcW w:w="1083" w:type="dxa"/>
            <w:vAlign w:val="center"/>
          </w:tcPr>
          <w:p w:rsidR="005E6FFC" w:rsidRPr="009C4A2D" w:rsidRDefault="005E6FFC" w:rsidP="00BA7E52">
            <w:pPr>
              <w:rPr>
                <w:color w:val="000000"/>
              </w:rPr>
            </w:pPr>
            <w:r w:rsidRPr="009C4A2D">
              <w:rPr>
                <w:color w:val="000000"/>
                <w:sz w:val="22"/>
                <w:szCs w:val="22"/>
              </w:rPr>
              <w:t>C5c</w:t>
            </w:r>
          </w:p>
        </w:tc>
        <w:tc>
          <w:tcPr>
            <w:tcW w:w="879" w:type="dxa"/>
            <w:vAlign w:val="center"/>
          </w:tcPr>
          <w:p w:rsidR="005E6FFC" w:rsidRPr="009C4A2D" w:rsidRDefault="005E6FFC" w:rsidP="00BA7E52">
            <w:pPr>
              <w:autoSpaceDE w:val="0"/>
              <w:autoSpaceDN w:val="0"/>
              <w:adjustRightInd w:val="0"/>
              <w:jc w:val="right"/>
              <w:rPr>
                <w:b/>
              </w:rPr>
            </w:pPr>
            <w:r w:rsidRPr="009C4A2D">
              <w:rPr>
                <w:b/>
                <w:sz w:val="22"/>
                <w:szCs w:val="22"/>
              </w:rPr>
              <w:t>0.058</w:t>
            </w:r>
          </w:p>
        </w:tc>
        <w:tc>
          <w:tcPr>
            <w:tcW w:w="879" w:type="dxa"/>
            <w:vAlign w:val="center"/>
          </w:tcPr>
          <w:p w:rsidR="005E6FFC" w:rsidRPr="009C4A2D" w:rsidRDefault="005E6FFC" w:rsidP="00BA7E52">
            <w:pPr>
              <w:autoSpaceDE w:val="0"/>
              <w:autoSpaceDN w:val="0"/>
              <w:adjustRightInd w:val="0"/>
              <w:jc w:val="right"/>
              <w:rPr>
                <w:b/>
              </w:rPr>
            </w:pPr>
            <w:r w:rsidRPr="009C4A2D">
              <w:rPr>
                <w:b/>
                <w:sz w:val="22"/>
                <w:szCs w:val="22"/>
              </w:rPr>
              <w:t>0.014</w:t>
            </w:r>
          </w:p>
        </w:tc>
        <w:tc>
          <w:tcPr>
            <w:tcW w:w="879" w:type="dxa"/>
            <w:vAlign w:val="center"/>
          </w:tcPr>
          <w:p w:rsidR="005E6FFC" w:rsidRPr="009C4A2D" w:rsidRDefault="005E6FFC" w:rsidP="00BA7E52">
            <w:pPr>
              <w:autoSpaceDE w:val="0"/>
              <w:autoSpaceDN w:val="0"/>
              <w:adjustRightInd w:val="0"/>
              <w:jc w:val="right"/>
              <w:rPr>
                <w:b/>
              </w:rPr>
            </w:pPr>
            <w:r w:rsidRPr="009C4A2D">
              <w:rPr>
                <w:b/>
                <w:sz w:val="22"/>
                <w:szCs w:val="22"/>
              </w:rPr>
              <w:t>0.043</w:t>
            </w:r>
          </w:p>
        </w:tc>
        <w:tc>
          <w:tcPr>
            <w:tcW w:w="879" w:type="dxa"/>
            <w:vAlign w:val="center"/>
          </w:tcPr>
          <w:p w:rsidR="005E6FFC" w:rsidRPr="009C4A2D" w:rsidRDefault="005E6FFC" w:rsidP="00BA7E52">
            <w:pPr>
              <w:autoSpaceDE w:val="0"/>
              <w:autoSpaceDN w:val="0"/>
              <w:adjustRightInd w:val="0"/>
              <w:jc w:val="right"/>
              <w:rPr>
                <w:b/>
              </w:rPr>
            </w:pPr>
            <w:r w:rsidRPr="009C4A2D">
              <w:rPr>
                <w:b/>
                <w:sz w:val="22"/>
                <w:szCs w:val="22"/>
              </w:rPr>
              <w:t>0.058</w:t>
            </w:r>
          </w:p>
        </w:tc>
      </w:tr>
    </w:tbl>
    <w:p w:rsidR="005E6FFC" w:rsidRPr="009C4A2D" w:rsidRDefault="005E6FFC" w:rsidP="00B45971">
      <w:pPr>
        <w:tabs>
          <w:tab w:val="left" w:pos="900"/>
        </w:tabs>
        <w:rPr>
          <w:rFonts w:cs="Arial"/>
          <w:sz w:val="16"/>
          <w:szCs w:val="16"/>
        </w:rPr>
      </w:pPr>
      <w:r w:rsidRPr="009C4A2D">
        <w:rPr>
          <w:rStyle w:val="FootnoteReference"/>
          <w:b/>
          <w:sz w:val="22"/>
          <w:szCs w:val="22"/>
        </w:rPr>
        <w:t>i</w:t>
      </w:r>
      <w:r w:rsidRPr="009C4A2D">
        <w:rPr>
          <w:rFonts w:cs="Arial"/>
          <w:sz w:val="16"/>
          <w:szCs w:val="16"/>
        </w:rPr>
        <w:t>The F tests should be used only for descriptive purposes because the clusters have been chosen to maximize the differences among cases in different clusters. The observed significance levels are not corrected for this and thus cannot be interpreted as tests of the hypothesis that the cluster means are equal.</w:t>
      </w:r>
    </w:p>
    <w:p w:rsidR="005E6FFC" w:rsidRPr="009C4A2D" w:rsidRDefault="005E6FFC" w:rsidP="00B45971">
      <w:pPr>
        <w:jc w:val="both"/>
        <w:rPr>
          <w:i/>
          <w:sz w:val="16"/>
          <w:szCs w:val="16"/>
        </w:rPr>
      </w:pPr>
      <w:r w:rsidRPr="009C4A2D">
        <w:rPr>
          <w:rStyle w:val="FootnoteReference"/>
          <w:b/>
          <w:sz w:val="22"/>
          <w:szCs w:val="22"/>
        </w:rPr>
        <w:t>ii</w:t>
      </w:r>
      <w:r w:rsidRPr="009C4A2D">
        <w:rPr>
          <w:i/>
          <w:sz w:val="16"/>
          <w:szCs w:val="16"/>
        </w:rPr>
        <w:t>CRITERIA: C4=FC loans; C5a=PLCBI; C5b=CBGCMP; C5c=CBTA</w:t>
      </w:r>
    </w:p>
    <w:p w:rsidR="005E6FFC" w:rsidRPr="009C4A2D" w:rsidRDefault="005E6FFC" w:rsidP="00B45971">
      <w:pPr>
        <w:pStyle w:val="BodyText"/>
        <w:ind w:left="770" w:hanging="784"/>
        <w:jc w:val="left"/>
        <w:rPr>
          <w:b w:val="0"/>
          <w:sz w:val="22"/>
          <w:szCs w:val="22"/>
          <w:lang w:val="en-US"/>
        </w:rPr>
      </w:pPr>
    </w:p>
    <w:p w:rsidR="005E6FFC" w:rsidRPr="009C4A2D" w:rsidRDefault="005E6FFC" w:rsidP="00B45971">
      <w:pPr>
        <w:pStyle w:val="BodyText"/>
        <w:ind w:left="770" w:hanging="784"/>
        <w:jc w:val="left"/>
        <w:rPr>
          <w:b w:val="0"/>
          <w:sz w:val="22"/>
          <w:szCs w:val="22"/>
          <w:lang w:val="en-US"/>
        </w:rPr>
      </w:pPr>
      <w:r w:rsidRPr="009C4A2D">
        <w:rPr>
          <w:b w:val="0"/>
          <w:sz w:val="22"/>
          <w:szCs w:val="22"/>
          <w:lang w:val="en-US"/>
        </w:rPr>
        <w:t>Table 4: ANOVA test for 4 selected criteria of non-hierarchical k-means cluster method</w:t>
      </w:r>
    </w:p>
    <w:p w:rsidR="005E6FFC" w:rsidRPr="009C4A2D" w:rsidRDefault="005E6FFC" w:rsidP="00B45971">
      <w:pPr>
        <w:rPr>
          <w:sz w:val="22"/>
          <w:szCs w:val="22"/>
        </w:rPr>
      </w:pPr>
    </w:p>
    <w:p w:rsidR="005E6FFC" w:rsidRPr="009C4A2D" w:rsidRDefault="005E6FFC" w:rsidP="00EC370D">
      <w:pPr>
        <w:rPr>
          <w:b/>
          <w:sz w:val="22"/>
          <w:szCs w:val="22"/>
        </w:rPr>
      </w:pPr>
      <w:r w:rsidRPr="009C4A2D">
        <w:rPr>
          <w:b/>
        </w:rPr>
        <w:t xml:space="preserve">3.2.2. </w:t>
      </w:r>
      <w:r w:rsidRPr="009C4A2D">
        <w:rPr>
          <w:b/>
        </w:rPr>
        <w:tab/>
        <w:t xml:space="preserve">Multicriteria method - </w:t>
      </w:r>
      <w:r w:rsidRPr="009C4A2D">
        <w:rPr>
          <w:b/>
          <w:sz w:val="22"/>
          <w:szCs w:val="22"/>
        </w:rPr>
        <w:t>PROMETHEE method</w:t>
      </w:r>
    </w:p>
    <w:p w:rsidR="005E6FFC" w:rsidRPr="009C4A2D" w:rsidRDefault="005E6FFC" w:rsidP="00B45971">
      <w:pPr>
        <w:jc w:val="both"/>
      </w:pPr>
    </w:p>
    <w:p w:rsidR="005E6FFC" w:rsidRPr="009C4A2D" w:rsidRDefault="005E6FFC" w:rsidP="00B45971">
      <w:pPr>
        <w:pStyle w:val="Firstparagraphstyle"/>
        <w:spacing w:line="240" w:lineRule="auto"/>
        <w:jc w:val="both"/>
        <w:rPr>
          <w:lang w:val="en-US"/>
        </w:rPr>
      </w:pPr>
      <w:r w:rsidRPr="009C4A2D">
        <w:rPr>
          <w:lang w:val="en-US"/>
        </w:rPr>
        <w:t>The PROMETHEE method is appropriate to treat the multicriteria problem of the following type:</w:t>
      </w:r>
    </w:p>
    <w:p w:rsidR="005E6FFC" w:rsidRPr="009C4A2D" w:rsidRDefault="005E6FFC" w:rsidP="00402EE5">
      <w:pPr>
        <w:pStyle w:val="Equations"/>
        <w:jc w:val="right"/>
        <w:rPr>
          <w:lang w:val="en-US"/>
        </w:rPr>
      </w:pPr>
      <w:r w:rsidRPr="009C4A2D">
        <w:rPr>
          <w:lang w:val="en-US"/>
        </w:rPr>
        <w:tab/>
      </w:r>
      <w:r w:rsidRPr="009C4A2D">
        <w:rPr>
          <w:lang w:val="en-US"/>
        </w:rPr>
        <w:tab/>
      </w:r>
      <w:r w:rsidRPr="009C4A2D">
        <w:rPr>
          <w:position w:val="-14"/>
          <w:lang w:val="en-US"/>
        </w:rPr>
        <w:object w:dxaOrig="2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0.25pt" o:ole="">
            <v:imagedata r:id="rId10" o:title=""/>
          </v:shape>
          <o:OLEObject Type="Embed" ProgID="Equation.3" ShapeID="_x0000_i1025" DrawAspect="Content" ObjectID="_1479043661" r:id="rId11"/>
        </w:object>
      </w:r>
      <w:r w:rsidRPr="009C4A2D">
        <w:rPr>
          <w:lang w:val="en-US"/>
        </w:rPr>
        <w:t>,</w:t>
      </w:r>
      <w:r w:rsidRPr="009C4A2D">
        <w:rPr>
          <w:lang w:val="en-US"/>
        </w:rPr>
        <w:tab/>
      </w:r>
      <w:r w:rsidRPr="009C4A2D">
        <w:rPr>
          <w:lang w:val="en-US"/>
        </w:rPr>
        <w:tab/>
      </w:r>
      <w:r w:rsidRPr="009C4A2D">
        <w:rPr>
          <w:lang w:val="en-US"/>
        </w:rPr>
        <w:tab/>
      </w:r>
      <w:r w:rsidRPr="009C4A2D">
        <w:rPr>
          <w:lang w:val="en-US"/>
        </w:rPr>
        <w:tab/>
      </w:r>
      <w:r w:rsidRPr="009C4A2D">
        <w:rPr>
          <w:lang w:val="en-US"/>
        </w:rPr>
        <w:tab/>
        <w:t>(1)</w:t>
      </w:r>
    </w:p>
    <w:p w:rsidR="005E6FFC" w:rsidRPr="009C4A2D" w:rsidRDefault="005E6FFC" w:rsidP="00B45971">
      <w:pPr>
        <w:pStyle w:val="Firstparagraphstyle"/>
        <w:spacing w:line="240" w:lineRule="auto"/>
        <w:jc w:val="both"/>
        <w:rPr>
          <w:lang w:val="en-US"/>
        </w:rPr>
      </w:pPr>
      <w:r w:rsidRPr="009C4A2D">
        <w:rPr>
          <w:lang w:val="en-US"/>
        </w:rPr>
        <w:t xml:space="preserve">where </w:t>
      </w:r>
      <w:r w:rsidRPr="009C4A2D">
        <w:rPr>
          <w:i/>
          <w:lang w:val="en-US"/>
        </w:rPr>
        <w:t>K</w:t>
      </w:r>
      <w:r w:rsidRPr="009C4A2D">
        <w:rPr>
          <w:lang w:val="en-US"/>
        </w:rPr>
        <w:t xml:space="preserve"> is a finite set of possible actions (here countries), and </w:t>
      </w:r>
      <w:r w:rsidRPr="009C4A2D">
        <w:rPr>
          <w:position w:val="-14"/>
          <w:lang w:val="en-US"/>
        </w:rPr>
        <w:object w:dxaOrig="620" w:dyaOrig="380">
          <v:shape id="_x0000_i1026" type="#_x0000_t75" style="width:30.75pt;height:18.75pt" o:ole="">
            <v:imagedata r:id="rId12" o:title=""/>
          </v:shape>
          <o:OLEObject Type="Embed" ProgID="Equation.3" ShapeID="_x0000_i1026" DrawAspect="Content" ObjectID="_1479043662" r:id="rId13"/>
        </w:object>
      </w:r>
      <w:r w:rsidRPr="009C4A2D">
        <w:rPr>
          <w:lang w:val="en-US"/>
        </w:rPr>
        <w:t>, where</w:t>
      </w:r>
      <w:r w:rsidRPr="009C4A2D">
        <w:rPr>
          <w:position w:val="-10"/>
          <w:lang w:val="en-US"/>
        </w:rPr>
        <w:object w:dxaOrig="999" w:dyaOrig="320">
          <v:shape id="_x0000_i1027" type="#_x0000_t75" style="width:49.5pt;height:15.75pt" o:ole="">
            <v:imagedata r:id="rId14" o:title=""/>
          </v:shape>
          <o:OLEObject Type="Embed" ProgID="Equation.3" ShapeID="_x0000_i1027" DrawAspect="Content" ObjectID="_1479043663" r:id="rId15"/>
        </w:object>
      </w:r>
      <w:r w:rsidRPr="009C4A2D">
        <w:rPr>
          <w:lang w:val="en-US"/>
        </w:rPr>
        <w:t xml:space="preserve"> are </w:t>
      </w:r>
      <w:r w:rsidRPr="009C4A2D">
        <w:rPr>
          <w:i/>
          <w:lang w:val="en-US"/>
        </w:rPr>
        <w:t>n</w:t>
      </w:r>
      <w:r w:rsidRPr="009C4A2D">
        <w:rPr>
          <w:lang w:val="en-US"/>
        </w:rPr>
        <w:t xml:space="preserve"> criteria to be maximized. For each action, </w:t>
      </w:r>
      <w:r w:rsidRPr="009C4A2D">
        <w:rPr>
          <w:position w:val="-14"/>
          <w:lang w:val="en-US"/>
        </w:rPr>
        <w:object w:dxaOrig="620" w:dyaOrig="380">
          <v:shape id="_x0000_i1028" type="#_x0000_t75" style="width:30.75pt;height:18.75pt" o:ole="">
            <v:imagedata r:id="rId12" o:title=""/>
          </v:shape>
          <o:OLEObject Type="Embed" ProgID="Equation.3" ShapeID="_x0000_i1028" DrawAspect="Content" ObjectID="_1479043664" r:id="rId16"/>
        </w:object>
      </w:r>
      <w:r w:rsidRPr="009C4A2D">
        <w:rPr>
          <w:lang w:val="en-US"/>
        </w:rPr>
        <w:t xml:space="preserve"> is an evaluation of this action. When we compare two actions,</w:t>
      </w:r>
      <w:r w:rsidRPr="009C4A2D">
        <w:rPr>
          <w:position w:val="-10"/>
          <w:lang w:val="en-US"/>
        </w:rPr>
        <w:object w:dxaOrig="820" w:dyaOrig="320">
          <v:shape id="_x0000_i1029" type="#_x0000_t75" style="width:41.25pt;height:15.75pt" o:ole="">
            <v:imagedata r:id="rId17" o:title=""/>
          </v:shape>
          <o:OLEObject Type="Embed" ProgID="Equation.3" ShapeID="_x0000_i1029" DrawAspect="Content" ObjectID="_1479043665" r:id="rId18"/>
        </w:object>
      </w:r>
      <w:r w:rsidRPr="009C4A2D">
        <w:rPr>
          <w:lang w:val="en-US"/>
        </w:rPr>
        <w:t xml:space="preserve">, we must be able to express the result of this comparison in terms of preference. We, therefore, consider a preference function </w:t>
      </w:r>
      <w:r w:rsidRPr="009C4A2D">
        <w:rPr>
          <w:i/>
          <w:lang w:val="en-US"/>
        </w:rPr>
        <w:t>P</w:t>
      </w:r>
      <w:r w:rsidRPr="009C4A2D">
        <w:rPr>
          <w:lang w:val="en-US"/>
        </w:rPr>
        <w:t>:</w:t>
      </w:r>
    </w:p>
    <w:p w:rsidR="005E6FFC" w:rsidRPr="009C4A2D" w:rsidRDefault="005E6FFC" w:rsidP="00402EE5">
      <w:pPr>
        <w:pStyle w:val="Equations"/>
        <w:jc w:val="right"/>
        <w:rPr>
          <w:lang w:val="en-US"/>
        </w:rPr>
      </w:pPr>
      <w:r w:rsidRPr="009C4A2D">
        <w:rPr>
          <w:lang w:val="en-US"/>
        </w:rPr>
        <w:tab/>
      </w:r>
      <w:r w:rsidRPr="009C4A2D">
        <w:rPr>
          <w:lang w:val="en-US"/>
        </w:rPr>
        <w:tab/>
      </w:r>
      <w:r w:rsidRPr="009C4A2D">
        <w:rPr>
          <w:position w:val="-10"/>
          <w:lang w:val="en-US"/>
        </w:rPr>
        <w:object w:dxaOrig="1719" w:dyaOrig="340">
          <v:shape id="_x0000_i1030" type="#_x0000_t75" style="width:86.25pt;height:17.25pt" o:ole="">
            <v:imagedata r:id="rId19" o:title=""/>
          </v:shape>
          <o:OLEObject Type="Embed" ProgID="Equation.3" ShapeID="_x0000_i1030" DrawAspect="Content" ObjectID="_1479043666" r:id="rId20"/>
        </w:object>
      </w:r>
      <w:r w:rsidRPr="009C4A2D">
        <w:rPr>
          <w:lang w:val="en-US"/>
        </w:rPr>
        <w:t>,</w:t>
      </w:r>
      <w:r w:rsidRPr="009C4A2D">
        <w:rPr>
          <w:lang w:val="en-US"/>
        </w:rPr>
        <w:tab/>
        <w:t xml:space="preserve"> </w:t>
      </w:r>
      <w:r w:rsidRPr="009C4A2D">
        <w:rPr>
          <w:lang w:val="en-US"/>
        </w:rPr>
        <w:tab/>
      </w:r>
      <w:r w:rsidRPr="009C4A2D">
        <w:rPr>
          <w:lang w:val="en-US"/>
        </w:rPr>
        <w:tab/>
      </w:r>
      <w:r w:rsidRPr="009C4A2D">
        <w:rPr>
          <w:lang w:val="en-US"/>
        </w:rPr>
        <w:tab/>
      </w:r>
      <w:r w:rsidRPr="009C4A2D">
        <w:rPr>
          <w:lang w:val="en-US"/>
        </w:rPr>
        <w:tab/>
      </w:r>
      <w:r w:rsidRPr="009C4A2D">
        <w:rPr>
          <w:lang w:val="en-US"/>
        </w:rPr>
        <w:tab/>
        <w:t>(2)</w:t>
      </w:r>
    </w:p>
    <w:p w:rsidR="005E6FFC" w:rsidRPr="009C4A2D" w:rsidRDefault="005E6FFC" w:rsidP="00E04B21">
      <w:pPr>
        <w:pStyle w:val="Firstparagraphstyle"/>
        <w:spacing w:line="240" w:lineRule="auto"/>
        <w:jc w:val="both"/>
        <w:rPr>
          <w:lang w:val="en-US"/>
        </w:rPr>
      </w:pPr>
      <w:r w:rsidRPr="009C4A2D">
        <w:rPr>
          <w:lang w:val="en-US"/>
        </w:rPr>
        <w:t xml:space="preserve">representing the intensity of action </w:t>
      </w:r>
      <w:r w:rsidRPr="009C4A2D">
        <w:rPr>
          <w:i/>
          <w:lang w:val="en-US"/>
        </w:rPr>
        <w:t>a</w:t>
      </w:r>
      <w:r w:rsidRPr="009C4A2D">
        <w:rPr>
          <w:lang w:val="en-US"/>
        </w:rPr>
        <w:t xml:space="preserve"> with regard to action </w:t>
      </w:r>
      <w:r w:rsidRPr="009C4A2D">
        <w:rPr>
          <w:i/>
          <w:lang w:val="en-US"/>
        </w:rPr>
        <w:t>b</w:t>
      </w:r>
      <w:r w:rsidRPr="009C4A2D">
        <w:rPr>
          <w:lang w:val="en-US"/>
        </w:rPr>
        <w:t xml:space="preserve">. In practice, this preference function will be a function of the difference between the two evaluations </w:t>
      </w:r>
      <w:r w:rsidRPr="009C4A2D">
        <w:rPr>
          <w:position w:val="-10"/>
          <w:lang w:val="en-US"/>
        </w:rPr>
        <w:object w:dxaOrig="1620" w:dyaOrig="320">
          <v:shape id="_x0000_i1031" type="#_x0000_t75" style="width:81pt;height:15.75pt" o:ole="">
            <v:imagedata r:id="rId21" o:title=""/>
          </v:shape>
          <o:OLEObject Type="Embed" ProgID="Equation.3" ShapeID="_x0000_i1031" DrawAspect="Content" ObjectID="_1479043667" r:id="rId22"/>
        </w:object>
      </w:r>
      <w:r w:rsidRPr="009C4A2D">
        <w:rPr>
          <w:lang w:val="en-US"/>
        </w:rPr>
        <w:t xml:space="preserve">, and it is monotonically increasing. Six possible types (usual (1), U-shape (2), V-shape (3), level (4), linear (5) and Gaussian (6)) of this preference function are proposed to the decision maker [5], [6]. The effective choice is made interactively by the decision maker and the analyst according to their feeling of the intensities of preference. For all functions (1)-(5), zero, one, or two parameters have to be fixed: </w:t>
      </w:r>
      <w:r w:rsidRPr="009C4A2D">
        <w:rPr>
          <w:i/>
          <w:lang w:val="en-US"/>
        </w:rPr>
        <w:t>q</w:t>
      </w:r>
      <w:r w:rsidRPr="009C4A2D">
        <w:rPr>
          <w:lang w:val="en-US"/>
        </w:rPr>
        <w:t xml:space="preserve"> is a threshold defining an indifference area, </w:t>
      </w:r>
      <w:r w:rsidRPr="009C4A2D">
        <w:rPr>
          <w:i/>
          <w:lang w:val="en-US"/>
        </w:rPr>
        <w:t>p</w:t>
      </w:r>
      <w:r w:rsidRPr="009C4A2D">
        <w:rPr>
          <w:lang w:val="en-US"/>
        </w:rPr>
        <w:t xml:space="preserve"> is a threshold defining a strict preference area. For Gaussian function (6), </w:t>
      </w:r>
      <w:r w:rsidRPr="009C4A2D">
        <w:rPr>
          <w:i/>
          <w:lang w:val="en-US"/>
        </w:rPr>
        <w:t>s</w:t>
      </w:r>
      <w:r w:rsidRPr="009C4A2D">
        <w:rPr>
          <w:lang w:val="en-US"/>
        </w:rPr>
        <w:t xml:space="preserve"> is a parameter the value of which lies in a weak preference area (between minimum and maximum) [5], [6].</w:t>
      </w:r>
    </w:p>
    <w:p w:rsidR="005E6FFC" w:rsidRPr="009C4A2D" w:rsidRDefault="005E6FFC" w:rsidP="00B45971">
      <w:pPr>
        <w:pStyle w:val="Follow-onparagraphstyle"/>
        <w:spacing w:line="240" w:lineRule="auto"/>
        <w:ind w:firstLine="0"/>
        <w:jc w:val="both"/>
        <w:rPr>
          <w:lang w:val="en-US"/>
        </w:rPr>
      </w:pPr>
      <w:r w:rsidRPr="009C4A2D">
        <w:rPr>
          <w:lang w:val="en-US"/>
        </w:rPr>
        <w:t>Now, we can define a preference index:</w:t>
      </w:r>
    </w:p>
    <w:p w:rsidR="005E6FFC" w:rsidRPr="009C4A2D" w:rsidRDefault="005E6FFC" w:rsidP="00402EE5">
      <w:pPr>
        <w:pStyle w:val="Equations"/>
        <w:jc w:val="right"/>
        <w:rPr>
          <w:lang w:val="en-US"/>
        </w:rPr>
      </w:pPr>
      <w:r w:rsidRPr="009C4A2D">
        <w:rPr>
          <w:lang w:val="en-US"/>
        </w:rPr>
        <w:tab/>
      </w:r>
      <w:r w:rsidRPr="009C4A2D">
        <w:rPr>
          <w:lang w:val="en-US"/>
        </w:rPr>
        <w:tab/>
      </w:r>
      <w:r w:rsidRPr="009C4A2D">
        <w:rPr>
          <w:position w:val="-64"/>
          <w:lang w:val="en-US"/>
        </w:rPr>
        <w:object w:dxaOrig="2340" w:dyaOrig="1400">
          <v:shape id="_x0000_i1032" type="#_x0000_t75" style="width:117pt;height:68.25pt" o:ole="">
            <v:imagedata r:id="rId23" o:title=""/>
          </v:shape>
          <o:OLEObject Type="Embed" ProgID="Equation.3" ShapeID="_x0000_i1032" DrawAspect="Content" ObjectID="_1479043668" r:id="rId24"/>
        </w:object>
      </w:r>
      <w:r w:rsidRPr="009C4A2D">
        <w:rPr>
          <w:lang w:val="en-US"/>
        </w:rPr>
        <w:t>,</w:t>
      </w:r>
      <w:r w:rsidRPr="009C4A2D">
        <w:rPr>
          <w:lang w:val="en-US"/>
        </w:rPr>
        <w:tab/>
      </w:r>
      <w:r w:rsidRPr="009C4A2D">
        <w:rPr>
          <w:lang w:val="en-US"/>
        </w:rPr>
        <w:tab/>
      </w:r>
      <w:r w:rsidRPr="009C4A2D">
        <w:rPr>
          <w:lang w:val="en-US"/>
        </w:rPr>
        <w:tab/>
      </w:r>
      <w:r w:rsidRPr="009C4A2D">
        <w:rPr>
          <w:lang w:val="en-US"/>
        </w:rPr>
        <w:tab/>
      </w:r>
      <w:r w:rsidRPr="009C4A2D">
        <w:rPr>
          <w:lang w:val="en-US"/>
        </w:rPr>
        <w:tab/>
        <w:t>(3)</w:t>
      </w:r>
    </w:p>
    <w:p w:rsidR="005E6FFC" w:rsidRPr="009C4A2D" w:rsidRDefault="005E6FFC" w:rsidP="00B45971">
      <w:pPr>
        <w:pStyle w:val="Firstparagraphstyle"/>
        <w:spacing w:line="240" w:lineRule="auto"/>
        <w:jc w:val="both"/>
        <w:rPr>
          <w:lang w:val="en-US"/>
        </w:rPr>
      </w:pPr>
      <w:r w:rsidRPr="009C4A2D">
        <w:rPr>
          <w:lang w:val="en-US"/>
        </w:rPr>
        <w:t xml:space="preserve">where </w:t>
      </w:r>
      <w:r w:rsidRPr="009C4A2D">
        <w:rPr>
          <w:position w:val="-14"/>
          <w:lang w:val="en-US"/>
        </w:rPr>
        <w:object w:dxaOrig="320" w:dyaOrig="380">
          <v:shape id="_x0000_i1033" type="#_x0000_t75" style="width:15.75pt;height:18.75pt" o:ole="">
            <v:imagedata r:id="rId25" o:title=""/>
          </v:shape>
          <o:OLEObject Type="Embed" ProgID="Equation.3" ShapeID="_x0000_i1033" DrawAspect="Content" ObjectID="_1479043669" r:id="rId26"/>
        </w:object>
      </w:r>
      <w:r w:rsidRPr="009C4A2D">
        <w:rPr>
          <w:lang w:val="en-US"/>
        </w:rPr>
        <w:t xml:space="preserve"> are weights associated with each criteria. </w:t>
      </w:r>
    </w:p>
    <w:p w:rsidR="005E6FFC" w:rsidRPr="009C4A2D" w:rsidRDefault="005E6FFC" w:rsidP="00B45971">
      <w:pPr>
        <w:pStyle w:val="Follow-onparagraphstyle"/>
        <w:spacing w:line="240" w:lineRule="auto"/>
        <w:ind w:firstLine="0"/>
        <w:jc w:val="both"/>
        <w:rPr>
          <w:lang w:val="en-US"/>
        </w:rPr>
      </w:pPr>
      <w:r w:rsidRPr="009C4A2D">
        <w:rPr>
          <w:lang w:val="en-US"/>
        </w:rPr>
        <w:t xml:space="preserve">Finally, for every </w:t>
      </w:r>
      <w:r w:rsidRPr="009C4A2D">
        <w:rPr>
          <w:position w:val="-6"/>
          <w:lang w:val="en-US"/>
        </w:rPr>
        <w:object w:dxaOrig="620" w:dyaOrig="279">
          <v:shape id="_x0000_i1034" type="#_x0000_t75" style="width:30.75pt;height:14.25pt" o:ole="">
            <v:imagedata r:id="rId27" o:title=""/>
          </v:shape>
          <o:OLEObject Type="Embed" ProgID="Equation.3" ShapeID="_x0000_i1034" DrawAspect="Content" ObjectID="_1479043670" r:id="rId28"/>
        </w:object>
      </w:r>
      <w:r w:rsidRPr="009C4A2D">
        <w:rPr>
          <w:lang w:val="en-US"/>
        </w:rPr>
        <w:t>, let us consider the two following outranking flows:</w:t>
      </w:r>
    </w:p>
    <w:p w:rsidR="005E6FFC" w:rsidRPr="009C4A2D" w:rsidRDefault="005E6FFC" w:rsidP="00B45971">
      <w:pPr>
        <w:pStyle w:val="Bulletedlists"/>
        <w:jc w:val="both"/>
        <w:rPr>
          <w:lang w:val="en-US"/>
        </w:rPr>
      </w:pPr>
      <w:r w:rsidRPr="009C4A2D">
        <w:rPr>
          <w:lang w:val="en-US"/>
        </w:rPr>
        <w:t>leaving flow:</w:t>
      </w:r>
    </w:p>
    <w:p w:rsidR="005E6FFC" w:rsidRPr="009C4A2D" w:rsidRDefault="005E6FFC" w:rsidP="00402EE5">
      <w:pPr>
        <w:pStyle w:val="Equations"/>
        <w:jc w:val="right"/>
        <w:rPr>
          <w:lang w:val="en-US"/>
        </w:rPr>
      </w:pPr>
      <w:r w:rsidRPr="009C4A2D">
        <w:rPr>
          <w:lang w:val="en-US"/>
        </w:rPr>
        <w:tab/>
      </w:r>
      <w:r w:rsidRPr="009C4A2D">
        <w:rPr>
          <w:lang w:val="en-US"/>
        </w:rPr>
        <w:tab/>
      </w:r>
      <w:r w:rsidRPr="009C4A2D">
        <w:rPr>
          <w:position w:val="-28"/>
          <w:lang w:val="en-US"/>
        </w:rPr>
        <w:object w:dxaOrig="1880" w:dyaOrig="540">
          <v:shape id="_x0000_i1035" type="#_x0000_t75" style="width:92.25pt;height:27pt" o:ole="">
            <v:imagedata r:id="rId29" o:title=""/>
          </v:shape>
          <o:OLEObject Type="Embed" ProgID="Equation.3" ShapeID="_x0000_i1035" DrawAspect="Content" ObjectID="_1479043671" r:id="rId30"/>
        </w:object>
      </w:r>
      <w:r w:rsidRPr="009C4A2D">
        <w:rPr>
          <w:lang w:val="en-US"/>
        </w:rPr>
        <w:t>,</w:t>
      </w:r>
      <w:r w:rsidRPr="009C4A2D">
        <w:rPr>
          <w:lang w:val="en-US"/>
        </w:rPr>
        <w:tab/>
      </w:r>
      <w:r w:rsidRPr="009C4A2D">
        <w:rPr>
          <w:lang w:val="en-US"/>
        </w:rPr>
        <w:tab/>
      </w:r>
      <w:r w:rsidRPr="009C4A2D">
        <w:rPr>
          <w:lang w:val="en-US"/>
        </w:rPr>
        <w:tab/>
      </w:r>
      <w:r w:rsidRPr="009C4A2D">
        <w:rPr>
          <w:lang w:val="en-US"/>
        </w:rPr>
        <w:tab/>
      </w:r>
      <w:r w:rsidRPr="009C4A2D">
        <w:rPr>
          <w:lang w:val="en-US"/>
        </w:rPr>
        <w:tab/>
      </w:r>
      <w:r w:rsidRPr="009C4A2D">
        <w:rPr>
          <w:lang w:val="en-US"/>
        </w:rPr>
        <w:tab/>
        <w:t>(4)</w:t>
      </w:r>
    </w:p>
    <w:p w:rsidR="005E6FFC" w:rsidRPr="009C4A2D" w:rsidRDefault="005E6FFC" w:rsidP="00B45971">
      <w:pPr>
        <w:pStyle w:val="Bulletedlists"/>
        <w:jc w:val="both"/>
        <w:rPr>
          <w:lang w:val="en-US"/>
        </w:rPr>
      </w:pPr>
      <w:r w:rsidRPr="009C4A2D">
        <w:rPr>
          <w:lang w:val="en-US"/>
        </w:rPr>
        <w:t>entering flow:</w:t>
      </w:r>
    </w:p>
    <w:p w:rsidR="005E6FFC" w:rsidRPr="009C4A2D" w:rsidRDefault="005E6FFC" w:rsidP="00402EE5">
      <w:pPr>
        <w:pStyle w:val="Equations"/>
        <w:jc w:val="right"/>
        <w:rPr>
          <w:lang w:val="en-US"/>
        </w:rPr>
      </w:pPr>
      <w:r w:rsidRPr="009C4A2D">
        <w:rPr>
          <w:lang w:val="en-US"/>
        </w:rPr>
        <w:t xml:space="preserve">                      </w:t>
      </w:r>
      <w:r w:rsidRPr="009C4A2D">
        <w:rPr>
          <w:lang w:val="en-US"/>
        </w:rPr>
        <w:tab/>
      </w:r>
      <w:r w:rsidRPr="009C4A2D">
        <w:rPr>
          <w:position w:val="-28"/>
          <w:lang w:val="en-US"/>
        </w:rPr>
        <w:object w:dxaOrig="1860" w:dyaOrig="540">
          <v:shape id="_x0000_i1036" type="#_x0000_t75" style="width:93pt;height:27pt" o:ole="">
            <v:imagedata r:id="rId31" o:title=""/>
          </v:shape>
          <o:OLEObject Type="Embed" ProgID="Equation.3" ShapeID="_x0000_i1036" DrawAspect="Content" ObjectID="_1479043672" r:id="rId32"/>
        </w:object>
      </w:r>
      <w:r w:rsidRPr="009C4A2D">
        <w:rPr>
          <w:lang w:val="en-US"/>
        </w:rPr>
        <w:t xml:space="preserve">. </w:t>
      </w:r>
      <w:r w:rsidRPr="009C4A2D">
        <w:rPr>
          <w:lang w:val="en-US"/>
        </w:rPr>
        <w:tab/>
      </w:r>
      <w:r w:rsidRPr="009C4A2D">
        <w:rPr>
          <w:lang w:val="en-US"/>
        </w:rPr>
        <w:tab/>
      </w:r>
      <w:r w:rsidRPr="009C4A2D">
        <w:rPr>
          <w:lang w:val="en-US"/>
        </w:rPr>
        <w:tab/>
      </w:r>
      <w:r w:rsidRPr="009C4A2D">
        <w:rPr>
          <w:lang w:val="en-US"/>
        </w:rPr>
        <w:tab/>
      </w:r>
      <w:r w:rsidRPr="009C4A2D">
        <w:rPr>
          <w:lang w:val="en-US"/>
        </w:rPr>
        <w:tab/>
      </w:r>
      <w:r w:rsidRPr="009C4A2D">
        <w:rPr>
          <w:lang w:val="en-US"/>
        </w:rPr>
        <w:tab/>
        <w:t>(5)</w:t>
      </w:r>
    </w:p>
    <w:p w:rsidR="005E6FFC" w:rsidRPr="009C4A2D" w:rsidRDefault="005E6FFC" w:rsidP="00B45971">
      <w:pPr>
        <w:pStyle w:val="Follow-onparagraphstyle"/>
        <w:spacing w:line="240" w:lineRule="auto"/>
        <w:ind w:firstLine="0"/>
        <w:jc w:val="both"/>
        <w:rPr>
          <w:lang w:val="en-US"/>
        </w:rPr>
      </w:pPr>
      <w:r w:rsidRPr="009C4A2D">
        <w:rPr>
          <w:lang w:val="en-US"/>
        </w:rPr>
        <w:t xml:space="preserve">The leaving flow </w:t>
      </w:r>
      <w:r w:rsidRPr="009C4A2D">
        <w:rPr>
          <w:position w:val="-10"/>
          <w:lang w:val="en-US"/>
        </w:rPr>
        <w:object w:dxaOrig="300" w:dyaOrig="360">
          <v:shape id="_x0000_i1037" type="#_x0000_t75" style="width:15pt;height:18pt" o:ole="">
            <v:imagedata r:id="rId33" o:title=""/>
          </v:shape>
          <o:OLEObject Type="Embed" ProgID="Equation.3" ShapeID="_x0000_i1037" DrawAspect="Content" ObjectID="_1479043673" r:id="rId34"/>
        </w:object>
      </w:r>
      <w:r w:rsidRPr="009C4A2D">
        <w:rPr>
          <w:lang w:val="en-US"/>
        </w:rPr>
        <w:t xml:space="preserve"> is the measure of the outranking character of </w:t>
      </w:r>
      <w:r w:rsidRPr="009C4A2D">
        <w:rPr>
          <w:i/>
          <w:lang w:val="en-US"/>
        </w:rPr>
        <w:t>a</w:t>
      </w:r>
      <w:r w:rsidRPr="009C4A2D">
        <w:rPr>
          <w:lang w:val="en-US"/>
        </w:rPr>
        <w:t xml:space="preserve"> (indicates how </w:t>
      </w:r>
      <w:r w:rsidRPr="009C4A2D">
        <w:rPr>
          <w:i/>
          <w:lang w:val="en-US"/>
        </w:rPr>
        <w:t>a</w:t>
      </w:r>
      <w:r w:rsidRPr="009C4A2D">
        <w:rPr>
          <w:lang w:val="en-US"/>
        </w:rPr>
        <w:t xml:space="preserve"> dominates all other actions of </w:t>
      </w:r>
      <w:r w:rsidRPr="009C4A2D">
        <w:rPr>
          <w:i/>
          <w:lang w:val="en-US"/>
        </w:rPr>
        <w:t>K</w:t>
      </w:r>
      <w:r w:rsidRPr="009C4A2D">
        <w:rPr>
          <w:lang w:val="en-US"/>
        </w:rPr>
        <w:t xml:space="preserve">). Symmetrically, the entering flow </w:t>
      </w:r>
      <w:r w:rsidRPr="009C4A2D">
        <w:rPr>
          <w:position w:val="-10"/>
          <w:lang w:val="en-US"/>
        </w:rPr>
        <w:object w:dxaOrig="300" w:dyaOrig="360">
          <v:shape id="_x0000_i1038" type="#_x0000_t75" style="width:15pt;height:18pt" o:ole="">
            <v:imagedata r:id="rId35" o:title=""/>
          </v:shape>
          <o:OLEObject Type="Embed" ProgID="Equation.3" ShapeID="_x0000_i1038" DrawAspect="Content" ObjectID="_1479043674" r:id="rId36"/>
        </w:object>
      </w:r>
      <w:r w:rsidRPr="009C4A2D">
        <w:rPr>
          <w:lang w:val="en-US"/>
        </w:rPr>
        <w:t xml:space="preserve"> gives the outranked character of </w:t>
      </w:r>
      <w:r w:rsidRPr="009C4A2D">
        <w:rPr>
          <w:i/>
          <w:lang w:val="en-US"/>
        </w:rPr>
        <w:t>a</w:t>
      </w:r>
      <w:r w:rsidRPr="009C4A2D">
        <w:rPr>
          <w:lang w:val="en-US"/>
        </w:rPr>
        <w:t xml:space="preserve"> (indicates how </w:t>
      </w:r>
      <w:r w:rsidRPr="009C4A2D">
        <w:rPr>
          <w:i/>
          <w:lang w:val="en-US"/>
        </w:rPr>
        <w:t>a</w:t>
      </w:r>
      <w:r w:rsidRPr="009C4A2D">
        <w:rPr>
          <w:lang w:val="en-US"/>
        </w:rPr>
        <w:t xml:space="preserve"> is dominated by all other actions). The action is better if the leaving flow is higher, and the entering flow lower. The PROMETHEE I gives a partial reordering of the set of actions in which some actions are comparable, while some others are not. When the decision maker requests the complete ranking, the net outranking flow may be considered:</w:t>
      </w:r>
    </w:p>
    <w:p w:rsidR="005E6FFC" w:rsidRPr="009C4A2D" w:rsidRDefault="005E6FFC" w:rsidP="00402EE5">
      <w:pPr>
        <w:pStyle w:val="Equations"/>
        <w:jc w:val="right"/>
        <w:rPr>
          <w:lang w:val="en-US"/>
        </w:rPr>
      </w:pPr>
      <w:r w:rsidRPr="009C4A2D">
        <w:rPr>
          <w:lang w:val="en-US"/>
        </w:rPr>
        <w:tab/>
      </w:r>
      <w:r w:rsidRPr="009C4A2D">
        <w:rPr>
          <w:lang w:val="en-US"/>
        </w:rPr>
        <w:tab/>
      </w:r>
      <w:r w:rsidRPr="009C4A2D">
        <w:rPr>
          <w:position w:val="-10"/>
          <w:lang w:val="en-US"/>
        </w:rPr>
        <w:object w:dxaOrig="2079" w:dyaOrig="360">
          <v:shape id="_x0000_i1039" type="#_x0000_t75" style="width:104.25pt;height:18pt" o:ole="">
            <v:imagedata r:id="rId37" o:title=""/>
          </v:shape>
          <o:OLEObject Type="Embed" ProgID="Equation.3" ShapeID="_x0000_i1039" DrawAspect="Content" ObjectID="_1479043675" r:id="rId38"/>
        </w:object>
      </w:r>
      <w:r w:rsidRPr="009C4A2D">
        <w:rPr>
          <w:lang w:val="en-US"/>
        </w:rPr>
        <w:tab/>
      </w:r>
      <w:r w:rsidRPr="009C4A2D">
        <w:rPr>
          <w:lang w:val="en-US"/>
        </w:rPr>
        <w:tab/>
      </w:r>
      <w:r w:rsidRPr="009C4A2D">
        <w:rPr>
          <w:lang w:val="en-US"/>
        </w:rPr>
        <w:tab/>
      </w:r>
      <w:r w:rsidRPr="009C4A2D">
        <w:rPr>
          <w:lang w:val="en-US"/>
        </w:rPr>
        <w:tab/>
      </w:r>
      <w:r w:rsidRPr="009C4A2D">
        <w:rPr>
          <w:lang w:val="en-US"/>
        </w:rPr>
        <w:tab/>
      </w:r>
      <w:r w:rsidRPr="009C4A2D">
        <w:rPr>
          <w:lang w:val="en-US"/>
        </w:rPr>
        <w:tab/>
        <w:t>(6)</w:t>
      </w:r>
    </w:p>
    <w:p w:rsidR="005E6FFC" w:rsidRPr="009C4A2D" w:rsidRDefault="005E6FFC" w:rsidP="00663007">
      <w:pPr>
        <w:pStyle w:val="Follow-onparagraphstyle"/>
        <w:spacing w:before="120" w:line="240" w:lineRule="auto"/>
        <w:ind w:firstLine="0"/>
        <w:jc w:val="both"/>
        <w:rPr>
          <w:lang w:val="en-US"/>
        </w:rPr>
      </w:pPr>
      <w:r w:rsidRPr="009C4A2D">
        <w:rPr>
          <w:lang w:val="en-US"/>
        </w:rPr>
        <w:t xml:space="preserve">And the higher the net flow, the better the action is. All the actions of </w:t>
      </w:r>
      <w:r w:rsidRPr="009C4A2D">
        <w:rPr>
          <w:i/>
          <w:lang w:val="en-US"/>
        </w:rPr>
        <w:t>K</w:t>
      </w:r>
      <w:r w:rsidRPr="009C4A2D">
        <w:rPr>
          <w:lang w:val="en-US"/>
        </w:rPr>
        <w:t xml:space="preserve"> are now completely ranked (PROMETHEE II).</w:t>
      </w:r>
    </w:p>
    <w:p w:rsidR="005E6FFC" w:rsidRPr="009C4A2D" w:rsidRDefault="005E6FFC" w:rsidP="00F46359">
      <w:pPr>
        <w:pStyle w:val="Firstparagraphstyle"/>
        <w:spacing w:before="120" w:line="240" w:lineRule="auto"/>
        <w:jc w:val="both"/>
        <w:rPr>
          <w:lang w:val="en-US"/>
        </w:rPr>
      </w:pPr>
      <w:r w:rsidRPr="009C4A2D">
        <w:rPr>
          <w:lang w:val="en-US"/>
        </w:rPr>
        <w:t>For each criterion, one of the six offered preference function types and its thresholds has been chosen. In this way, the problem was completely prepared for the implementation of the PROMETHEE, as an appropriate method for such a multi-criteria, and relatively weakly structured problem. Its advantages lie in the possibility to define indifference and preference thresholds that have the real economic importance.</w:t>
      </w:r>
    </w:p>
    <w:p w:rsidR="005E6FFC" w:rsidRPr="00001F65" w:rsidRDefault="005E6FFC" w:rsidP="00F46359">
      <w:pPr>
        <w:pStyle w:val="Follow-onparagraphstyle"/>
        <w:spacing w:before="120" w:line="240" w:lineRule="auto"/>
        <w:ind w:firstLine="0"/>
        <w:jc w:val="both"/>
        <w:rPr>
          <w:lang w:val="en-US"/>
        </w:rPr>
      </w:pPr>
      <w:r w:rsidRPr="009C4A2D">
        <w:rPr>
          <w:lang w:val="en-US"/>
        </w:rPr>
        <w:t>The choice of the function types, and its thresholds, was carried out taking into account the criteria of impartiality, so that the weight of each criterion is equal and equals 9, except for GDP p/c which, based on the results of the classification for each year, shows a significant contribution to the difference between the clusters formed. Therefore, weight for GDP p/c is 10. Criteria PLCB, CBGCMP and CBTA related to central bank independence, and each of them has a weight of third. This is shown in Table 5. Linear function (5) was selected for inflation criterion with thresholds 2 and 6 (in accordance with the inflation rate in the economies). Selected function type for all oth</w:t>
      </w:r>
      <w:r w:rsidRPr="00001F65">
        <w:rPr>
          <w:lang w:val="en-US"/>
        </w:rPr>
        <w:t xml:space="preserve">er criteria is Gaussian function (6) with appropriate parameter </w:t>
      </w:r>
      <w:r w:rsidRPr="00001F65">
        <w:rPr>
          <w:i/>
          <w:lang w:val="en-US"/>
        </w:rPr>
        <w:t>s</w:t>
      </w:r>
      <w:r w:rsidRPr="00001F65">
        <w:rPr>
          <w:lang w:val="en-US"/>
        </w:rPr>
        <w:t>. On this way the unbiased analysis is ensured in accordance with the original numerical values. The final ranking is obtained by cumulating mutual comparisons of alternative pairs, according to all the criteria, into final leaving and entering flows, i.e. the final rank of alternatives. The group of alternatives consists of 14 countries which are compared according to the 11 previously observed criteria (central bank independence is presented with three criteria - PLCB, CBGCMP i CBTA).</w:t>
      </w:r>
    </w:p>
    <w:p w:rsidR="005E6FFC" w:rsidRPr="00001F65" w:rsidRDefault="005E6FFC" w:rsidP="004654E1">
      <w:pPr>
        <w:rPr>
          <w:lang w:eastAsia="en-GB"/>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595"/>
        <w:gridCol w:w="559"/>
        <w:gridCol w:w="559"/>
        <w:gridCol w:w="559"/>
        <w:gridCol w:w="595"/>
        <w:gridCol w:w="595"/>
        <w:gridCol w:w="595"/>
        <w:gridCol w:w="595"/>
        <w:gridCol w:w="595"/>
        <w:gridCol w:w="559"/>
        <w:gridCol w:w="595"/>
        <w:gridCol w:w="595"/>
        <w:gridCol w:w="595"/>
      </w:tblGrid>
      <w:tr w:rsidR="005E6FFC" w:rsidRPr="00001F65" w:rsidTr="00BA7E52">
        <w:trPr>
          <w:jc w:val="center"/>
        </w:trPr>
        <w:tc>
          <w:tcPr>
            <w:tcW w:w="0" w:type="auto"/>
          </w:tcPr>
          <w:p w:rsidR="005E6FFC" w:rsidRPr="00001F65" w:rsidRDefault="005E6FFC" w:rsidP="00BA7E52">
            <w:pPr>
              <w:rPr>
                <w:b/>
              </w:rPr>
            </w:pPr>
            <w:r w:rsidRPr="00001F65">
              <w:rPr>
                <w:b/>
                <w:sz w:val="22"/>
                <w:szCs w:val="22"/>
              </w:rPr>
              <w:t>CRITERIA</w:t>
            </w:r>
            <w:r w:rsidRPr="00001F65">
              <w:rPr>
                <w:rStyle w:val="FootnoteReference"/>
                <w:b/>
                <w:sz w:val="22"/>
                <w:szCs w:val="22"/>
              </w:rPr>
              <w:t>i</w:t>
            </w:r>
          </w:p>
        </w:tc>
        <w:tc>
          <w:tcPr>
            <w:tcW w:w="0" w:type="auto"/>
          </w:tcPr>
          <w:p w:rsidR="005E6FFC" w:rsidRPr="00001F65" w:rsidRDefault="005E6FFC" w:rsidP="00BA7E52">
            <w:pPr>
              <w:jc w:val="center"/>
            </w:pPr>
            <w:r w:rsidRPr="00001F65">
              <w:rPr>
                <w:sz w:val="22"/>
                <w:szCs w:val="22"/>
              </w:rPr>
              <w:t>C1</w:t>
            </w:r>
          </w:p>
        </w:tc>
        <w:tc>
          <w:tcPr>
            <w:tcW w:w="0" w:type="auto"/>
          </w:tcPr>
          <w:p w:rsidR="005E6FFC" w:rsidRPr="00001F65" w:rsidRDefault="005E6FFC" w:rsidP="00BA7E52">
            <w:pPr>
              <w:jc w:val="center"/>
            </w:pPr>
            <w:r w:rsidRPr="00001F65">
              <w:rPr>
                <w:sz w:val="22"/>
                <w:szCs w:val="22"/>
              </w:rPr>
              <w:t>C2</w:t>
            </w:r>
          </w:p>
        </w:tc>
        <w:tc>
          <w:tcPr>
            <w:tcW w:w="0" w:type="auto"/>
          </w:tcPr>
          <w:p w:rsidR="005E6FFC" w:rsidRPr="00001F65" w:rsidRDefault="005E6FFC" w:rsidP="00BA7E52">
            <w:pPr>
              <w:jc w:val="center"/>
            </w:pPr>
            <w:r w:rsidRPr="00001F65">
              <w:rPr>
                <w:sz w:val="22"/>
                <w:szCs w:val="22"/>
              </w:rPr>
              <w:t>C3</w:t>
            </w:r>
          </w:p>
        </w:tc>
        <w:tc>
          <w:tcPr>
            <w:tcW w:w="0" w:type="auto"/>
          </w:tcPr>
          <w:p w:rsidR="005E6FFC" w:rsidRPr="00001F65" w:rsidRDefault="005E6FFC" w:rsidP="00BA7E52">
            <w:pPr>
              <w:jc w:val="center"/>
            </w:pPr>
            <w:r w:rsidRPr="00001F65">
              <w:rPr>
                <w:sz w:val="22"/>
                <w:szCs w:val="22"/>
              </w:rPr>
              <w:t>C4</w:t>
            </w:r>
          </w:p>
        </w:tc>
        <w:tc>
          <w:tcPr>
            <w:tcW w:w="0" w:type="auto"/>
          </w:tcPr>
          <w:p w:rsidR="005E6FFC" w:rsidRPr="00001F65" w:rsidRDefault="005E6FFC" w:rsidP="00BA7E52">
            <w:pPr>
              <w:jc w:val="center"/>
            </w:pPr>
            <w:r w:rsidRPr="00001F65">
              <w:rPr>
                <w:sz w:val="22"/>
                <w:szCs w:val="22"/>
              </w:rPr>
              <w:t>C5a</w:t>
            </w:r>
          </w:p>
        </w:tc>
        <w:tc>
          <w:tcPr>
            <w:tcW w:w="0" w:type="auto"/>
          </w:tcPr>
          <w:p w:rsidR="005E6FFC" w:rsidRPr="00001F65" w:rsidRDefault="005E6FFC" w:rsidP="00BA7E52">
            <w:pPr>
              <w:jc w:val="center"/>
            </w:pPr>
            <w:r w:rsidRPr="00001F65">
              <w:rPr>
                <w:sz w:val="22"/>
                <w:szCs w:val="22"/>
              </w:rPr>
              <w:t>C5b</w:t>
            </w:r>
          </w:p>
        </w:tc>
        <w:tc>
          <w:tcPr>
            <w:tcW w:w="0" w:type="auto"/>
          </w:tcPr>
          <w:p w:rsidR="005E6FFC" w:rsidRPr="00001F65" w:rsidRDefault="005E6FFC" w:rsidP="00BA7E52">
            <w:pPr>
              <w:jc w:val="center"/>
            </w:pPr>
            <w:r w:rsidRPr="00001F65">
              <w:rPr>
                <w:sz w:val="22"/>
                <w:szCs w:val="22"/>
              </w:rPr>
              <w:t>C5c</w:t>
            </w:r>
          </w:p>
        </w:tc>
        <w:tc>
          <w:tcPr>
            <w:tcW w:w="0" w:type="auto"/>
          </w:tcPr>
          <w:p w:rsidR="005E6FFC" w:rsidRPr="00001F65" w:rsidRDefault="005E6FFC" w:rsidP="00BA7E52">
            <w:pPr>
              <w:jc w:val="center"/>
            </w:pPr>
            <w:r w:rsidRPr="00001F65">
              <w:rPr>
                <w:sz w:val="22"/>
                <w:szCs w:val="22"/>
              </w:rPr>
              <w:t>C6</w:t>
            </w:r>
          </w:p>
        </w:tc>
        <w:tc>
          <w:tcPr>
            <w:tcW w:w="0" w:type="auto"/>
          </w:tcPr>
          <w:p w:rsidR="005E6FFC" w:rsidRPr="00001F65" w:rsidRDefault="005E6FFC" w:rsidP="00BA7E52">
            <w:pPr>
              <w:jc w:val="center"/>
            </w:pPr>
            <w:r w:rsidRPr="00001F65">
              <w:rPr>
                <w:sz w:val="22"/>
                <w:szCs w:val="22"/>
              </w:rPr>
              <w:t>C7</w:t>
            </w:r>
          </w:p>
        </w:tc>
        <w:tc>
          <w:tcPr>
            <w:tcW w:w="0" w:type="auto"/>
          </w:tcPr>
          <w:p w:rsidR="005E6FFC" w:rsidRPr="00001F65" w:rsidRDefault="005E6FFC" w:rsidP="00BA7E52">
            <w:pPr>
              <w:jc w:val="center"/>
            </w:pPr>
            <w:r w:rsidRPr="00001F65">
              <w:rPr>
                <w:sz w:val="22"/>
                <w:szCs w:val="22"/>
              </w:rPr>
              <w:t>C8</w:t>
            </w:r>
          </w:p>
        </w:tc>
        <w:tc>
          <w:tcPr>
            <w:tcW w:w="0" w:type="auto"/>
          </w:tcPr>
          <w:p w:rsidR="005E6FFC" w:rsidRPr="00001F65" w:rsidRDefault="005E6FFC" w:rsidP="00BA7E52">
            <w:pPr>
              <w:jc w:val="center"/>
            </w:pPr>
            <w:r w:rsidRPr="00001F65">
              <w:rPr>
                <w:sz w:val="22"/>
                <w:szCs w:val="22"/>
              </w:rPr>
              <w:t>C9</w:t>
            </w:r>
          </w:p>
        </w:tc>
        <w:tc>
          <w:tcPr>
            <w:tcW w:w="0" w:type="auto"/>
          </w:tcPr>
          <w:p w:rsidR="005E6FFC" w:rsidRPr="00001F65" w:rsidRDefault="005E6FFC" w:rsidP="00BA7E52">
            <w:pPr>
              <w:jc w:val="center"/>
            </w:pPr>
            <w:r w:rsidRPr="00001F65">
              <w:rPr>
                <w:sz w:val="22"/>
                <w:szCs w:val="22"/>
              </w:rPr>
              <w:t>C10</w:t>
            </w:r>
          </w:p>
        </w:tc>
        <w:tc>
          <w:tcPr>
            <w:tcW w:w="0" w:type="auto"/>
          </w:tcPr>
          <w:p w:rsidR="005E6FFC" w:rsidRPr="00001F65" w:rsidRDefault="005E6FFC" w:rsidP="00BA7E52">
            <w:pPr>
              <w:jc w:val="center"/>
            </w:pPr>
            <w:r w:rsidRPr="00001F65">
              <w:rPr>
                <w:sz w:val="22"/>
                <w:szCs w:val="22"/>
              </w:rPr>
              <w:t>C11</w:t>
            </w:r>
          </w:p>
        </w:tc>
      </w:tr>
      <w:tr w:rsidR="005E6FFC" w:rsidRPr="00001F65" w:rsidTr="00BA7E52">
        <w:trPr>
          <w:jc w:val="center"/>
        </w:trPr>
        <w:tc>
          <w:tcPr>
            <w:tcW w:w="0" w:type="auto"/>
          </w:tcPr>
          <w:p w:rsidR="005E6FFC" w:rsidRPr="00001F65" w:rsidRDefault="005E6FFC" w:rsidP="00BA7E52">
            <w:pPr>
              <w:rPr>
                <w:b/>
              </w:rPr>
            </w:pPr>
            <w:r w:rsidRPr="00001F65">
              <w:rPr>
                <w:b/>
                <w:sz w:val="22"/>
                <w:szCs w:val="22"/>
              </w:rPr>
              <w:t>Min/Max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min</w:t>
            </w:r>
          </w:p>
        </w:tc>
        <w:tc>
          <w:tcPr>
            <w:tcW w:w="0" w:type="auto"/>
          </w:tcPr>
          <w:p w:rsidR="005E6FFC" w:rsidRPr="00001F65" w:rsidRDefault="005E6FFC" w:rsidP="00BA7E52">
            <w:pPr>
              <w:jc w:val="center"/>
            </w:pPr>
            <w:r w:rsidRPr="00001F65">
              <w:rPr>
                <w:sz w:val="22"/>
                <w:szCs w:val="22"/>
              </w:rPr>
              <w:t>min</w:t>
            </w:r>
          </w:p>
        </w:tc>
        <w:tc>
          <w:tcPr>
            <w:tcW w:w="0" w:type="auto"/>
          </w:tcPr>
          <w:p w:rsidR="005E6FFC" w:rsidRPr="00001F65" w:rsidRDefault="005E6FFC" w:rsidP="00BA7E52">
            <w:pPr>
              <w:jc w:val="center"/>
            </w:pPr>
            <w:r w:rsidRPr="00001F65">
              <w:rPr>
                <w:sz w:val="22"/>
                <w:szCs w:val="22"/>
              </w:rPr>
              <w:t>min</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min</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c>
          <w:tcPr>
            <w:tcW w:w="0" w:type="auto"/>
          </w:tcPr>
          <w:p w:rsidR="005E6FFC" w:rsidRPr="00001F65" w:rsidRDefault="005E6FFC" w:rsidP="00BA7E52">
            <w:pPr>
              <w:jc w:val="center"/>
            </w:pPr>
            <w:r w:rsidRPr="00001F65">
              <w:rPr>
                <w:sz w:val="22"/>
                <w:szCs w:val="22"/>
              </w:rPr>
              <w:t>max</w:t>
            </w:r>
          </w:p>
        </w:tc>
      </w:tr>
      <w:tr w:rsidR="005E6FFC" w:rsidRPr="00001F65" w:rsidTr="00BA7E52">
        <w:trPr>
          <w:jc w:val="center"/>
        </w:trPr>
        <w:tc>
          <w:tcPr>
            <w:tcW w:w="0" w:type="auto"/>
          </w:tcPr>
          <w:p w:rsidR="005E6FFC" w:rsidRPr="00001F65" w:rsidRDefault="005E6FFC" w:rsidP="00BA7E52">
            <w:pPr>
              <w:rPr>
                <w:b/>
              </w:rPr>
            </w:pPr>
            <w:r w:rsidRPr="00001F65">
              <w:rPr>
                <w:b/>
                <w:sz w:val="22"/>
                <w:szCs w:val="22"/>
              </w:rPr>
              <w:t>Type</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5</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c>
          <w:tcPr>
            <w:tcW w:w="0" w:type="auto"/>
          </w:tcPr>
          <w:p w:rsidR="005E6FFC" w:rsidRPr="00001F65" w:rsidRDefault="005E6FFC" w:rsidP="00BA7E52">
            <w:pPr>
              <w:jc w:val="center"/>
            </w:pPr>
            <w:r w:rsidRPr="00001F65">
              <w:rPr>
                <w:sz w:val="22"/>
                <w:szCs w:val="22"/>
              </w:rPr>
              <w:t>6</w:t>
            </w:r>
          </w:p>
        </w:tc>
      </w:tr>
      <w:tr w:rsidR="005E6FFC" w:rsidRPr="00001F65" w:rsidTr="00BA7E52">
        <w:trPr>
          <w:trHeight w:val="106"/>
          <w:jc w:val="center"/>
        </w:trPr>
        <w:tc>
          <w:tcPr>
            <w:tcW w:w="0" w:type="auto"/>
          </w:tcPr>
          <w:p w:rsidR="005E6FFC" w:rsidRPr="00001F65" w:rsidRDefault="005E6FFC" w:rsidP="00BA7E52">
            <w:pPr>
              <w:rPr>
                <w:b/>
              </w:rPr>
            </w:pPr>
            <w:r w:rsidRPr="00001F65">
              <w:rPr>
                <w:b/>
                <w:sz w:val="22"/>
                <w:szCs w:val="22"/>
              </w:rPr>
              <w:t>Weight</w:t>
            </w:r>
          </w:p>
        </w:tc>
        <w:tc>
          <w:tcPr>
            <w:tcW w:w="0" w:type="auto"/>
          </w:tcPr>
          <w:p w:rsidR="005E6FFC" w:rsidRPr="00001F65" w:rsidRDefault="005E6FFC" w:rsidP="00BA7E52">
            <w:pPr>
              <w:jc w:val="center"/>
            </w:pPr>
            <w:r w:rsidRPr="00001F65">
              <w:rPr>
                <w:sz w:val="22"/>
                <w:szCs w:val="22"/>
              </w:rPr>
              <w:t>10</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3</w:t>
            </w:r>
          </w:p>
        </w:tc>
        <w:tc>
          <w:tcPr>
            <w:tcW w:w="0" w:type="auto"/>
          </w:tcPr>
          <w:p w:rsidR="005E6FFC" w:rsidRPr="00001F65" w:rsidRDefault="005E6FFC" w:rsidP="00BA7E52">
            <w:pPr>
              <w:jc w:val="center"/>
            </w:pPr>
            <w:r w:rsidRPr="00001F65">
              <w:rPr>
                <w:sz w:val="22"/>
                <w:szCs w:val="22"/>
              </w:rPr>
              <w:t>3</w:t>
            </w:r>
          </w:p>
        </w:tc>
        <w:tc>
          <w:tcPr>
            <w:tcW w:w="0" w:type="auto"/>
          </w:tcPr>
          <w:p w:rsidR="005E6FFC" w:rsidRPr="00001F65" w:rsidRDefault="005E6FFC" w:rsidP="00BA7E52">
            <w:pPr>
              <w:jc w:val="center"/>
            </w:pPr>
            <w:r w:rsidRPr="00001F65">
              <w:rPr>
                <w:sz w:val="22"/>
                <w:szCs w:val="22"/>
              </w:rPr>
              <w:t>3</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c>
          <w:tcPr>
            <w:tcW w:w="0" w:type="auto"/>
          </w:tcPr>
          <w:p w:rsidR="005E6FFC" w:rsidRPr="00001F65" w:rsidRDefault="005E6FFC" w:rsidP="00BA7E52">
            <w:pPr>
              <w:jc w:val="center"/>
            </w:pPr>
            <w:r w:rsidRPr="00001F65">
              <w:rPr>
                <w:sz w:val="22"/>
                <w:szCs w:val="22"/>
              </w:rPr>
              <w:t>9</w:t>
            </w:r>
          </w:p>
        </w:tc>
      </w:tr>
    </w:tbl>
    <w:p w:rsidR="005E6FFC" w:rsidRPr="00001F65" w:rsidRDefault="005E6FFC" w:rsidP="00B45971">
      <w:pPr>
        <w:jc w:val="both"/>
        <w:rPr>
          <w:i/>
          <w:sz w:val="16"/>
          <w:szCs w:val="16"/>
        </w:rPr>
      </w:pPr>
      <w:r w:rsidRPr="00001F65">
        <w:rPr>
          <w:rStyle w:val="FootnoteReference"/>
          <w:b/>
          <w:sz w:val="22"/>
          <w:szCs w:val="22"/>
        </w:rPr>
        <w:t>i</w:t>
      </w:r>
      <w:r w:rsidRPr="00001F65">
        <w:rPr>
          <w:i/>
          <w:sz w:val="16"/>
          <w:szCs w:val="16"/>
        </w:rPr>
        <w:t>CRITERIA: C1=GDP p/c; C2=Inflation; C3=External debt stocks; C4=FC loans; C5a=PLCBI; C5b=CBGCMP; C5c=CBTA; C6=Domestic credit to private sector; C7=Inter reserves; C8=Lending interest rate; C9=Trade openness (%GDP); C10=Government budget deficit (expressed negatively); C11=Capital openness index.</w:t>
      </w:r>
    </w:p>
    <w:p w:rsidR="005E6FFC" w:rsidRPr="00001F65" w:rsidRDefault="005E6FFC" w:rsidP="00B45971">
      <w:pPr>
        <w:pStyle w:val="Tabletitle"/>
        <w:rPr>
          <w:sz w:val="22"/>
          <w:szCs w:val="22"/>
          <w:lang w:val="en-US"/>
        </w:rPr>
      </w:pPr>
    </w:p>
    <w:p w:rsidR="005E6FFC" w:rsidRPr="00001F65" w:rsidRDefault="005E6FFC" w:rsidP="00B45971">
      <w:pPr>
        <w:pStyle w:val="Tabletitle"/>
        <w:rPr>
          <w:sz w:val="22"/>
          <w:szCs w:val="22"/>
          <w:lang w:val="en-US"/>
        </w:rPr>
      </w:pPr>
      <w:r w:rsidRPr="00001F65">
        <w:rPr>
          <w:sz w:val="22"/>
          <w:szCs w:val="22"/>
          <w:lang w:val="en-US"/>
        </w:rPr>
        <w:t>Table 5: Types and weights of all criteria in 2005 - 2011</w:t>
      </w:r>
    </w:p>
    <w:p w:rsidR="005E6FFC" w:rsidRPr="00001F65" w:rsidRDefault="005E6FFC" w:rsidP="00B77AEA">
      <w:pPr>
        <w:rPr>
          <w:lang w:eastAsia="en-GB"/>
        </w:rPr>
      </w:pPr>
    </w:p>
    <w:p w:rsidR="005E6FFC" w:rsidRPr="009C4A2D" w:rsidRDefault="005E6FFC" w:rsidP="00B01D40">
      <w:pPr>
        <w:jc w:val="both"/>
        <w:rPr>
          <w:lang w:eastAsia="en-GB"/>
        </w:rPr>
      </w:pPr>
      <w:r w:rsidRPr="009C4A2D">
        <w:rPr>
          <w:lang w:eastAsia="en-GB"/>
        </w:rPr>
        <w:t xml:space="preserve">The results of ranking are presented in Table 6. As it can be seen neither group of countries dominate the ranking considering intermediate target. However, as crisis emerged (2009) </w:t>
      </w:r>
      <w:r w:rsidRPr="009C4A2D">
        <w:rPr>
          <w:lang w:eastAsia="hr-HR"/>
        </w:rPr>
        <w:t xml:space="preserve">ranking of inflation targeting countries generally decreased, but after the crisis (2011) ranking is the same as before crisis (2007). </w:t>
      </w:r>
      <w:r w:rsidRPr="009C4A2D">
        <w:rPr>
          <w:lang w:eastAsia="en-GB"/>
        </w:rPr>
        <w:t>Therefore, neither we do find any significant difference in general economic performance considering the choice of intermediate target nor we find the difference in performance in period before and after the crisis. This means that some other characteristics (for example EU membership, historical aspects, previous economic performance, capital abundance, infrastructure, bureaucracy…) and not intermediate target, affect macroeconomic and financial performance of CEE countries.</w:t>
      </w:r>
    </w:p>
    <w:p w:rsidR="005E6FFC" w:rsidRPr="009C4A2D" w:rsidRDefault="005E6FFC" w:rsidP="00676B46">
      <w:pPr>
        <w:pStyle w:val="Tabletitle"/>
        <w:jc w:val="both"/>
        <w:rPr>
          <w:lang w:val="en-US"/>
        </w:rPr>
      </w:pPr>
    </w:p>
    <w:tbl>
      <w:tblPr>
        <w:tblW w:w="9060"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496"/>
        <w:gridCol w:w="1017"/>
        <w:gridCol w:w="638"/>
        <w:gridCol w:w="496"/>
        <w:gridCol w:w="1017"/>
        <w:gridCol w:w="638"/>
        <w:gridCol w:w="496"/>
        <w:gridCol w:w="1017"/>
        <w:gridCol w:w="638"/>
        <w:gridCol w:w="473"/>
        <w:gridCol w:w="1022"/>
        <w:gridCol w:w="638"/>
      </w:tblGrid>
      <w:tr w:rsidR="005E6FFC" w:rsidRPr="009C4A2D" w:rsidTr="007D5879">
        <w:trPr>
          <w:trHeight w:val="543"/>
          <w:jc w:val="center"/>
        </w:trPr>
        <w:tc>
          <w:tcPr>
            <w:tcW w:w="473" w:type="dxa"/>
            <w:vMerge w:val="restart"/>
            <w:textDirection w:val="btLr"/>
            <w:vAlign w:val="center"/>
          </w:tcPr>
          <w:p w:rsidR="005E6FFC" w:rsidRPr="009C4A2D" w:rsidRDefault="005E6FFC" w:rsidP="007D5879">
            <w:pPr>
              <w:ind w:left="113" w:right="113"/>
              <w:jc w:val="center"/>
              <w:rPr>
                <w:b/>
                <w:smallCaps/>
                <w:sz w:val="20"/>
                <w:szCs w:val="20"/>
              </w:rPr>
            </w:pPr>
            <w:r w:rsidRPr="009C4A2D">
              <w:rPr>
                <w:b/>
                <w:smallCaps/>
                <w:sz w:val="20"/>
                <w:szCs w:val="20"/>
              </w:rPr>
              <w:t>RANK</w:t>
            </w:r>
          </w:p>
        </w:tc>
        <w:tc>
          <w:tcPr>
            <w:tcW w:w="2144" w:type="dxa"/>
            <w:gridSpan w:val="3"/>
            <w:vAlign w:val="center"/>
          </w:tcPr>
          <w:p w:rsidR="005E6FFC" w:rsidRPr="009C4A2D" w:rsidRDefault="005E6FFC" w:rsidP="007D5879">
            <w:pPr>
              <w:jc w:val="center"/>
              <w:rPr>
                <w:b/>
                <w:smallCaps/>
                <w:sz w:val="20"/>
                <w:szCs w:val="20"/>
              </w:rPr>
            </w:pPr>
            <w:r w:rsidRPr="009C4A2D">
              <w:rPr>
                <w:b/>
                <w:smallCaps/>
                <w:sz w:val="20"/>
                <w:szCs w:val="20"/>
              </w:rPr>
              <w:t>2005</w:t>
            </w:r>
          </w:p>
        </w:tc>
        <w:tc>
          <w:tcPr>
            <w:tcW w:w="2144" w:type="dxa"/>
            <w:gridSpan w:val="3"/>
            <w:vAlign w:val="center"/>
          </w:tcPr>
          <w:p w:rsidR="005E6FFC" w:rsidRPr="009C4A2D" w:rsidRDefault="005E6FFC" w:rsidP="007D5879">
            <w:pPr>
              <w:jc w:val="center"/>
              <w:rPr>
                <w:b/>
                <w:smallCaps/>
                <w:sz w:val="20"/>
                <w:szCs w:val="20"/>
              </w:rPr>
            </w:pPr>
            <w:r w:rsidRPr="009C4A2D">
              <w:rPr>
                <w:b/>
                <w:smallCaps/>
                <w:sz w:val="20"/>
                <w:szCs w:val="20"/>
              </w:rPr>
              <w:t>2007</w:t>
            </w:r>
          </w:p>
        </w:tc>
        <w:tc>
          <w:tcPr>
            <w:tcW w:w="2144" w:type="dxa"/>
            <w:gridSpan w:val="3"/>
            <w:vAlign w:val="center"/>
          </w:tcPr>
          <w:p w:rsidR="005E6FFC" w:rsidRPr="009C4A2D" w:rsidRDefault="005E6FFC" w:rsidP="007D5879">
            <w:pPr>
              <w:jc w:val="center"/>
              <w:rPr>
                <w:b/>
                <w:smallCaps/>
                <w:sz w:val="20"/>
                <w:szCs w:val="20"/>
              </w:rPr>
            </w:pPr>
            <w:r w:rsidRPr="009C4A2D">
              <w:rPr>
                <w:b/>
                <w:smallCaps/>
                <w:sz w:val="20"/>
                <w:szCs w:val="20"/>
              </w:rPr>
              <w:t>2009</w:t>
            </w:r>
          </w:p>
        </w:tc>
        <w:tc>
          <w:tcPr>
            <w:tcW w:w="2155" w:type="dxa"/>
            <w:gridSpan w:val="3"/>
            <w:vAlign w:val="center"/>
          </w:tcPr>
          <w:p w:rsidR="005E6FFC" w:rsidRPr="009C4A2D" w:rsidRDefault="005E6FFC" w:rsidP="007D5879">
            <w:pPr>
              <w:jc w:val="center"/>
              <w:rPr>
                <w:b/>
                <w:smallCaps/>
                <w:sz w:val="20"/>
                <w:szCs w:val="20"/>
              </w:rPr>
            </w:pPr>
            <w:r w:rsidRPr="009C4A2D">
              <w:rPr>
                <w:b/>
                <w:smallCaps/>
                <w:sz w:val="20"/>
                <w:szCs w:val="20"/>
              </w:rPr>
              <w:t>2011</w:t>
            </w:r>
          </w:p>
        </w:tc>
      </w:tr>
      <w:tr w:rsidR="005E6FFC" w:rsidRPr="009C4A2D" w:rsidTr="007D5879">
        <w:trPr>
          <w:cantSplit/>
          <w:trHeight w:val="597"/>
          <w:jc w:val="center"/>
        </w:trPr>
        <w:tc>
          <w:tcPr>
            <w:tcW w:w="473" w:type="dxa"/>
            <w:vMerge/>
            <w:vAlign w:val="center"/>
          </w:tcPr>
          <w:p w:rsidR="005E6FFC" w:rsidRPr="009C4A2D" w:rsidRDefault="005E6FFC" w:rsidP="007D5879">
            <w:pPr>
              <w:jc w:val="center"/>
              <w:rPr>
                <w:b/>
                <w:smallCaps/>
                <w:sz w:val="20"/>
                <w:szCs w:val="20"/>
              </w:rPr>
            </w:pPr>
          </w:p>
        </w:tc>
        <w:tc>
          <w:tcPr>
            <w:tcW w:w="394" w:type="dxa"/>
            <w:textDirection w:val="btLr"/>
            <w:vAlign w:val="center"/>
          </w:tcPr>
          <w:p w:rsidR="005E6FFC" w:rsidRPr="009C4A2D" w:rsidRDefault="005E6FFC" w:rsidP="007D5879">
            <w:pPr>
              <w:ind w:left="113" w:right="113"/>
              <w:jc w:val="center"/>
              <w:rPr>
                <w:b/>
                <w:smallCaps/>
                <w:sz w:val="20"/>
                <w:szCs w:val="20"/>
              </w:rPr>
            </w:pPr>
            <w:r w:rsidRPr="009C4A2D">
              <w:rPr>
                <w:b/>
                <w:smallCaps/>
                <w:sz w:val="20"/>
                <w:szCs w:val="20"/>
              </w:rPr>
              <w:t>IT</w:t>
            </w:r>
            <w:r w:rsidRPr="009C4A2D">
              <w:rPr>
                <w:rStyle w:val="FootnoteReference"/>
                <w:b/>
                <w:sz w:val="22"/>
                <w:szCs w:val="22"/>
              </w:rPr>
              <w:t xml:space="preserve"> i</w:t>
            </w:r>
            <w:r w:rsidRPr="009C4A2D">
              <w:rPr>
                <w:b/>
                <w:smallCaps/>
                <w:sz w:val="20"/>
                <w:szCs w:val="20"/>
              </w:rPr>
              <w:t xml:space="preserve"> </w:t>
            </w:r>
          </w:p>
        </w:tc>
        <w:tc>
          <w:tcPr>
            <w:tcW w:w="1017" w:type="dxa"/>
            <w:vAlign w:val="center"/>
          </w:tcPr>
          <w:p w:rsidR="005E6FFC" w:rsidRPr="009C4A2D" w:rsidRDefault="005E6FFC" w:rsidP="007D5879">
            <w:pPr>
              <w:rPr>
                <w:b/>
                <w:smallCaps/>
                <w:sz w:val="20"/>
                <w:szCs w:val="20"/>
              </w:rPr>
            </w:pPr>
            <w:r w:rsidRPr="009C4A2D">
              <w:rPr>
                <w:b/>
                <w:smallCaps/>
                <w:sz w:val="20"/>
                <w:szCs w:val="20"/>
              </w:rPr>
              <w:t>ACTION</w:t>
            </w:r>
          </w:p>
        </w:tc>
        <w:tc>
          <w:tcPr>
            <w:tcW w:w="733" w:type="dxa"/>
            <w:vAlign w:val="center"/>
          </w:tcPr>
          <w:p w:rsidR="005E6FFC" w:rsidRPr="009C4A2D" w:rsidRDefault="005E6FFC" w:rsidP="007D5879">
            <w:pPr>
              <w:jc w:val="center"/>
              <w:rPr>
                <w:b/>
                <w:smallCaps/>
                <w:sz w:val="20"/>
                <w:szCs w:val="20"/>
              </w:rPr>
            </w:pPr>
            <w:r w:rsidRPr="009C4A2D">
              <w:rPr>
                <w:b/>
                <w:smallCaps/>
                <w:sz w:val="20"/>
                <w:szCs w:val="20"/>
              </w:rPr>
              <w:t>PHI</w:t>
            </w:r>
          </w:p>
        </w:tc>
        <w:tc>
          <w:tcPr>
            <w:tcW w:w="394" w:type="dxa"/>
            <w:textDirection w:val="btLr"/>
            <w:vAlign w:val="center"/>
          </w:tcPr>
          <w:p w:rsidR="005E6FFC" w:rsidRPr="009C4A2D" w:rsidRDefault="005E6FFC" w:rsidP="007D5879">
            <w:pPr>
              <w:ind w:left="113" w:right="113"/>
              <w:jc w:val="center"/>
              <w:rPr>
                <w:b/>
                <w:smallCaps/>
                <w:sz w:val="20"/>
                <w:szCs w:val="20"/>
              </w:rPr>
            </w:pPr>
            <w:r w:rsidRPr="009C4A2D">
              <w:rPr>
                <w:b/>
                <w:smallCaps/>
                <w:sz w:val="20"/>
                <w:szCs w:val="20"/>
              </w:rPr>
              <w:t>IT</w:t>
            </w:r>
            <w:r w:rsidRPr="009C4A2D">
              <w:rPr>
                <w:rStyle w:val="FootnoteReference"/>
                <w:b/>
                <w:sz w:val="22"/>
                <w:szCs w:val="22"/>
              </w:rPr>
              <w:t xml:space="preserve"> i</w:t>
            </w:r>
          </w:p>
        </w:tc>
        <w:tc>
          <w:tcPr>
            <w:tcW w:w="1017" w:type="dxa"/>
            <w:vAlign w:val="center"/>
          </w:tcPr>
          <w:p w:rsidR="005E6FFC" w:rsidRPr="009C4A2D" w:rsidRDefault="005E6FFC" w:rsidP="007D5879">
            <w:pPr>
              <w:rPr>
                <w:b/>
                <w:smallCaps/>
                <w:sz w:val="20"/>
                <w:szCs w:val="20"/>
              </w:rPr>
            </w:pPr>
            <w:r w:rsidRPr="009C4A2D">
              <w:rPr>
                <w:b/>
                <w:smallCaps/>
                <w:sz w:val="20"/>
                <w:szCs w:val="20"/>
              </w:rPr>
              <w:t>ACTION</w:t>
            </w:r>
          </w:p>
        </w:tc>
        <w:tc>
          <w:tcPr>
            <w:tcW w:w="733" w:type="dxa"/>
            <w:vAlign w:val="center"/>
          </w:tcPr>
          <w:p w:rsidR="005E6FFC" w:rsidRPr="009C4A2D" w:rsidRDefault="005E6FFC" w:rsidP="007D5879">
            <w:pPr>
              <w:jc w:val="center"/>
              <w:rPr>
                <w:b/>
                <w:smallCaps/>
                <w:sz w:val="20"/>
                <w:szCs w:val="20"/>
              </w:rPr>
            </w:pPr>
            <w:r w:rsidRPr="009C4A2D">
              <w:rPr>
                <w:b/>
                <w:smallCaps/>
                <w:sz w:val="20"/>
                <w:szCs w:val="20"/>
              </w:rPr>
              <w:t>PHI</w:t>
            </w:r>
          </w:p>
        </w:tc>
        <w:tc>
          <w:tcPr>
            <w:tcW w:w="394" w:type="dxa"/>
            <w:textDirection w:val="btLr"/>
            <w:vAlign w:val="center"/>
          </w:tcPr>
          <w:p w:rsidR="005E6FFC" w:rsidRPr="009C4A2D" w:rsidRDefault="005E6FFC" w:rsidP="007D5879">
            <w:pPr>
              <w:ind w:left="113" w:right="113"/>
              <w:jc w:val="center"/>
              <w:rPr>
                <w:b/>
                <w:smallCaps/>
                <w:sz w:val="20"/>
                <w:szCs w:val="20"/>
              </w:rPr>
            </w:pPr>
            <w:r w:rsidRPr="009C4A2D">
              <w:rPr>
                <w:b/>
                <w:smallCaps/>
                <w:sz w:val="20"/>
                <w:szCs w:val="20"/>
              </w:rPr>
              <w:t>IT</w:t>
            </w:r>
            <w:r w:rsidRPr="009C4A2D">
              <w:rPr>
                <w:rStyle w:val="FootnoteReference"/>
                <w:b/>
                <w:sz w:val="22"/>
                <w:szCs w:val="22"/>
              </w:rPr>
              <w:t xml:space="preserve"> i</w:t>
            </w:r>
          </w:p>
        </w:tc>
        <w:tc>
          <w:tcPr>
            <w:tcW w:w="1017" w:type="dxa"/>
            <w:vAlign w:val="center"/>
          </w:tcPr>
          <w:p w:rsidR="005E6FFC" w:rsidRPr="009C4A2D" w:rsidRDefault="005E6FFC" w:rsidP="007D5879">
            <w:pPr>
              <w:rPr>
                <w:b/>
                <w:smallCaps/>
                <w:sz w:val="20"/>
                <w:szCs w:val="20"/>
              </w:rPr>
            </w:pPr>
            <w:r w:rsidRPr="009C4A2D">
              <w:rPr>
                <w:b/>
                <w:smallCaps/>
                <w:sz w:val="20"/>
                <w:szCs w:val="20"/>
              </w:rPr>
              <w:t>ACTION</w:t>
            </w:r>
          </w:p>
        </w:tc>
        <w:tc>
          <w:tcPr>
            <w:tcW w:w="733" w:type="dxa"/>
            <w:vAlign w:val="center"/>
          </w:tcPr>
          <w:p w:rsidR="005E6FFC" w:rsidRPr="009C4A2D" w:rsidRDefault="005E6FFC" w:rsidP="007D5879">
            <w:pPr>
              <w:jc w:val="center"/>
              <w:rPr>
                <w:b/>
                <w:smallCaps/>
                <w:sz w:val="20"/>
                <w:szCs w:val="20"/>
              </w:rPr>
            </w:pPr>
            <w:r w:rsidRPr="009C4A2D">
              <w:rPr>
                <w:b/>
                <w:smallCaps/>
                <w:sz w:val="20"/>
                <w:szCs w:val="20"/>
              </w:rPr>
              <w:t>PHI</w:t>
            </w:r>
          </w:p>
        </w:tc>
        <w:tc>
          <w:tcPr>
            <w:tcW w:w="394" w:type="dxa"/>
            <w:textDirection w:val="btLr"/>
            <w:vAlign w:val="center"/>
          </w:tcPr>
          <w:p w:rsidR="005E6FFC" w:rsidRPr="009C4A2D" w:rsidRDefault="005E6FFC" w:rsidP="007D5879">
            <w:pPr>
              <w:ind w:left="113" w:right="113"/>
              <w:jc w:val="center"/>
              <w:rPr>
                <w:b/>
                <w:smallCaps/>
                <w:sz w:val="20"/>
                <w:szCs w:val="20"/>
              </w:rPr>
            </w:pPr>
            <w:r w:rsidRPr="009C4A2D">
              <w:rPr>
                <w:b/>
                <w:smallCaps/>
                <w:sz w:val="20"/>
                <w:szCs w:val="20"/>
              </w:rPr>
              <w:t>IT</w:t>
            </w:r>
            <w:r w:rsidRPr="009C4A2D">
              <w:rPr>
                <w:rStyle w:val="FootnoteReference"/>
                <w:b/>
                <w:sz w:val="20"/>
                <w:szCs w:val="20"/>
              </w:rPr>
              <w:t xml:space="preserve"> i</w:t>
            </w:r>
          </w:p>
        </w:tc>
        <w:tc>
          <w:tcPr>
            <w:tcW w:w="1028" w:type="dxa"/>
            <w:vAlign w:val="center"/>
          </w:tcPr>
          <w:p w:rsidR="005E6FFC" w:rsidRPr="009C4A2D" w:rsidRDefault="005E6FFC" w:rsidP="007D5879">
            <w:pPr>
              <w:rPr>
                <w:b/>
                <w:smallCaps/>
                <w:sz w:val="20"/>
                <w:szCs w:val="20"/>
              </w:rPr>
            </w:pPr>
            <w:r w:rsidRPr="009C4A2D">
              <w:rPr>
                <w:b/>
                <w:smallCaps/>
                <w:sz w:val="20"/>
                <w:szCs w:val="20"/>
              </w:rPr>
              <w:t>ACTION</w:t>
            </w:r>
          </w:p>
        </w:tc>
        <w:tc>
          <w:tcPr>
            <w:tcW w:w="733" w:type="dxa"/>
            <w:vAlign w:val="center"/>
          </w:tcPr>
          <w:p w:rsidR="005E6FFC" w:rsidRPr="009C4A2D" w:rsidRDefault="005E6FFC" w:rsidP="007D5879">
            <w:pPr>
              <w:jc w:val="center"/>
              <w:rPr>
                <w:b/>
                <w:smallCaps/>
                <w:sz w:val="20"/>
                <w:szCs w:val="20"/>
              </w:rPr>
            </w:pPr>
            <w:r w:rsidRPr="009C4A2D">
              <w:rPr>
                <w:b/>
                <w:smallCaps/>
                <w:sz w:val="20"/>
                <w:szCs w:val="20"/>
              </w:rPr>
              <w:t>PHI</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Czech R.</w:t>
            </w:r>
          </w:p>
        </w:tc>
        <w:tc>
          <w:tcPr>
            <w:tcW w:w="733" w:type="dxa"/>
            <w:vAlign w:val="center"/>
          </w:tcPr>
          <w:p w:rsidR="005E6FFC" w:rsidRPr="009C4A2D" w:rsidRDefault="005E6FFC" w:rsidP="007D5879">
            <w:pPr>
              <w:jc w:val="center"/>
              <w:rPr>
                <w:sz w:val="20"/>
                <w:szCs w:val="20"/>
              </w:rPr>
            </w:pPr>
            <w:r w:rsidRPr="009C4A2D">
              <w:rPr>
                <w:sz w:val="20"/>
                <w:szCs w:val="20"/>
              </w:rPr>
              <w:t>0,15</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Czech R.</w:t>
            </w:r>
          </w:p>
        </w:tc>
        <w:tc>
          <w:tcPr>
            <w:tcW w:w="733" w:type="dxa"/>
            <w:vAlign w:val="center"/>
          </w:tcPr>
          <w:p w:rsidR="005E6FFC" w:rsidRPr="009C4A2D" w:rsidRDefault="005E6FFC" w:rsidP="007D5879">
            <w:pPr>
              <w:jc w:val="center"/>
              <w:rPr>
                <w:sz w:val="20"/>
                <w:szCs w:val="20"/>
              </w:rPr>
            </w:pPr>
            <w:r w:rsidRPr="009C4A2D">
              <w:rPr>
                <w:sz w:val="20"/>
                <w:szCs w:val="20"/>
              </w:rPr>
              <w:t>0,17</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Czech R.</w:t>
            </w:r>
          </w:p>
        </w:tc>
        <w:tc>
          <w:tcPr>
            <w:tcW w:w="733" w:type="dxa"/>
            <w:vAlign w:val="center"/>
          </w:tcPr>
          <w:p w:rsidR="005E6FFC" w:rsidRPr="009C4A2D" w:rsidRDefault="005E6FFC" w:rsidP="007D5879">
            <w:pPr>
              <w:jc w:val="center"/>
              <w:rPr>
                <w:sz w:val="20"/>
                <w:szCs w:val="20"/>
              </w:rPr>
            </w:pPr>
            <w:r w:rsidRPr="009C4A2D">
              <w:rPr>
                <w:sz w:val="20"/>
                <w:szCs w:val="20"/>
              </w:rPr>
              <w:t>0,16</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Czech R.</w:t>
            </w:r>
          </w:p>
        </w:tc>
        <w:tc>
          <w:tcPr>
            <w:tcW w:w="733" w:type="dxa"/>
            <w:vAlign w:val="center"/>
          </w:tcPr>
          <w:p w:rsidR="005E6FFC" w:rsidRPr="009C4A2D" w:rsidRDefault="005E6FFC" w:rsidP="007D5879">
            <w:pPr>
              <w:jc w:val="center"/>
              <w:rPr>
                <w:sz w:val="20"/>
                <w:szCs w:val="20"/>
              </w:rPr>
            </w:pPr>
            <w:r w:rsidRPr="009C4A2D">
              <w:rPr>
                <w:sz w:val="20"/>
                <w:szCs w:val="20"/>
              </w:rPr>
              <w:t>0,17</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2.</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Poland</w:t>
            </w:r>
          </w:p>
        </w:tc>
        <w:tc>
          <w:tcPr>
            <w:tcW w:w="733" w:type="dxa"/>
            <w:vAlign w:val="center"/>
          </w:tcPr>
          <w:p w:rsidR="005E6FFC" w:rsidRPr="009C4A2D" w:rsidRDefault="005E6FFC" w:rsidP="007D5879">
            <w:pPr>
              <w:jc w:val="center"/>
              <w:rPr>
                <w:sz w:val="20"/>
                <w:szCs w:val="20"/>
              </w:rPr>
            </w:pPr>
            <w:r w:rsidRPr="009C4A2D">
              <w:rPr>
                <w:sz w:val="20"/>
                <w:szCs w:val="20"/>
              </w:rPr>
              <w:t>0,07</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Poland</w:t>
            </w:r>
          </w:p>
        </w:tc>
        <w:tc>
          <w:tcPr>
            <w:tcW w:w="733" w:type="dxa"/>
            <w:vAlign w:val="center"/>
          </w:tcPr>
          <w:p w:rsidR="005E6FFC" w:rsidRPr="009C4A2D" w:rsidRDefault="005E6FFC" w:rsidP="007D5879">
            <w:pPr>
              <w:jc w:val="center"/>
              <w:rPr>
                <w:sz w:val="20"/>
                <w:szCs w:val="20"/>
              </w:rPr>
            </w:pPr>
            <w:r w:rsidRPr="009C4A2D">
              <w:rPr>
                <w:sz w:val="20"/>
                <w:szCs w:val="20"/>
              </w:rPr>
              <w:t>0,09</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Estonia </w:t>
            </w:r>
          </w:p>
        </w:tc>
        <w:tc>
          <w:tcPr>
            <w:tcW w:w="733" w:type="dxa"/>
            <w:vAlign w:val="center"/>
          </w:tcPr>
          <w:p w:rsidR="005E6FFC" w:rsidRPr="009C4A2D" w:rsidRDefault="005E6FFC" w:rsidP="007D5879">
            <w:pPr>
              <w:jc w:val="center"/>
              <w:rPr>
                <w:sz w:val="20"/>
                <w:szCs w:val="20"/>
              </w:rPr>
            </w:pPr>
            <w:r w:rsidRPr="009C4A2D">
              <w:rPr>
                <w:sz w:val="20"/>
                <w:szCs w:val="20"/>
              </w:rPr>
              <w:t>0,09</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Poland</w:t>
            </w:r>
          </w:p>
        </w:tc>
        <w:tc>
          <w:tcPr>
            <w:tcW w:w="733" w:type="dxa"/>
            <w:vAlign w:val="center"/>
          </w:tcPr>
          <w:p w:rsidR="005E6FFC" w:rsidRPr="009C4A2D" w:rsidRDefault="005E6FFC" w:rsidP="007D5879">
            <w:pPr>
              <w:jc w:val="center"/>
              <w:rPr>
                <w:sz w:val="20"/>
                <w:szCs w:val="20"/>
              </w:rPr>
            </w:pPr>
            <w:r w:rsidRPr="009C4A2D">
              <w:rPr>
                <w:sz w:val="20"/>
                <w:szCs w:val="20"/>
              </w:rPr>
              <w:t>0,09</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3.</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Estonia</w:t>
            </w:r>
          </w:p>
        </w:tc>
        <w:tc>
          <w:tcPr>
            <w:tcW w:w="733" w:type="dxa"/>
            <w:vAlign w:val="center"/>
          </w:tcPr>
          <w:p w:rsidR="005E6FFC" w:rsidRPr="009C4A2D" w:rsidRDefault="005E6FFC" w:rsidP="007D5879">
            <w:pPr>
              <w:jc w:val="center"/>
              <w:rPr>
                <w:sz w:val="20"/>
                <w:szCs w:val="20"/>
              </w:rPr>
            </w:pPr>
            <w:r w:rsidRPr="009C4A2D">
              <w:rPr>
                <w:sz w:val="20"/>
                <w:szCs w:val="20"/>
              </w:rPr>
              <w:t>0,06</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Croatia</w:t>
            </w:r>
          </w:p>
        </w:tc>
        <w:tc>
          <w:tcPr>
            <w:tcW w:w="733" w:type="dxa"/>
            <w:vAlign w:val="center"/>
          </w:tcPr>
          <w:p w:rsidR="005E6FFC" w:rsidRPr="009C4A2D" w:rsidRDefault="005E6FFC" w:rsidP="007D5879">
            <w:pPr>
              <w:jc w:val="center"/>
              <w:rPr>
                <w:sz w:val="20"/>
                <w:szCs w:val="20"/>
              </w:rPr>
            </w:pPr>
            <w:r w:rsidRPr="009C4A2D">
              <w:rPr>
                <w:sz w:val="20"/>
                <w:szCs w:val="20"/>
              </w:rPr>
              <w:t>0,07</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Croatia</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Croatia</w:t>
            </w:r>
          </w:p>
        </w:tc>
        <w:tc>
          <w:tcPr>
            <w:tcW w:w="733" w:type="dxa"/>
            <w:vAlign w:val="center"/>
          </w:tcPr>
          <w:p w:rsidR="005E6FFC" w:rsidRPr="009C4A2D" w:rsidRDefault="005E6FFC" w:rsidP="007D5879">
            <w:pPr>
              <w:jc w:val="center"/>
              <w:rPr>
                <w:sz w:val="20"/>
                <w:szCs w:val="20"/>
              </w:rPr>
            </w:pPr>
            <w:r w:rsidRPr="009C4A2D">
              <w:rPr>
                <w:sz w:val="20"/>
                <w:szCs w:val="20"/>
              </w:rPr>
              <w:t>0,07</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Lithuania </w:t>
            </w:r>
          </w:p>
        </w:tc>
        <w:tc>
          <w:tcPr>
            <w:tcW w:w="733" w:type="dxa"/>
            <w:vAlign w:val="center"/>
          </w:tcPr>
          <w:p w:rsidR="005E6FFC" w:rsidRPr="009C4A2D" w:rsidRDefault="005E6FFC" w:rsidP="007D5879">
            <w:pPr>
              <w:jc w:val="center"/>
              <w:rPr>
                <w:sz w:val="20"/>
                <w:szCs w:val="20"/>
              </w:rPr>
            </w:pPr>
            <w:r w:rsidRPr="009C4A2D">
              <w:rPr>
                <w:sz w:val="20"/>
                <w:szCs w:val="20"/>
              </w:rPr>
              <w:t>0,06</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Estonia</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Poland </w:t>
            </w:r>
          </w:p>
        </w:tc>
        <w:tc>
          <w:tcPr>
            <w:tcW w:w="733" w:type="dxa"/>
            <w:vAlign w:val="center"/>
          </w:tcPr>
          <w:p w:rsidR="005E6FFC" w:rsidRPr="009C4A2D" w:rsidRDefault="005E6FFC" w:rsidP="007D5879">
            <w:pPr>
              <w:jc w:val="center"/>
              <w:rPr>
                <w:sz w:val="20"/>
                <w:szCs w:val="20"/>
              </w:rPr>
            </w:pPr>
            <w:r w:rsidRPr="009C4A2D">
              <w:rPr>
                <w:sz w:val="20"/>
                <w:szCs w:val="20"/>
              </w:rPr>
              <w:t>0,03</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Estonia</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5.</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Hungary</w:t>
            </w:r>
          </w:p>
        </w:tc>
        <w:tc>
          <w:tcPr>
            <w:tcW w:w="733" w:type="dxa"/>
            <w:vAlign w:val="center"/>
          </w:tcPr>
          <w:p w:rsidR="005E6FFC" w:rsidRPr="009C4A2D" w:rsidRDefault="005E6FFC" w:rsidP="007D5879">
            <w:pPr>
              <w:jc w:val="center"/>
              <w:rPr>
                <w:sz w:val="20"/>
                <w:szCs w:val="20"/>
              </w:rPr>
            </w:pPr>
            <w:r w:rsidRPr="009C4A2D">
              <w:rPr>
                <w:sz w:val="20"/>
                <w:szCs w:val="20"/>
              </w:rPr>
              <w:t>0,05</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Lithuania</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Bulgaria </w:t>
            </w:r>
          </w:p>
        </w:tc>
        <w:tc>
          <w:tcPr>
            <w:tcW w:w="733" w:type="dxa"/>
            <w:vAlign w:val="center"/>
          </w:tcPr>
          <w:p w:rsidR="005E6FFC" w:rsidRPr="009C4A2D" w:rsidRDefault="005E6FFC" w:rsidP="007D5879">
            <w:pPr>
              <w:jc w:val="center"/>
              <w:rPr>
                <w:sz w:val="20"/>
                <w:szCs w:val="20"/>
              </w:rPr>
            </w:pPr>
            <w:r w:rsidRPr="009C4A2D">
              <w:rPr>
                <w:sz w:val="20"/>
                <w:szCs w:val="20"/>
              </w:rPr>
              <w:t>0,01</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Lithuania</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6.</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Croatia</w:t>
            </w:r>
          </w:p>
        </w:tc>
        <w:tc>
          <w:tcPr>
            <w:tcW w:w="733" w:type="dxa"/>
            <w:vAlign w:val="center"/>
          </w:tcPr>
          <w:p w:rsidR="005E6FFC" w:rsidRPr="009C4A2D" w:rsidRDefault="005E6FFC" w:rsidP="007D5879">
            <w:pPr>
              <w:jc w:val="center"/>
              <w:rPr>
                <w:sz w:val="20"/>
                <w:szCs w:val="20"/>
              </w:rPr>
            </w:pPr>
            <w:r w:rsidRPr="009C4A2D">
              <w:rPr>
                <w:sz w:val="20"/>
                <w:szCs w:val="20"/>
              </w:rPr>
              <w:t>0,02</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Bosnia</w:t>
            </w:r>
          </w:p>
        </w:tc>
        <w:tc>
          <w:tcPr>
            <w:tcW w:w="733" w:type="dxa"/>
            <w:vAlign w:val="center"/>
          </w:tcPr>
          <w:p w:rsidR="005E6FFC" w:rsidRPr="009C4A2D" w:rsidRDefault="005E6FFC" w:rsidP="007D5879">
            <w:pPr>
              <w:jc w:val="center"/>
              <w:rPr>
                <w:sz w:val="20"/>
                <w:szCs w:val="20"/>
              </w:rPr>
            </w:pPr>
            <w:r w:rsidRPr="009C4A2D">
              <w:rPr>
                <w:sz w:val="20"/>
                <w:szCs w:val="20"/>
              </w:rPr>
              <w:t>0,02</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Macedon. </w:t>
            </w:r>
          </w:p>
        </w:tc>
        <w:tc>
          <w:tcPr>
            <w:tcW w:w="733" w:type="dxa"/>
            <w:vAlign w:val="center"/>
          </w:tcPr>
          <w:p w:rsidR="005E6FFC" w:rsidRPr="009C4A2D" w:rsidRDefault="005E6FFC" w:rsidP="007D5879">
            <w:pPr>
              <w:jc w:val="center"/>
              <w:rPr>
                <w:sz w:val="20"/>
                <w:szCs w:val="20"/>
              </w:rPr>
            </w:pPr>
            <w:r w:rsidRPr="009C4A2D">
              <w:rPr>
                <w:sz w:val="20"/>
                <w:szCs w:val="20"/>
              </w:rPr>
              <w:t>0,01</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Bosnia</w:t>
            </w:r>
          </w:p>
        </w:tc>
        <w:tc>
          <w:tcPr>
            <w:tcW w:w="733" w:type="dxa"/>
            <w:vAlign w:val="center"/>
          </w:tcPr>
          <w:p w:rsidR="005E6FFC" w:rsidRPr="009C4A2D" w:rsidRDefault="005E6FFC" w:rsidP="007D5879">
            <w:pPr>
              <w:jc w:val="center"/>
              <w:rPr>
                <w:sz w:val="20"/>
                <w:szCs w:val="20"/>
              </w:rPr>
            </w:pPr>
            <w:r w:rsidRPr="009C4A2D">
              <w:rPr>
                <w:sz w:val="20"/>
                <w:szCs w:val="20"/>
              </w:rPr>
              <w:t>0,02</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7.</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Macedon. </w:t>
            </w:r>
          </w:p>
        </w:tc>
        <w:tc>
          <w:tcPr>
            <w:tcW w:w="733" w:type="dxa"/>
            <w:vAlign w:val="center"/>
          </w:tcPr>
          <w:p w:rsidR="005E6FFC" w:rsidRPr="009C4A2D" w:rsidRDefault="005E6FFC" w:rsidP="007D5879">
            <w:pPr>
              <w:jc w:val="center"/>
              <w:rPr>
                <w:sz w:val="20"/>
                <w:szCs w:val="20"/>
              </w:rPr>
            </w:pPr>
            <w:r w:rsidRPr="009C4A2D">
              <w:rPr>
                <w:sz w:val="20"/>
                <w:szCs w:val="20"/>
              </w:rPr>
              <w:t>0,00</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Romania </w:t>
            </w:r>
          </w:p>
        </w:tc>
        <w:tc>
          <w:tcPr>
            <w:tcW w:w="733" w:type="dxa"/>
            <w:vAlign w:val="center"/>
          </w:tcPr>
          <w:p w:rsidR="005E6FFC" w:rsidRPr="009C4A2D" w:rsidRDefault="005E6FFC" w:rsidP="007D5879">
            <w:pPr>
              <w:jc w:val="center"/>
              <w:rPr>
                <w:sz w:val="20"/>
                <w:szCs w:val="20"/>
              </w:rPr>
            </w:pPr>
            <w:r w:rsidRPr="009C4A2D">
              <w:rPr>
                <w:sz w:val="20"/>
                <w:szCs w:val="20"/>
              </w:rPr>
              <w:t>-0,00</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Bosnia </w:t>
            </w:r>
          </w:p>
        </w:tc>
        <w:tc>
          <w:tcPr>
            <w:tcW w:w="733" w:type="dxa"/>
            <w:vAlign w:val="center"/>
          </w:tcPr>
          <w:p w:rsidR="005E6FFC" w:rsidRPr="009C4A2D" w:rsidRDefault="005E6FFC" w:rsidP="007D5879">
            <w:pPr>
              <w:jc w:val="center"/>
              <w:rPr>
                <w:sz w:val="20"/>
                <w:szCs w:val="20"/>
              </w:rPr>
            </w:pPr>
            <w:r w:rsidRPr="009C4A2D">
              <w:rPr>
                <w:sz w:val="20"/>
                <w:szCs w:val="20"/>
              </w:rPr>
              <w:t>-0,01</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 xml:space="preserve">Romania </w:t>
            </w:r>
          </w:p>
        </w:tc>
        <w:tc>
          <w:tcPr>
            <w:tcW w:w="733" w:type="dxa"/>
            <w:vAlign w:val="center"/>
          </w:tcPr>
          <w:p w:rsidR="005E6FFC" w:rsidRPr="009C4A2D" w:rsidRDefault="005E6FFC" w:rsidP="007D5879">
            <w:pPr>
              <w:jc w:val="center"/>
              <w:rPr>
                <w:sz w:val="20"/>
                <w:szCs w:val="20"/>
              </w:rPr>
            </w:pPr>
            <w:r w:rsidRPr="009C4A2D">
              <w:rPr>
                <w:sz w:val="20"/>
                <w:szCs w:val="20"/>
              </w:rPr>
              <w:t>-0,00</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8.</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Bulgaria</w:t>
            </w:r>
          </w:p>
        </w:tc>
        <w:tc>
          <w:tcPr>
            <w:tcW w:w="733" w:type="dxa"/>
            <w:vAlign w:val="center"/>
          </w:tcPr>
          <w:p w:rsidR="005E6FFC" w:rsidRPr="009C4A2D" w:rsidRDefault="005E6FFC" w:rsidP="007D5879">
            <w:pPr>
              <w:jc w:val="center"/>
              <w:rPr>
                <w:sz w:val="20"/>
                <w:szCs w:val="20"/>
              </w:rPr>
            </w:pPr>
            <w:r w:rsidRPr="009C4A2D">
              <w:rPr>
                <w:sz w:val="20"/>
                <w:szCs w:val="20"/>
              </w:rPr>
              <w:t>0,00</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Macedon.</w:t>
            </w:r>
          </w:p>
        </w:tc>
        <w:tc>
          <w:tcPr>
            <w:tcW w:w="733" w:type="dxa"/>
            <w:vAlign w:val="center"/>
          </w:tcPr>
          <w:p w:rsidR="005E6FFC" w:rsidRPr="009C4A2D" w:rsidRDefault="005E6FFC" w:rsidP="007D5879">
            <w:pPr>
              <w:jc w:val="center"/>
              <w:rPr>
                <w:sz w:val="20"/>
                <w:szCs w:val="20"/>
              </w:rPr>
            </w:pPr>
            <w:r w:rsidRPr="009C4A2D">
              <w:rPr>
                <w:sz w:val="20"/>
                <w:szCs w:val="20"/>
              </w:rPr>
              <w:t>-0,01</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Lithuania </w:t>
            </w:r>
          </w:p>
        </w:tc>
        <w:tc>
          <w:tcPr>
            <w:tcW w:w="733" w:type="dxa"/>
            <w:vAlign w:val="center"/>
          </w:tcPr>
          <w:p w:rsidR="005E6FFC" w:rsidRPr="009C4A2D" w:rsidRDefault="005E6FFC" w:rsidP="007D5879">
            <w:pPr>
              <w:jc w:val="center"/>
              <w:rPr>
                <w:sz w:val="20"/>
                <w:szCs w:val="20"/>
              </w:rPr>
            </w:pPr>
            <w:r w:rsidRPr="009C4A2D">
              <w:rPr>
                <w:sz w:val="20"/>
                <w:szCs w:val="20"/>
              </w:rPr>
              <w:t>-0,01</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Macedon.</w:t>
            </w:r>
          </w:p>
        </w:tc>
        <w:tc>
          <w:tcPr>
            <w:tcW w:w="733" w:type="dxa"/>
            <w:vAlign w:val="center"/>
          </w:tcPr>
          <w:p w:rsidR="005E6FFC" w:rsidRPr="009C4A2D" w:rsidRDefault="005E6FFC" w:rsidP="007D5879">
            <w:pPr>
              <w:jc w:val="center"/>
              <w:rPr>
                <w:sz w:val="20"/>
                <w:szCs w:val="20"/>
              </w:rPr>
            </w:pPr>
            <w:r w:rsidRPr="009C4A2D">
              <w:rPr>
                <w:sz w:val="20"/>
                <w:szCs w:val="20"/>
              </w:rPr>
              <w:t>-0,01</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9.</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Bosnia </w:t>
            </w:r>
          </w:p>
        </w:tc>
        <w:tc>
          <w:tcPr>
            <w:tcW w:w="733" w:type="dxa"/>
            <w:vAlign w:val="center"/>
          </w:tcPr>
          <w:p w:rsidR="005E6FFC" w:rsidRPr="009C4A2D" w:rsidRDefault="005E6FFC" w:rsidP="007D5879">
            <w:pPr>
              <w:jc w:val="center"/>
              <w:rPr>
                <w:sz w:val="20"/>
                <w:szCs w:val="20"/>
              </w:rPr>
            </w:pPr>
            <w:r w:rsidRPr="009C4A2D">
              <w:rPr>
                <w:sz w:val="20"/>
                <w:szCs w:val="20"/>
              </w:rPr>
              <w:t>-0,02</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Albania </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Turkey </w:t>
            </w:r>
          </w:p>
        </w:tc>
        <w:tc>
          <w:tcPr>
            <w:tcW w:w="733" w:type="dxa"/>
            <w:vAlign w:val="center"/>
          </w:tcPr>
          <w:p w:rsidR="005E6FFC" w:rsidRPr="009C4A2D" w:rsidRDefault="005E6FFC" w:rsidP="007D5879">
            <w:pPr>
              <w:jc w:val="center"/>
              <w:rPr>
                <w:sz w:val="20"/>
                <w:szCs w:val="20"/>
              </w:rPr>
            </w:pPr>
            <w:r w:rsidRPr="009C4A2D">
              <w:rPr>
                <w:sz w:val="20"/>
                <w:szCs w:val="20"/>
              </w:rPr>
              <w:t>-0,02</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 xml:space="preserve">Albania </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10.</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Latvia</w:t>
            </w:r>
          </w:p>
        </w:tc>
        <w:tc>
          <w:tcPr>
            <w:tcW w:w="733" w:type="dxa"/>
            <w:vAlign w:val="center"/>
          </w:tcPr>
          <w:p w:rsidR="005E6FFC" w:rsidRPr="009C4A2D" w:rsidRDefault="005E6FFC" w:rsidP="007D5879">
            <w:pPr>
              <w:jc w:val="center"/>
              <w:rPr>
                <w:sz w:val="20"/>
                <w:szCs w:val="20"/>
              </w:rPr>
            </w:pPr>
            <w:r w:rsidRPr="009C4A2D">
              <w:rPr>
                <w:sz w:val="20"/>
                <w:szCs w:val="20"/>
              </w:rPr>
              <w:t>-0,02</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Turkey </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Hungary </w:t>
            </w:r>
          </w:p>
        </w:tc>
        <w:tc>
          <w:tcPr>
            <w:tcW w:w="733" w:type="dxa"/>
            <w:vAlign w:val="center"/>
          </w:tcPr>
          <w:p w:rsidR="005E6FFC" w:rsidRPr="009C4A2D" w:rsidRDefault="005E6FFC" w:rsidP="007D5879">
            <w:pPr>
              <w:jc w:val="center"/>
              <w:rPr>
                <w:sz w:val="20"/>
                <w:szCs w:val="20"/>
              </w:rPr>
            </w:pPr>
            <w:r w:rsidRPr="009C4A2D">
              <w:rPr>
                <w:sz w:val="20"/>
                <w:szCs w:val="20"/>
              </w:rPr>
              <w:t>-0,03</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 xml:space="preserve">Turkey </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11.</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Albania </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Hungary</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Albania </w:t>
            </w:r>
          </w:p>
        </w:tc>
        <w:tc>
          <w:tcPr>
            <w:tcW w:w="733" w:type="dxa"/>
            <w:vAlign w:val="center"/>
          </w:tcPr>
          <w:p w:rsidR="005E6FFC" w:rsidRPr="009C4A2D" w:rsidRDefault="005E6FFC" w:rsidP="007D5879">
            <w:pPr>
              <w:jc w:val="center"/>
              <w:rPr>
                <w:sz w:val="20"/>
                <w:szCs w:val="20"/>
              </w:rPr>
            </w:pPr>
            <w:r w:rsidRPr="009C4A2D">
              <w:rPr>
                <w:sz w:val="20"/>
                <w:szCs w:val="20"/>
              </w:rPr>
              <w:t>-0,05</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Hungary</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12.</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Turkey</w:t>
            </w:r>
          </w:p>
        </w:tc>
        <w:tc>
          <w:tcPr>
            <w:tcW w:w="733" w:type="dxa"/>
            <w:vAlign w:val="center"/>
          </w:tcPr>
          <w:p w:rsidR="005E6FFC" w:rsidRPr="009C4A2D" w:rsidRDefault="005E6FFC" w:rsidP="007D5879">
            <w:pPr>
              <w:jc w:val="center"/>
              <w:rPr>
                <w:sz w:val="20"/>
                <w:szCs w:val="20"/>
              </w:rPr>
            </w:pPr>
            <w:r w:rsidRPr="009C4A2D">
              <w:rPr>
                <w:sz w:val="20"/>
                <w:szCs w:val="20"/>
              </w:rPr>
              <w:t>-0,05</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 xml:space="preserve">Bulgaria </w:t>
            </w:r>
          </w:p>
        </w:tc>
        <w:tc>
          <w:tcPr>
            <w:tcW w:w="733" w:type="dxa"/>
            <w:vAlign w:val="center"/>
          </w:tcPr>
          <w:p w:rsidR="005E6FFC" w:rsidRPr="009C4A2D" w:rsidRDefault="005E6FFC" w:rsidP="007D5879">
            <w:pPr>
              <w:jc w:val="center"/>
              <w:rPr>
                <w:sz w:val="20"/>
                <w:szCs w:val="20"/>
              </w:rPr>
            </w:pPr>
            <w:r w:rsidRPr="009C4A2D">
              <w:rPr>
                <w:sz w:val="20"/>
                <w:szCs w:val="20"/>
              </w:rPr>
              <w:t>-0,04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 xml:space="preserve">Romania </w:t>
            </w:r>
          </w:p>
        </w:tc>
        <w:tc>
          <w:tcPr>
            <w:tcW w:w="733" w:type="dxa"/>
            <w:vAlign w:val="center"/>
          </w:tcPr>
          <w:p w:rsidR="005E6FFC" w:rsidRPr="009C4A2D" w:rsidRDefault="005E6FFC" w:rsidP="007D5879">
            <w:pPr>
              <w:jc w:val="center"/>
              <w:rPr>
                <w:sz w:val="20"/>
                <w:szCs w:val="20"/>
              </w:rPr>
            </w:pPr>
            <w:r w:rsidRPr="009C4A2D">
              <w:rPr>
                <w:sz w:val="20"/>
                <w:szCs w:val="20"/>
              </w:rPr>
              <w:t>-0,06</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 xml:space="preserve">Bulgaria </w:t>
            </w:r>
          </w:p>
        </w:tc>
        <w:tc>
          <w:tcPr>
            <w:tcW w:w="733" w:type="dxa"/>
            <w:vAlign w:val="center"/>
          </w:tcPr>
          <w:p w:rsidR="005E6FFC" w:rsidRPr="009C4A2D" w:rsidRDefault="005E6FFC" w:rsidP="007D5879">
            <w:pPr>
              <w:jc w:val="center"/>
              <w:rPr>
                <w:sz w:val="20"/>
                <w:szCs w:val="20"/>
              </w:rPr>
            </w:pPr>
            <w:r w:rsidRPr="009C4A2D">
              <w:rPr>
                <w:sz w:val="20"/>
                <w:szCs w:val="20"/>
              </w:rPr>
              <w:t>-0,04</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13.</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Romania</w:t>
            </w:r>
          </w:p>
        </w:tc>
        <w:tc>
          <w:tcPr>
            <w:tcW w:w="733" w:type="dxa"/>
            <w:vAlign w:val="center"/>
          </w:tcPr>
          <w:p w:rsidR="005E6FFC" w:rsidRPr="009C4A2D" w:rsidRDefault="005E6FFC" w:rsidP="007D5879">
            <w:pPr>
              <w:jc w:val="center"/>
              <w:rPr>
                <w:sz w:val="20"/>
                <w:szCs w:val="20"/>
              </w:rPr>
            </w:pPr>
            <w:r w:rsidRPr="009C4A2D">
              <w:rPr>
                <w:sz w:val="20"/>
                <w:szCs w:val="20"/>
              </w:rPr>
              <w:t>-0,12</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17" w:type="dxa"/>
            <w:vAlign w:val="center"/>
          </w:tcPr>
          <w:p w:rsidR="005E6FFC" w:rsidRPr="009C4A2D" w:rsidRDefault="005E6FFC" w:rsidP="007D5879">
            <w:pPr>
              <w:rPr>
                <w:sz w:val="20"/>
                <w:szCs w:val="20"/>
              </w:rPr>
            </w:pPr>
            <w:r w:rsidRPr="009C4A2D">
              <w:rPr>
                <w:sz w:val="20"/>
                <w:szCs w:val="20"/>
              </w:rPr>
              <w:t>Latvia</w:t>
            </w:r>
          </w:p>
        </w:tc>
        <w:tc>
          <w:tcPr>
            <w:tcW w:w="733" w:type="dxa"/>
            <w:vAlign w:val="center"/>
          </w:tcPr>
          <w:p w:rsidR="005E6FFC" w:rsidRPr="009C4A2D" w:rsidRDefault="005E6FFC" w:rsidP="007D5879">
            <w:pPr>
              <w:jc w:val="center"/>
              <w:rPr>
                <w:sz w:val="20"/>
                <w:szCs w:val="20"/>
              </w:rPr>
            </w:pPr>
            <w:r w:rsidRPr="009C4A2D">
              <w:rPr>
                <w:sz w:val="20"/>
                <w:szCs w:val="20"/>
              </w:rPr>
              <w:t>-0,06</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Moldova</w:t>
            </w:r>
          </w:p>
        </w:tc>
        <w:tc>
          <w:tcPr>
            <w:tcW w:w="733" w:type="dxa"/>
            <w:vAlign w:val="center"/>
          </w:tcPr>
          <w:p w:rsidR="005E6FFC" w:rsidRPr="009C4A2D" w:rsidRDefault="005E6FFC" w:rsidP="007D5879">
            <w:pPr>
              <w:jc w:val="center"/>
              <w:rPr>
                <w:sz w:val="20"/>
                <w:szCs w:val="20"/>
              </w:rPr>
            </w:pPr>
            <w:r w:rsidRPr="009C4A2D">
              <w:rPr>
                <w:sz w:val="20"/>
                <w:szCs w:val="20"/>
              </w:rPr>
              <w:t>-0,07</w:t>
            </w:r>
          </w:p>
        </w:tc>
        <w:tc>
          <w:tcPr>
            <w:tcW w:w="394" w:type="dxa"/>
            <w:vAlign w:val="center"/>
          </w:tcPr>
          <w:p w:rsidR="005E6FFC" w:rsidRPr="009C4A2D" w:rsidRDefault="005E6FFC" w:rsidP="007D5879">
            <w:pPr>
              <w:jc w:val="center"/>
              <w:rPr>
                <w:sz w:val="20"/>
                <w:szCs w:val="20"/>
              </w:rPr>
            </w:pPr>
            <w:r w:rsidRPr="009C4A2D">
              <w:rPr>
                <w:sz w:val="20"/>
                <w:szCs w:val="20"/>
              </w:rPr>
              <w:t>1</w:t>
            </w:r>
          </w:p>
        </w:tc>
        <w:tc>
          <w:tcPr>
            <w:tcW w:w="1028" w:type="dxa"/>
            <w:vAlign w:val="center"/>
          </w:tcPr>
          <w:p w:rsidR="005E6FFC" w:rsidRPr="009C4A2D" w:rsidRDefault="005E6FFC" w:rsidP="007D5879">
            <w:pPr>
              <w:rPr>
                <w:sz w:val="20"/>
                <w:szCs w:val="20"/>
              </w:rPr>
            </w:pPr>
            <w:r w:rsidRPr="009C4A2D">
              <w:rPr>
                <w:sz w:val="20"/>
                <w:szCs w:val="20"/>
              </w:rPr>
              <w:t>Latvia</w:t>
            </w:r>
          </w:p>
        </w:tc>
        <w:tc>
          <w:tcPr>
            <w:tcW w:w="733" w:type="dxa"/>
            <w:vAlign w:val="center"/>
          </w:tcPr>
          <w:p w:rsidR="005E6FFC" w:rsidRPr="009C4A2D" w:rsidRDefault="005E6FFC" w:rsidP="007D5879">
            <w:pPr>
              <w:jc w:val="center"/>
              <w:rPr>
                <w:sz w:val="20"/>
                <w:szCs w:val="20"/>
              </w:rPr>
            </w:pPr>
            <w:r w:rsidRPr="009C4A2D">
              <w:rPr>
                <w:sz w:val="20"/>
                <w:szCs w:val="20"/>
              </w:rPr>
              <w:t>-0,06</w:t>
            </w:r>
          </w:p>
        </w:tc>
      </w:tr>
      <w:tr w:rsidR="005E6FFC" w:rsidRPr="009C4A2D" w:rsidTr="007D5879">
        <w:trPr>
          <w:jc w:val="center"/>
        </w:trPr>
        <w:tc>
          <w:tcPr>
            <w:tcW w:w="473" w:type="dxa"/>
            <w:vAlign w:val="center"/>
          </w:tcPr>
          <w:p w:rsidR="005E6FFC" w:rsidRPr="009C4A2D" w:rsidRDefault="005E6FFC" w:rsidP="007D5879">
            <w:pPr>
              <w:jc w:val="center"/>
              <w:rPr>
                <w:sz w:val="20"/>
                <w:szCs w:val="20"/>
              </w:rPr>
            </w:pPr>
            <w:r w:rsidRPr="009C4A2D">
              <w:rPr>
                <w:sz w:val="20"/>
                <w:szCs w:val="20"/>
              </w:rPr>
              <w:t>14.</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0</w:t>
            </w:r>
          </w:p>
        </w:tc>
        <w:tc>
          <w:tcPr>
            <w:tcW w:w="1017" w:type="dxa"/>
            <w:vAlign w:val="center"/>
          </w:tcPr>
          <w:p w:rsidR="005E6FFC" w:rsidRPr="009C4A2D" w:rsidRDefault="005E6FFC" w:rsidP="007D5879">
            <w:pPr>
              <w:rPr>
                <w:sz w:val="20"/>
                <w:szCs w:val="20"/>
              </w:rPr>
            </w:pPr>
            <w:r w:rsidRPr="009C4A2D">
              <w:rPr>
                <w:sz w:val="20"/>
                <w:szCs w:val="20"/>
              </w:rPr>
              <w:t>Moldova</w:t>
            </w:r>
          </w:p>
        </w:tc>
        <w:tc>
          <w:tcPr>
            <w:tcW w:w="733" w:type="dxa"/>
            <w:vAlign w:val="center"/>
          </w:tcPr>
          <w:p w:rsidR="005E6FFC" w:rsidRPr="009C4A2D" w:rsidRDefault="005E6FFC" w:rsidP="007D5879">
            <w:pPr>
              <w:jc w:val="center"/>
              <w:rPr>
                <w:sz w:val="20"/>
                <w:szCs w:val="20"/>
              </w:rPr>
            </w:pPr>
            <w:r w:rsidRPr="009C4A2D">
              <w:rPr>
                <w:sz w:val="20"/>
                <w:szCs w:val="20"/>
              </w:rPr>
              <w:t>-0,17</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17" w:type="dxa"/>
            <w:vAlign w:val="center"/>
          </w:tcPr>
          <w:p w:rsidR="005E6FFC" w:rsidRPr="009C4A2D" w:rsidRDefault="005E6FFC" w:rsidP="007D5879">
            <w:pPr>
              <w:rPr>
                <w:sz w:val="20"/>
                <w:szCs w:val="20"/>
              </w:rPr>
            </w:pPr>
            <w:r w:rsidRPr="009C4A2D">
              <w:rPr>
                <w:sz w:val="20"/>
                <w:szCs w:val="20"/>
              </w:rPr>
              <w:t>Moldova</w:t>
            </w:r>
          </w:p>
        </w:tc>
        <w:tc>
          <w:tcPr>
            <w:tcW w:w="733" w:type="dxa"/>
            <w:vAlign w:val="center"/>
          </w:tcPr>
          <w:p w:rsidR="005E6FFC" w:rsidRPr="009C4A2D" w:rsidRDefault="005E6FFC" w:rsidP="007D5879">
            <w:pPr>
              <w:jc w:val="center"/>
              <w:rPr>
                <w:sz w:val="20"/>
                <w:szCs w:val="20"/>
              </w:rPr>
            </w:pPr>
            <w:r w:rsidRPr="009C4A2D">
              <w:rPr>
                <w:sz w:val="20"/>
                <w:szCs w:val="20"/>
              </w:rPr>
              <w:t>-0,18</w:t>
            </w:r>
          </w:p>
        </w:tc>
        <w:tc>
          <w:tcPr>
            <w:tcW w:w="394" w:type="dxa"/>
            <w:vAlign w:val="center"/>
          </w:tcPr>
          <w:p w:rsidR="005E6FFC" w:rsidRPr="009C4A2D" w:rsidRDefault="005E6FFC" w:rsidP="007D5879">
            <w:pPr>
              <w:jc w:val="center"/>
              <w:rPr>
                <w:color w:val="000000"/>
                <w:sz w:val="20"/>
                <w:szCs w:val="20"/>
              </w:rPr>
            </w:pPr>
            <w:r w:rsidRPr="009C4A2D">
              <w:rPr>
                <w:color w:val="000000"/>
                <w:sz w:val="20"/>
                <w:szCs w:val="20"/>
              </w:rPr>
              <w:t>1</w:t>
            </w:r>
          </w:p>
        </w:tc>
        <w:tc>
          <w:tcPr>
            <w:tcW w:w="1017" w:type="dxa"/>
            <w:vAlign w:val="center"/>
          </w:tcPr>
          <w:p w:rsidR="005E6FFC" w:rsidRPr="009C4A2D" w:rsidRDefault="005E6FFC" w:rsidP="007D5879">
            <w:pPr>
              <w:rPr>
                <w:sz w:val="20"/>
                <w:szCs w:val="20"/>
              </w:rPr>
            </w:pPr>
            <w:r w:rsidRPr="009C4A2D">
              <w:rPr>
                <w:sz w:val="20"/>
                <w:szCs w:val="20"/>
              </w:rPr>
              <w:t>Latvia</w:t>
            </w:r>
          </w:p>
        </w:tc>
        <w:tc>
          <w:tcPr>
            <w:tcW w:w="733" w:type="dxa"/>
            <w:vAlign w:val="center"/>
          </w:tcPr>
          <w:p w:rsidR="005E6FFC" w:rsidRPr="009C4A2D" w:rsidRDefault="005E6FFC" w:rsidP="007D5879">
            <w:pPr>
              <w:jc w:val="center"/>
              <w:rPr>
                <w:sz w:val="20"/>
                <w:szCs w:val="20"/>
              </w:rPr>
            </w:pPr>
            <w:r w:rsidRPr="009C4A2D">
              <w:rPr>
                <w:sz w:val="20"/>
                <w:szCs w:val="20"/>
              </w:rPr>
              <w:t>-0,07</w:t>
            </w:r>
          </w:p>
        </w:tc>
        <w:tc>
          <w:tcPr>
            <w:tcW w:w="394" w:type="dxa"/>
            <w:vAlign w:val="center"/>
          </w:tcPr>
          <w:p w:rsidR="005E6FFC" w:rsidRPr="009C4A2D" w:rsidRDefault="005E6FFC" w:rsidP="007D5879">
            <w:pPr>
              <w:jc w:val="center"/>
              <w:rPr>
                <w:sz w:val="20"/>
                <w:szCs w:val="20"/>
              </w:rPr>
            </w:pPr>
            <w:r w:rsidRPr="009C4A2D">
              <w:rPr>
                <w:sz w:val="20"/>
                <w:szCs w:val="20"/>
              </w:rPr>
              <w:t>0</w:t>
            </w:r>
          </w:p>
        </w:tc>
        <w:tc>
          <w:tcPr>
            <w:tcW w:w="1028" w:type="dxa"/>
            <w:vAlign w:val="center"/>
          </w:tcPr>
          <w:p w:rsidR="005E6FFC" w:rsidRPr="009C4A2D" w:rsidRDefault="005E6FFC" w:rsidP="007D5879">
            <w:pPr>
              <w:rPr>
                <w:sz w:val="20"/>
                <w:szCs w:val="20"/>
              </w:rPr>
            </w:pPr>
            <w:r w:rsidRPr="009C4A2D">
              <w:rPr>
                <w:sz w:val="20"/>
                <w:szCs w:val="20"/>
              </w:rPr>
              <w:t>Moldova</w:t>
            </w:r>
          </w:p>
        </w:tc>
        <w:tc>
          <w:tcPr>
            <w:tcW w:w="733" w:type="dxa"/>
            <w:vAlign w:val="center"/>
          </w:tcPr>
          <w:p w:rsidR="005E6FFC" w:rsidRPr="009C4A2D" w:rsidRDefault="005E6FFC" w:rsidP="007D5879">
            <w:pPr>
              <w:jc w:val="center"/>
              <w:rPr>
                <w:sz w:val="20"/>
                <w:szCs w:val="20"/>
              </w:rPr>
            </w:pPr>
            <w:r w:rsidRPr="009C4A2D">
              <w:rPr>
                <w:sz w:val="20"/>
                <w:szCs w:val="20"/>
              </w:rPr>
              <w:t>-0,18</w:t>
            </w:r>
          </w:p>
        </w:tc>
      </w:tr>
    </w:tbl>
    <w:p w:rsidR="005E6FFC" w:rsidRPr="009C4A2D" w:rsidRDefault="005E6FFC" w:rsidP="00F46359">
      <w:pPr>
        <w:pStyle w:val="Notesoncontributors"/>
        <w:rPr>
          <w:i/>
          <w:sz w:val="16"/>
          <w:szCs w:val="16"/>
          <w:lang w:val="en-US"/>
        </w:rPr>
      </w:pPr>
      <w:r w:rsidRPr="009C4A2D">
        <w:rPr>
          <w:rStyle w:val="FootnoteReference"/>
          <w:b/>
          <w:sz w:val="22"/>
          <w:szCs w:val="22"/>
          <w:lang w:val="en-US"/>
        </w:rPr>
        <w:t>i</w:t>
      </w:r>
      <w:r w:rsidRPr="009C4A2D">
        <w:rPr>
          <w:i/>
          <w:sz w:val="16"/>
          <w:szCs w:val="16"/>
          <w:lang w:val="en-US"/>
        </w:rPr>
        <w:t>Intermediate target: 0-inflation targeting; 1-exchange rate targeting</w:t>
      </w:r>
    </w:p>
    <w:p w:rsidR="005E6FFC" w:rsidRPr="009C4A2D" w:rsidRDefault="005E6FFC" w:rsidP="00F46359">
      <w:pPr>
        <w:pStyle w:val="BodyText"/>
        <w:ind w:left="770" w:hanging="784"/>
        <w:jc w:val="left"/>
        <w:rPr>
          <w:b w:val="0"/>
          <w:lang w:val="en-US"/>
        </w:rPr>
      </w:pPr>
    </w:p>
    <w:p w:rsidR="005E6FFC" w:rsidRPr="009C4A2D" w:rsidRDefault="005E6FFC" w:rsidP="00F46359">
      <w:pPr>
        <w:pStyle w:val="BodyText"/>
        <w:ind w:left="770" w:hanging="784"/>
        <w:jc w:val="left"/>
        <w:rPr>
          <w:b w:val="0"/>
          <w:sz w:val="22"/>
          <w:szCs w:val="22"/>
          <w:lang w:val="en-US"/>
        </w:rPr>
      </w:pPr>
      <w:r w:rsidRPr="009C4A2D">
        <w:rPr>
          <w:b w:val="0"/>
          <w:sz w:val="22"/>
          <w:szCs w:val="22"/>
          <w:lang w:val="en-US"/>
        </w:rPr>
        <w:t>Table 6: PROMETHEE II complete ranking in 2005, 2007, 2009 and 2011 according to selected indicators</w:t>
      </w:r>
    </w:p>
    <w:p w:rsidR="005E6FFC" w:rsidRPr="009C4A2D" w:rsidRDefault="005E6FFC" w:rsidP="0080715A">
      <w:pPr>
        <w:pStyle w:val="BodyText"/>
        <w:ind w:left="770" w:hanging="784"/>
        <w:jc w:val="left"/>
        <w:rPr>
          <w:b w:val="0"/>
          <w:lang w:val="en-US"/>
        </w:rPr>
      </w:pPr>
    </w:p>
    <w:p w:rsidR="005E6FFC" w:rsidRPr="009C4A2D" w:rsidRDefault="005E6FFC" w:rsidP="0080715A">
      <w:pPr>
        <w:jc w:val="both"/>
      </w:pPr>
      <w:r w:rsidRPr="009C4A2D">
        <w:rPr>
          <w:lang w:eastAsia="en-GB"/>
        </w:rPr>
        <w:t xml:space="preserve">Finally, binary logistic regressions were estimated to find dependence of </w:t>
      </w:r>
      <w:r w:rsidRPr="009C4A2D">
        <w:rPr>
          <w:rFonts w:cs="Arial"/>
          <w:szCs w:val="20"/>
        </w:rPr>
        <w:t xml:space="preserve">countries’ </w:t>
      </w:r>
      <w:r w:rsidRPr="009C4A2D">
        <w:rPr>
          <w:lang w:eastAsia="en-GB"/>
        </w:rPr>
        <w:t xml:space="preserve">intermediate targeting and values of selected economic variables. Significant odds ratio would show if country with </w:t>
      </w:r>
      <w:r w:rsidRPr="009C4A2D">
        <w:t>exchange rate targeting</w:t>
      </w:r>
      <w:r w:rsidRPr="009C4A2D">
        <w:rPr>
          <w:lang w:eastAsia="en-GB"/>
        </w:rPr>
        <w:t xml:space="preserve"> (or</w:t>
      </w:r>
      <w:r w:rsidRPr="009C4A2D">
        <w:t xml:space="preserve"> inflation targeting)</w:t>
      </w:r>
      <w:r w:rsidRPr="009C4A2D">
        <w:rPr>
          <w:lang w:eastAsia="en-GB"/>
        </w:rPr>
        <w:t xml:space="preserve"> has probability for higher appropriate criteria. </w:t>
      </w:r>
      <w:r w:rsidRPr="009C4A2D">
        <w:t>Parameters were evaluated by iterative maximum-likelihood estimation (MLE). All models indicate that there are no significant parameters i.e. there are no probabilities for higher or lower values of economic variables in some country if country use inflation targeting or exchange rate targeting.</w:t>
      </w:r>
    </w:p>
    <w:p w:rsidR="005E6FFC" w:rsidRPr="009C4A2D" w:rsidRDefault="005E6FFC" w:rsidP="00B03F36">
      <w:pPr>
        <w:tabs>
          <w:tab w:val="left" w:pos="9000"/>
        </w:tabs>
        <w:ind w:right="68"/>
        <w:jc w:val="both"/>
        <w:rPr>
          <w:sz w:val="22"/>
          <w:szCs w:val="22"/>
        </w:rPr>
      </w:pPr>
    </w:p>
    <w:p w:rsidR="005E6FFC" w:rsidRPr="009C4A2D" w:rsidRDefault="005E6FFC" w:rsidP="00B77AEA">
      <w:pPr>
        <w:pStyle w:val="ListParagraph"/>
        <w:numPr>
          <w:ilvl w:val="0"/>
          <w:numId w:val="21"/>
        </w:numPr>
        <w:autoSpaceDE w:val="0"/>
        <w:autoSpaceDN w:val="0"/>
        <w:adjustRightInd w:val="0"/>
        <w:rPr>
          <w:b/>
          <w:sz w:val="28"/>
          <w:szCs w:val="28"/>
          <w:lang w:eastAsia="hr-HR"/>
        </w:rPr>
      </w:pPr>
      <w:r w:rsidRPr="009C4A2D">
        <w:rPr>
          <w:b/>
          <w:sz w:val="28"/>
          <w:szCs w:val="28"/>
          <w:lang w:eastAsia="hr-HR"/>
        </w:rPr>
        <w:t>Conclusion</w:t>
      </w:r>
    </w:p>
    <w:p w:rsidR="005E6FFC" w:rsidRPr="009C4A2D" w:rsidRDefault="005E6FFC" w:rsidP="00B77AEA">
      <w:pPr>
        <w:autoSpaceDE w:val="0"/>
        <w:autoSpaceDN w:val="0"/>
        <w:adjustRightInd w:val="0"/>
        <w:rPr>
          <w:b/>
          <w:lang w:eastAsia="hr-HR"/>
        </w:rPr>
      </w:pPr>
    </w:p>
    <w:p w:rsidR="005E6FFC" w:rsidRPr="009C4A2D" w:rsidRDefault="005E6FFC" w:rsidP="00DC21C5">
      <w:pPr>
        <w:autoSpaceDE w:val="0"/>
        <w:autoSpaceDN w:val="0"/>
        <w:adjustRightInd w:val="0"/>
        <w:jc w:val="both"/>
        <w:rPr>
          <w:lang w:eastAsia="hr-HR"/>
        </w:rPr>
      </w:pPr>
      <w:r w:rsidRPr="009C4A2D">
        <w:rPr>
          <w:lang w:eastAsia="hr-HR"/>
        </w:rPr>
        <w:t>Intermediate target serves as a nominal anchor for monetary policy and tend to resolve the problem of time-lag in conducting monetary policy by which central bank accomplishes and maintains its ultimate goal of monetary policy. The practical choice of intermediate target in CEE countries refers to inflation and exchange rate targeting. The aim of this paper was to cluster countries according to their choice of intermediate target and selected variables</w:t>
      </w:r>
      <w:r w:rsidRPr="009C4A2D">
        <w:t xml:space="preserve">. </w:t>
      </w:r>
      <w:r w:rsidRPr="009C4A2D">
        <w:rPr>
          <w:lang w:eastAsia="hr-HR"/>
        </w:rPr>
        <w:t>First clustering, that took in consideration all variables, did not divided countries considering the choice of intermediate target. Variables economic development (GDP p/c), domestic credit to private sector and capital openness index contributed to difference between clusters in each selected year. In second clustering variables that were not proved significant in any year in first clustering and that were significant in previous research were taken in analyses. The results show that foreign currency denominated loans, Transparency and Accountability of central bank and Governance and Conduct of Monetary Policy contribute to difference between clusters. This means that countries that have inflation targeting and countries that have exchange rate targeting significantly differ when these indicators are taken into account.</w:t>
      </w:r>
    </w:p>
    <w:p w:rsidR="005E6FFC" w:rsidRPr="009C4A2D" w:rsidRDefault="005E6FFC" w:rsidP="008200D4">
      <w:pPr>
        <w:autoSpaceDE w:val="0"/>
        <w:autoSpaceDN w:val="0"/>
        <w:adjustRightInd w:val="0"/>
        <w:spacing w:before="120"/>
        <w:jc w:val="both"/>
        <w:rPr>
          <w:lang w:eastAsia="en-GB"/>
        </w:rPr>
      </w:pPr>
      <w:r w:rsidRPr="009C4A2D">
        <w:rPr>
          <w:lang w:eastAsia="hr-HR"/>
        </w:rPr>
        <w:t xml:space="preserve">Moreover, using PROMETHEE method countries with respect to selected variables were ranked. However, no </w:t>
      </w:r>
      <w:r w:rsidRPr="009C4A2D">
        <w:rPr>
          <w:lang w:eastAsia="en-GB"/>
        </w:rPr>
        <w:t>significant difference in general economic performance considering the choice of intermediate target was found. In difference to other relevant characteristics mentioned above, the choice of intermediate target does not affect macroeconomic and financial performance of CEE countries. Moreover, even inflation targeting countries slowly decrease in ranking as crisis emerges (2009), in 2011 the ranking is the same as before crisis (2007). Therefore, we do not find any significant changes in ranking of countries considering overall economic performance in period before and after financial crisis.</w:t>
      </w:r>
    </w:p>
    <w:p w:rsidR="005E6FFC" w:rsidRPr="00001F65" w:rsidRDefault="005E6FFC" w:rsidP="00F46359">
      <w:pPr>
        <w:autoSpaceDE w:val="0"/>
        <w:autoSpaceDN w:val="0"/>
        <w:adjustRightInd w:val="0"/>
        <w:spacing w:before="120"/>
        <w:jc w:val="both"/>
        <w:rPr>
          <w:lang w:eastAsia="hr-HR"/>
        </w:rPr>
      </w:pPr>
      <w:r w:rsidRPr="009C4A2D">
        <w:rPr>
          <w:lang w:eastAsia="en-GB"/>
        </w:rPr>
        <w:t>Also, binary logistic regressions showed that there are no s</w:t>
      </w:r>
      <w:r w:rsidRPr="009C4A2D">
        <w:t>ignificant parameters i.e. there are</w:t>
      </w:r>
      <w:r w:rsidRPr="00001F65">
        <w:t xml:space="preserve"> no probabilities for higher or lower values of economic variables in some country if country use inflation or exchange rate targeting.</w:t>
      </w:r>
      <w:r w:rsidRPr="00001F65">
        <w:rPr>
          <w:lang w:eastAsia="en-GB"/>
        </w:rPr>
        <w:t xml:space="preserve"> </w:t>
      </w:r>
      <w:r>
        <w:rPr>
          <w:lang w:eastAsia="en-GB"/>
        </w:rPr>
        <w:t>Generally,</w:t>
      </w:r>
      <w:r w:rsidRPr="00001F65">
        <w:rPr>
          <w:lang w:eastAsia="en-GB"/>
        </w:rPr>
        <w:t xml:space="preserve"> in line with expected results and previous research, the choice of intermediate targets i.e. inflation targeting is significantly interrelated with</w:t>
      </w:r>
      <w:r w:rsidRPr="00001F65">
        <w:t xml:space="preserve"> lower FC loans to total loans and higher Transparency and Accountability (CBTA)</w:t>
      </w:r>
      <w:r>
        <w:t xml:space="preserve"> and </w:t>
      </w:r>
      <w:r w:rsidRPr="00001F65">
        <w:rPr>
          <w:i/>
        </w:rPr>
        <w:t>vice versa</w:t>
      </w:r>
      <w:r>
        <w:t xml:space="preserve"> for exchange rate targeting.</w:t>
      </w:r>
    </w:p>
    <w:p w:rsidR="005E6FFC" w:rsidRPr="00001F65" w:rsidRDefault="005E6FFC" w:rsidP="001C3835">
      <w:pPr>
        <w:autoSpaceDE w:val="0"/>
        <w:autoSpaceDN w:val="0"/>
        <w:adjustRightInd w:val="0"/>
        <w:rPr>
          <w:b/>
          <w:lang w:eastAsia="hr-HR"/>
        </w:rPr>
      </w:pPr>
    </w:p>
    <w:p w:rsidR="005E6FFC" w:rsidRPr="00001F65" w:rsidRDefault="005E6FFC" w:rsidP="001C3835">
      <w:pPr>
        <w:autoSpaceDE w:val="0"/>
        <w:autoSpaceDN w:val="0"/>
        <w:adjustRightInd w:val="0"/>
        <w:rPr>
          <w:b/>
          <w:sz w:val="28"/>
          <w:szCs w:val="28"/>
          <w:lang w:eastAsia="hr-HR"/>
        </w:rPr>
      </w:pPr>
      <w:r w:rsidRPr="00001F65">
        <w:rPr>
          <w:b/>
          <w:sz w:val="28"/>
          <w:szCs w:val="28"/>
          <w:lang w:eastAsia="hr-HR"/>
        </w:rPr>
        <w:t>References</w:t>
      </w:r>
    </w:p>
    <w:p w:rsidR="005E6FFC" w:rsidRPr="00001F65" w:rsidRDefault="005E6FFC" w:rsidP="001C3835">
      <w:pPr>
        <w:autoSpaceDE w:val="0"/>
        <w:autoSpaceDN w:val="0"/>
        <w:adjustRightInd w:val="0"/>
        <w:rPr>
          <w:sz w:val="22"/>
          <w:szCs w:val="22"/>
          <w:lang w:eastAsia="hr-HR"/>
        </w:rPr>
      </w:pPr>
    </w:p>
    <w:p w:rsidR="005E6FFC" w:rsidRPr="009C4A2D" w:rsidRDefault="005E6FFC" w:rsidP="00490816">
      <w:pPr>
        <w:numPr>
          <w:ilvl w:val="0"/>
          <w:numId w:val="16"/>
        </w:numPr>
        <w:ind w:left="540" w:hanging="540"/>
        <w:jc w:val="both"/>
      </w:pPr>
      <w:r w:rsidRPr="009C4A2D">
        <w:t>Anderberg, Michael R. (1973). Cluster Analysis for Applications. New York: Academic Press.</w:t>
      </w:r>
    </w:p>
    <w:p w:rsidR="005E6FFC" w:rsidRPr="009C4A2D" w:rsidRDefault="005E6FFC" w:rsidP="005303E6">
      <w:pPr>
        <w:numPr>
          <w:ilvl w:val="0"/>
          <w:numId w:val="16"/>
        </w:numPr>
        <w:ind w:left="540" w:hanging="540"/>
        <w:jc w:val="both"/>
      </w:pPr>
      <w:r w:rsidRPr="009C4A2D">
        <w:t>Arestis, P., Sawyer, M. (2008). New consensus macroeconomics and inflation targeting: Keynesian critique. Economia e sociedade, Campinas, v. 17, Numero especial, 631-655.</w:t>
      </w:r>
    </w:p>
    <w:p w:rsidR="005E6FFC" w:rsidRPr="009C4A2D" w:rsidRDefault="005E6FFC" w:rsidP="005303E6">
      <w:pPr>
        <w:numPr>
          <w:ilvl w:val="0"/>
          <w:numId w:val="16"/>
        </w:numPr>
        <w:ind w:left="540" w:hanging="540"/>
        <w:jc w:val="both"/>
      </w:pPr>
      <w:r w:rsidRPr="009C4A2D">
        <w:t>Beblavy, M. (2007.). Monetary Policy in Central Europe. Routledge Press. USA and Canada.</w:t>
      </w:r>
    </w:p>
    <w:p w:rsidR="005E6FFC" w:rsidRPr="009C4A2D" w:rsidRDefault="005E6FFC" w:rsidP="005303E6">
      <w:pPr>
        <w:numPr>
          <w:ilvl w:val="0"/>
          <w:numId w:val="16"/>
        </w:numPr>
        <w:ind w:left="540" w:hanging="540"/>
        <w:jc w:val="both"/>
      </w:pPr>
      <w:r w:rsidRPr="009C4A2D">
        <w:t>Bofinger, P. (2001). Monetary Policy: Goals, Institutions, Strategies, and Instruments. Oxrod Press.</w:t>
      </w:r>
    </w:p>
    <w:p w:rsidR="005E6FFC" w:rsidRPr="009C4A2D" w:rsidRDefault="005E6FFC" w:rsidP="00490816">
      <w:pPr>
        <w:numPr>
          <w:ilvl w:val="0"/>
          <w:numId w:val="16"/>
        </w:numPr>
        <w:ind w:left="540" w:hanging="540"/>
        <w:jc w:val="both"/>
      </w:pPr>
      <w:r w:rsidRPr="009C4A2D">
        <w:t>Brans, J. P. and Vincke P. (1985). A Preference Ranking Organisation Method for MCDM. Management Science, 31(6), 647-656.</w:t>
      </w:r>
    </w:p>
    <w:p w:rsidR="005E6FFC" w:rsidRPr="009C4A2D" w:rsidRDefault="005E6FFC" w:rsidP="00490816">
      <w:pPr>
        <w:numPr>
          <w:ilvl w:val="0"/>
          <w:numId w:val="16"/>
        </w:numPr>
        <w:ind w:left="540" w:hanging="540"/>
        <w:jc w:val="both"/>
      </w:pPr>
      <w:r w:rsidRPr="009C4A2D">
        <w:t>Brans, J. P. and Mareschal B. (1989). The PROMETHEE Methods for MCDM, the PROMCALC, GAIA and Bankadviser Software. Working Paper STOO/224, Vrije Universiteit Brussel.</w:t>
      </w:r>
    </w:p>
    <w:p w:rsidR="005E6FFC" w:rsidRPr="009C4A2D" w:rsidRDefault="005E6FFC" w:rsidP="00490816">
      <w:pPr>
        <w:numPr>
          <w:ilvl w:val="0"/>
          <w:numId w:val="16"/>
        </w:numPr>
        <w:ind w:left="540" w:hanging="540"/>
        <w:jc w:val="both"/>
      </w:pPr>
      <w:r w:rsidRPr="009C4A2D">
        <w:t>Chinn, M. D., Ito, H. (2007).  A New Measure of Financial Openness. Portland State University.</w:t>
      </w:r>
    </w:p>
    <w:p w:rsidR="005E6FFC" w:rsidRPr="009C4A2D" w:rsidRDefault="005E6FFC" w:rsidP="00490816">
      <w:pPr>
        <w:numPr>
          <w:ilvl w:val="0"/>
          <w:numId w:val="16"/>
        </w:numPr>
        <w:ind w:left="540" w:hanging="540"/>
        <w:jc w:val="both"/>
      </w:pPr>
      <w:r w:rsidRPr="009C4A2D">
        <w:t>Dumiter, F. C. (2009). Measuring Central Bank Independence and Inflation Targeting in Developed and Developing Countries. West University of Timisoara, Romania, Faculty of Economics and Business Administration Timisoara Journal of Economics, 2(2), 83-100.</w:t>
      </w:r>
    </w:p>
    <w:p w:rsidR="005E6FFC" w:rsidRPr="009C4A2D" w:rsidRDefault="005E6FFC" w:rsidP="00D85E7F">
      <w:pPr>
        <w:numPr>
          <w:ilvl w:val="0"/>
          <w:numId w:val="16"/>
        </w:numPr>
        <w:ind w:left="540" w:hanging="540"/>
        <w:jc w:val="both"/>
      </w:pPr>
      <w:r w:rsidRPr="009C4A2D">
        <w:t>Herrero, A. G., del Rio, P. (2003). Financial Stability and the Design of Monetary Policy. Banco de Espana Working Paper No. 0315.</w:t>
      </w:r>
    </w:p>
    <w:p w:rsidR="005E6FFC" w:rsidRPr="009C4A2D" w:rsidRDefault="005E6FFC" w:rsidP="00D85E7F">
      <w:pPr>
        <w:numPr>
          <w:ilvl w:val="0"/>
          <w:numId w:val="16"/>
        </w:numPr>
        <w:ind w:left="540" w:hanging="540"/>
        <w:jc w:val="both"/>
      </w:pPr>
      <w:r w:rsidRPr="009C4A2D">
        <w:t>Houben, A. C. F. J. (2000.). The Evolution of Monetary Policy Strategies in Europe. Kluwer Academic Publishers. Boston.</w:t>
      </w:r>
    </w:p>
    <w:p w:rsidR="005E6FFC" w:rsidRPr="009C4A2D" w:rsidRDefault="005E6FFC" w:rsidP="00490816">
      <w:pPr>
        <w:numPr>
          <w:ilvl w:val="0"/>
          <w:numId w:val="16"/>
        </w:numPr>
        <w:ind w:left="540" w:hanging="540"/>
        <w:jc w:val="both"/>
      </w:pPr>
      <w:r w:rsidRPr="009C4A2D">
        <w:t>Mishkin, F. S. (2000a). From Monetary Targeting to Inflation Targeting: Lessons from the Industrialized Countries. Conference Stabilization and Monetary Policy: The International Experience.</w:t>
      </w:r>
    </w:p>
    <w:p w:rsidR="005E6FFC" w:rsidRPr="00001F65" w:rsidRDefault="005E6FFC" w:rsidP="00490816">
      <w:pPr>
        <w:numPr>
          <w:ilvl w:val="0"/>
          <w:numId w:val="16"/>
        </w:numPr>
        <w:ind w:left="540" w:hanging="540"/>
        <w:jc w:val="both"/>
      </w:pPr>
      <w:r w:rsidRPr="009C4A2D">
        <w:t>Mishkin, F. S. (2001b). Monetary Policy Strategies for Emerging Market Countries: Case Studies from Latin America. Conference „Current Issues in Emerging Market</w:t>
      </w:r>
      <w:r w:rsidRPr="00001F65">
        <w:t xml:space="preserve"> Economies“, Dubrovnik, Croatia.</w:t>
      </w:r>
    </w:p>
    <w:p w:rsidR="005E6FFC" w:rsidRPr="00001F65" w:rsidRDefault="005E6FFC" w:rsidP="00490816">
      <w:pPr>
        <w:numPr>
          <w:ilvl w:val="0"/>
          <w:numId w:val="16"/>
        </w:numPr>
        <w:ind w:left="540" w:hanging="540"/>
        <w:jc w:val="both"/>
      </w:pPr>
      <w:r w:rsidRPr="00001F65">
        <w:t>Mohanty, M. S., Turner, P. (2008). Monetary policy transmission in emerging market economies: what is new? in BIS Papers, No. 35 Transmission mechanism for monetary policy in emerging market economies, 1-61.</w:t>
      </w:r>
    </w:p>
    <w:p w:rsidR="005E6FFC" w:rsidRPr="00001F65" w:rsidRDefault="005E6FFC" w:rsidP="00490816">
      <w:pPr>
        <w:pStyle w:val="IATED-References"/>
        <w:numPr>
          <w:ilvl w:val="0"/>
          <w:numId w:val="16"/>
        </w:numPr>
        <w:spacing w:before="0" w:after="0"/>
        <w:ind w:left="540" w:hanging="540"/>
        <w:jc w:val="both"/>
        <w:rPr>
          <w:rFonts w:ascii="Times New Roman" w:hAnsi="Times New Roman"/>
          <w:sz w:val="24"/>
          <w:lang w:val="en-US"/>
        </w:rPr>
      </w:pPr>
      <w:r w:rsidRPr="00001F65">
        <w:rPr>
          <w:rFonts w:ascii="Times New Roman" w:hAnsi="Times New Roman"/>
          <w:sz w:val="24"/>
          <w:lang w:val="en-US"/>
        </w:rPr>
        <w:t>Pivac S., Pečarić M. (2010). Multivariate and Multicriterial Foreign Debt Analysis of the selected Transition Countries. Croatian Operational Research Review, 1, 124-137.</w:t>
      </w:r>
    </w:p>
    <w:p w:rsidR="005E6FFC" w:rsidRPr="00001F65" w:rsidRDefault="005E6FFC" w:rsidP="00B03F36">
      <w:pPr>
        <w:numPr>
          <w:ilvl w:val="0"/>
          <w:numId w:val="16"/>
        </w:numPr>
        <w:ind w:left="540" w:hanging="540"/>
        <w:jc w:val="both"/>
      </w:pPr>
      <w:r w:rsidRPr="00001F65">
        <w:t>Squeff, G. C., Oreiro, J., L., de Paula, L. F. (2010). A Post-Keynesian Proposal for a Flexible Institutional Arrangement of Inflation Targeting Regime in Emerging Economies. University of Brasilia, Department of Economics Working Paper No. 336.</w:t>
      </w:r>
    </w:p>
    <w:p w:rsidR="005E6FFC" w:rsidRPr="00001F65" w:rsidRDefault="005E6FFC" w:rsidP="00B03F36">
      <w:pPr>
        <w:pStyle w:val="IATED-References"/>
        <w:numPr>
          <w:ilvl w:val="0"/>
          <w:numId w:val="16"/>
        </w:numPr>
        <w:spacing w:before="0" w:after="0"/>
        <w:ind w:left="540" w:hanging="540"/>
        <w:jc w:val="both"/>
        <w:rPr>
          <w:rFonts w:ascii="Times New Roman" w:hAnsi="Times New Roman"/>
          <w:sz w:val="24"/>
          <w:lang w:val="en-US"/>
        </w:rPr>
      </w:pPr>
      <w:r w:rsidRPr="00001F65">
        <w:rPr>
          <w:rFonts w:ascii="Times New Roman" w:hAnsi="Times New Roman"/>
          <w:sz w:val="24"/>
          <w:lang w:val="en-US"/>
        </w:rPr>
        <w:t>Tomić-Plazibat N., Aljinović Z. and Pivac S. (2010). Risk Assessment of Transition Economies by Multivariate and Multicriteria Approaches. Panoeconomicus, 57(3), 283-302.</w:t>
      </w:r>
    </w:p>
    <w:p w:rsidR="005E6FFC" w:rsidRPr="00001F65" w:rsidRDefault="005E6FFC" w:rsidP="00B03F36">
      <w:pPr>
        <w:numPr>
          <w:ilvl w:val="0"/>
          <w:numId w:val="16"/>
        </w:numPr>
        <w:ind w:left="540" w:hanging="540"/>
        <w:jc w:val="both"/>
      </w:pPr>
      <w:r w:rsidRPr="00001F65">
        <w:t>Visković, J. (2012). The Determinants of Intermediate Target's Choice of Monetary Policy Strategy: The Case of CEE Countries.</w:t>
      </w:r>
      <w:r w:rsidRPr="00001F65">
        <w:rPr>
          <w:rFonts w:eastAsia="SimSun"/>
        </w:rPr>
        <w:t xml:space="preserve"> </w:t>
      </w:r>
      <w:r w:rsidRPr="00001F65">
        <w:t>The Business Review, Cambridge, 19(2), 296-303.</w:t>
      </w:r>
    </w:p>
    <w:sectPr w:rsidR="005E6FFC" w:rsidRPr="00001F65" w:rsidSect="003D1D07">
      <w:headerReference w:type="even" r:id="rId39"/>
      <w:headerReference w:type="default" r:id="rId40"/>
      <w:headerReference w:type="first" r:id="rId41"/>
      <w:footerReference w:type="first" r:id="rId42"/>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FFC" w:rsidRDefault="005E6FFC">
      <w:r>
        <w:separator/>
      </w:r>
    </w:p>
  </w:endnote>
  <w:endnote w:type="continuationSeparator" w:id="0">
    <w:p w:rsidR="005E6FFC" w:rsidRDefault="005E6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C" w:rsidRPr="00FE7BC6" w:rsidRDefault="005E6FFC" w:rsidP="006C0348">
    <w:pPr>
      <w:pStyle w:val="Footer"/>
      <w:ind w:right="360"/>
      <w:rPr>
        <w:sz w:val="18"/>
        <w:szCs w:val="18"/>
      </w:rPr>
    </w:pPr>
    <w:r w:rsidRPr="006C0348">
      <w:rPr>
        <w:sz w:val="18"/>
        <w:szCs w:val="18"/>
        <w:lang w:val="hr-HR" w:eastAsia="hr-HR"/>
      </w:rPr>
      <w:t>http://www.hdoi.hr/crorr-journal</w:t>
    </w:r>
    <w:r>
      <w:rPr>
        <w:sz w:val="18"/>
        <w:szCs w:val="18"/>
        <w:lang w:val="hr-HR" w:eastAsia="hr-HR"/>
      </w:rPr>
      <w:t xml:space="preserve">                                                                  </w:t>
    </w:r>
    <w:r w:rsidRPr="00FE7BC6">
      <w:rPr>
        <w:sz w:val="18"/>
        <w:szCs w:val="18"/>
        <w:lang w:val="hr-HR" w:eastAsia="hr-HR"/>
      </w:rPr>
      <w:t>©201x Croatian Operational Research Society</w:t>
    </w:r>
  </w:p>
  <w:p w:rsidR="005E6FFC" w:rsidRDefault="005E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FFC" w:rsidRDefault="005E6FFC">
      <w:r>
        <w:separator/>
      </w:r>
    </w:p>
  </w:footnote>
  <w:footnote w:type="continuationSeparator" w:id="0">
    <w:p w:rsidR="005E6FFC" w:rsidRDefault="005E6FFC">
      <w:r>
        <w:continuationSeparator/>
      </w:r>
    </w:p>
  </w:footnote>
  <w:footnote w:id="1">
    <w:p w:rsidR="005E6FFC" w:rsidRDefault="005E6FFC" w:rsidP="00CC518F">
      <w:pPr>
        <w:pStyle w:val="FootnoteText"/>
      </w:pPr>
      <w:r>
        <w:rPr>
          <w:rStyle w:val="FootnoteReference"/>
        </w:rPr>
        <w:footnoteRef/>
      </w:r>
      <w:r>
        <w:t xml:space="preserve"> </w:t>
      </w:r>
      <w:r>
        <w:rPr>
          <w:lang w:val="hr-HR"/>
        </w:rPr>
        <w:t>Corresponding author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C" w:rsidRPr="005273B2" w:rsidRDefault="005E6FFC" w:rsidP="003D1D07">
    <w:pPr>
      <w:pStyle w:val="Header"/>
      <w:jc w:val="center"/>
      <w:rPr>
        <w:sz w:val="18"/>
        <w:szCs w:val="18"/>
      </w:rPr>
    </w:pPr>
    <w:r>
      <w:rPr>
        <w:sz w:val="18"/>
        <w:szCs w:val="18"/>
      </w:rPr>
      <w:t>Mario Pečarić, Snježana Pivac and Josip Visković</w:t>
    </w:r>
  </w:p>
  <w:p w:rsidR="005E6FFC" w:rsidRPr="005273B2" w:rsidRDefault="005E6FFC" w:rsidP="005273B2">
    <w:pPr>
      <w:pStyle w:val="Header"/>
      <w:rPr>
        <w:noProof/>
      </w:rPr>
    </w:pPr>
    <w:fldSimple w:instr=" PAGE   \* MERGEFORMAT ">
      <w:r>
        <w:rPr>
          <w:noProof/>
        </w:rPr>
        <w:t>2</w:t>
      </w:r>
    </w:fldSimple>
  </w:p>
  <w:p w:rsidR="005E6FFC" w:rsidRDefault="005E6FFC" w:rsidP="005273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C" w:rsidRPr="0035464D" w:rsidRDefault="005E6FFC" w:rsidP="003D1D07">
    <w:pPr>
      <w:pStyle w:val="Header"/>
      <w:jc w:val="center"/>
      <w:rPr>
        <w:sz w:val="18"/>
        <w:szCs w:val="18"/>
      </w:rPr>
    </w:pPr>
    <w:r w:rsidRPr="0035464D">
      <w:rPr>
        <w:sz w:val="18"/>
        <w:szCs w:val="18"/>
      </w:rPr>
      <w:t>Multivariate Approach to Determination of Intermediate Target of Monetary Policy Strategy in CEE Countries</w:t>
    </w:r>
  </w:p>
  <w:p w:rsidR="005E6FFC" w:rsidRPr="005273B2" w:rsidRDefault="005E6FFC" w:rsidP="006C0348">
    <w:pPr>
      <w:pStyle w:val="Header"/>
      <w:jc w:val="right"/>
    </w:pPr>
    <w:fldSimple w:instr=" PAGE   \* MERGEFORMAT ">
      <w:r>
        <w:rPr>
          <w:noProof/>
        </w:rPr>
        <w:t>3</w:t>
      </w:r>
    </w:fldSimple>
  </w:p>
  <w:p w:rsidR="005E6FFC" w:rsidRDefault="005E6F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C" w:rsidRPr="0041497A" w:rsidRDefault="005E6FFC" w:rsidP="006C0348">
    <w:pPr>
      <w:pStyle w:val="Header"/>
      <w:rPr>
        <w:sz w:val="20"/>
      </w:rPr>
    </w:pPr>
    <w:r w:rsidRPr="0041497A">
      <w:rPr>
        <w:sz w:val="20"/>
      </w:rPr>
      <w:t>Croatian Operational Research Review</w:t>
    </w:r>
  </w:p>
  <w:p w:rsidR="005E6FFC" w:rsidRPr="0041497A" w:rsidRDefault="005E6FFC" w:rsidP="006C0348">
    <w:pPr>
      <w:pStyle w:val="Header"/>
      <w:rPr>
        <w:sz w:val="20"/>
      </w:rPr>
    </w:pPr>
    <w:r w:rsidRPr="0041497A">
      <w:rPr>
        <w:sz w:val="20"/>
      </w:rPr>
      <w:t>CRORR x (201x)</w:t>
    </w:r>
    <w:r>
      <w:rPr>
        <w:sz w:val="20"/>
      </w:rPr>
      <w:t>, 1-5</w:t>
    </w:r>
  </w:p>
  <w:p w:rsidR="005E6FFC" w:rsidRDefault="005E6F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F46"/>
    <w:multiLevelType w:val="multilevel"/>
    <w:tmpl w:val="2B188482"/>
    <w:lvl w:ilvl="0">
      <w:start w:val="3"/>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2033"/>
        </w:tabs>
        <w:ind w:left="2033" w:hanging="600"/>
      </w:pPr>
      <w:rPr>
        <w:rFonts w:cs="Times New Roman" w:hint="default"/>
      </w:rPr>
    </w:lvl>
    <w:lvl w:ilvl="2">
      <w:start w:val="1"/>
      <w:numFmt w:val="decimal"/>
      <w:lvlText w:val="%1.%2.%3."/>
      <w:lvlJc w:val="left"/>
      <w:pPr>
        <w:tabs>
          <w:tab w:val="num" w:pos="3586"/>
        </w:tabs>
        <w:ind w:left="3586" w:hanging="720"/>
      </w:pPr>
      <w:rPr>
        <w:rFonts w:cs="Times New Roman" w:hint="default"/>
      </w:rPr>
    </w:lvl>
    <w:lvl w:ilvl="3">
      <w:start w:val="1"/>
      <w:numFmt w:val="decimal"/>
      <w:lvlText w:val="%1.%2.%3.%4."/>
      <w:lvlJc w:val="left"/>
      <w:pPr>
        <w:tabs>
          <w:tab w:val="num" w:pos="5019"/>
        </w:tabs>
        <w:ind w:left="5019" w:hanging="720"/>
      </w:pPr>
      <w:rPr>
        <w:rFonts w:cs="Times New Roman" w:hint="default"/>
      </w:rPr>
    </w:lvl>
    <w:lvl w:ilvl="4">
      <w:start w:val="1"/>
      <w:numFmt w:val="decimal"/>
      <w:lvlText w:val="%1.%2.%3.%4.%5."/>
      <w:lvlJc w:val="left"/>
      <w:pPr>
        <w:tabs>
          <w:tab w:val="num" w:pos="6812"/>
        </w:tabs>
        <w:ind w:left="6812" w:hanging="1080"/>
      </w:pPr>
      <w:rPr>
        <w:rFonts w:cs="Times New Roman" w:hint="default"/>
      </w:rPr>
    </w:lvl>
    <w:lvl w:ilvl="5">
      <w:start w:val="1"/>
      <w:numFmt w:val="decimal"/>
      <w:lvlText w:val="%1.%2.%3.%4.%5.%6."/>
      <w:lvlJc w:val="left"/>
      <w:pPr>
        <w:tabs>
          <w:tab w:val="num" w:pos="8245"/>
        </w:tabs>
        <w:ind w:left="8245" w:hanging="1080"/>
      </w:pPr>
      <w:rPr>
        <w:rFonts w:cs="Times New Roman" w:hint="default"/>
      </w:rPr>
    </w:lvl>
    <w:lvl w:ilvl="6">
      <w:start w:val="1"/>
      <w:numFmt w:val="decimal"/>
      <w:lvlText w:val="%1.%2.%3.%4.%5.%6.%7."/>
      <w:lvlJc w:val="left"/>
      <w:pPr>
        <w:tabs>
          <w:tab w:val="num" w:pos="10038"/>
        </w:tabs>
        <w:ind w:left="10038" w:hanging="1440"/>
      </w:pPr>
      <w:rPr>
        <w:rFonts w:cs="Times New Roman" w:hint="default"/>
      </w:rPr>
    </w:lvl>
    <w:lvl w:ilvl="7">
      <w:start w:val="1"/>
      <w:numFmt w:val="decimal"/>
      <w:lvlText w:val="%1.%2.%3.%4.%5.%6.%7.%8."/>
      <w:lvlJc w:val="left"/>
      <w:pPr>
        <w:tabs>
          <w:tab w:val="num" w:pos="11471"/>
        </w:tabs>
        <w:ind w:left="11471" w:hanging="1440"/>
      </w:pPr>
      <w:rPr>
        <w:rFonts w:cs="Times New Roman" w:hint="default"/>
      </w:rPr>
    </w:lvl>
    <w:lvl w:ilvl="8">
      <w:start w:val="1"/>
      <w:numFmt w:val="decimal"/>
      <w:lvlText w:val="%1.%2.%3.%4.%5.%6.%7.%8.%9."/>
      <w:lvlJc w:val="left"/>
      <w:pPr>
        <w:tabs>
          <w:tab w:val="num" w:pos="13264"/>
        </w:tabs>
        <w:ind w:left="13264" w:hanging="1800"/>
      </w:pPr>
      <w:rPr>
        <w:rFonts w:cs="Times New Roman" w:hint="default"/>
      </w:rPr>
    </w:lvl>
  </w:abstractNum>
  <w:abstractNum w:abstractNumId="1">
    <w:nsid w:val="04BD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7035BF"/>
    <w:multiLevelType w:val="hybridMultilevel"/>
    <w:tmpl w:val="333842B0"/>
    <w:lvl w:ilvl="0" w:tplc="985CA9E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E05082D"/>
    <w:multiLevelType w:val="multilevel"/>
    <w:tmpl w:val="95EE5B3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244D99"/>
    <w:multiLevelType w:val="hybridMultilevel"/>
    <w:tmpl w:val="A45CF102"/>
    <w:lvl w:ilvl="0" w:tplc="CEF05862">
      <w:start w:val="1"/>
      <w:numFmt w:val="decimal"/>
      <w:lvlText w:val="[%1]"/>
      <w:lvlJc w:val="left"/>
      <w:pPr>
        <w:ind w:left="360" w:hanging="360"/>
      </w:pPr>
      <w:rPr>
        <w:rFonts w:cs="Times New Roman" w:hint="default"/>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nsid w:val="1E043B1B"/>
    <w:multiLevelType w:val="hybridMultilevel"/>
    <w:tmpl w:val="1E669690"/>
    <w:lvl w:ilvl="0" w:tplc="A99AFA62">
      <w:start w:val="1"/>
      <w:numFmt w:val="decimal"/>
      <w:lvlText w:val="%1)"/>
      <w:lvlJc w:val="left"/>
      <w:pPr>
        <w:tabs>
          <w:tab w:val="num" w:pos="720"/>
        </w:tabs>
        <w:ind w:left="720" w:hanging="363"/>
      </w:pPr>
      <w:rPr>
        <w:rFonts w:cs="Times New Roman" w:hint="default"/>
        <w:b w:val="0"/>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E097357"/>
    <w:multiLevelType w:val="hybridMultilevel"/>
    <w:tmpl w:val="087847E8"/>
    <w:lvl w:ilvl="0" w:tplc="04090001">
      <w:start w:val="1"/>
      <w:numFmt w:val="bullet"/>
      <w:lvlText w:val=""/>
      <w:lvlJc w:val="left"/>
      <w:pPr>
        <w:tabs>
          <w:tab w:val="num" w:pos="720"/>
        </w:tabs>
        <w:ind w:left="720" w:hanging="360"/>
      </w:pPr>
      <w:rPr>
        <w:rFonts w:ascii="Symbol" w:hAnsi="Symbol" w:hint="default"/>
      </w:rPr>
    </w:lvl>
    <w:lvl w:ilvl="1" w:tplc="1E94950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B2A3225"/>
    <w:multiLevelType w:val="hybridMultilevel"/>
    <w:tmpl w:val="0080751E"/>
    <w:lvl w:ilvl="0" w:tplc="9AC4EE3E">
      <w:start w:val="1"/>
      <w:numFmt w:val="decimal"/>
      <w:lvlText w:val="%1."/>
      <w:lvlJc w:val="left"/>
      <w:pPr>
        <w:tabs>
          <w:tab w:val="num" w:pos="720"/>
        </w:tabs>
        <w:ind w:left="720" w:hanging="360"/>
      </w:pPr>
      <w:rPr>
        <w:rFonts w:cs="Times New Roman"/>
        <w:b/>
      </w:rPr>
    </w:lvl>
    <w:lvl w:ilvl="1" w:tplc="3DE87362">
      <w:start w:val="3"/>
      <w:numFmt w:val="bullet"/>
      <w:lvlText w:val="-"/>
      <w:lvlJc w:val="left"/>
      <w:pPr>
        <w:tabs>
          <w:tab w:val="num" w:pos="1440"/>
        </w:tabs>
        <w:ind w:left="1440" w:hanging="360"/>
      </w:pPr>
      <w:rPr>
        <w:rFonts w:ascii="Times New Roman" w:eastAsia="SimSu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305A3A1D"/>
    <w:multiLevelType w:val="hybridMultilevel"/>
    <w:tmpl w:val="A59CE6D8"/>
    <w:lvl w:ilvl="0" w:tplc="6C103D60">
      <w:start w:val="1"/>
      <w:numFmt w:val="decimal"/>
      <w:pStyle w:val="IATED-References"/>
      <w:lvlText w:val="[%1]"/>
      <w:lvlJc w:val="left"/>
      <w:pPr>
        <w:tabs>
          <w:tab w:val="num" w:pos="360"/>
        </w:tabs>
        <w:ind w:left="36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6FC1197"/>
    <w:multiLevelType w:val="hybridMultilevel"/>
    <w:tmpl w:val="77AC81D8"/>
    <w:lvl w:ilvl="0" w:tplc="B5203324">
      <w:start w:val="759"/>
      <w:numFmt w:val="decimal"/>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D8C753C"/>
    <w:multiLevelType w:val="hybridMultilevel"/>
    <w:tmpl w:val="BE9E586A"/>
    <w:lvl w:ilvl="0" w:tplc="3378D052">
      <w:start w:val="1"/>
      <w:numFmt w:val="bullet"/>
      <w:pStyle w:val="Bulletedlis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27B17CA"/>
    <w:multiLevelType w:val="hybridMultilevel"/>
    <w:tmpl w:val="4F6AEF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330499D"/>
    <w:multiLevelType w:val="hybridMultilevel"/>
    <w:tmpl w:val="7FB6E4F4"/>
    <w:lvl w:ilvl="0" w:tplc="CEF05862">
      <w:start w:val="1"/>
      <w:numFmt w:val="decimal"/>
      <w:lvlText w:val="[%1]"/>
      <w:lvlJc w:val="left"/>
      <w:pPr>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nsid w:val="447B72F8"/>
    <w:multiLevelType w:val="hybridMultilevel"/>
    <w:tmpl w:val="7436D0F2"/>
    <w:lvl w:ilvl="0" w:tplc="B3AA0684">
      <w:start w:val="776"/>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212FAB"/>
    <w:multiLevelType w:val="hybridMultilevel"/>
    <w:tmpl w:val="D84C7F5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5">
    <w:nsid w:val="47C17BAB"/>
    <w:multiLevelType w:val="multilevel"/>
    <w:tmpl w:val="2C8C742E"/>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5084DF7"/>
    <w:multiLevelType w:val="multilevel"/>
    <w:tmpl w:val="6AC2ED8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82F447B"/>
    <w:multiLevelType w:val="multilevel"/>
    <w:tmpl w:val="EA5ED04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F1D2F0D"/>
    <w:multiLevelType w:val="multilevel"/>
    <w:tmpl w:val="7D06AC9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2F7693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nsid w:val="63F5010E"/>
    <w:multiLevelType w:val="hybridMultilevel"/>
    <w:tmpl w:val="632037CE"/>
    <w:lvl w:ilvl="0" w:tplc="22A6A870">
      <w:start w:val="871"/>
      <w:numFmt w:val="decimal"/>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D937E2C"/>
    <w:multiLevelType w:val="hybridMultilevel"/>
    <w:tmpl w:val="892CC9DC"/>
    <w:lvl w:ilvl="0" w:tplc="22DE19E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3">
    <w:nsid w:val="712E4C2E"/>
    <w:multiLevelType w:val="multilevel"/>
    <w:tmpl w:val="529240F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9"/>
  </w:num>
  <w:num w:numId="3">
    <w:abstractNumId w:val="21"/>
  </w:num>
  <w:num w:numId="4">
    <w:abstractNumId w:val="11"/>
  </w:num>
  <w:num w:numId="5">
    <w:abstractNumId w:val="14"/>
  </w:num>
  <w:num w:numId="6">
    <w:abstractNumId w:val="20"/>
  </w:num>
  <w:num w:numId="7">
    <w:abstractNumId w:val="1"/>
  </w:num>
  <w:num w:numId="8">
    <w:abstractNumId w:val="6"/>
  </w:num>
  <w:num w:numId="9">
    <w:abstractNumId w:val="17"/>
  </w:num>
  <w:num w:numId="10">
    <w:abstractNumId w:val="15"/>
  </w:num>
  <w:num w:numId="11">
    <w:abstractNumId w:val="16"/>
  </w:num>
  <w:num w:numId="12">
    <w:abstractNumId w:val="0"/>
  </w:num>
  <w:num w:numId="13">
    <w:abstractNumId w:val="23"/>
  </w:num>
  <w:num w:numId="14">
    <w:abstractNumId w:val="3"/>
  </w:num>
  <w:num w:numId="15">
    <w:abstractNumId w:val="18"/>
  </w:num>
  <w:num w:numId="16">
    <w:abstractNumId w:val="4"/>
  </w:num>
  <w:num w:numId="17">
    <w:abstractNumId w:val="22"/>
  </w:num>
  <w:num w:numId="18">
    <w:abstractNumId w:val="7"/>
  </w:num>
  <w:num w:numId="19">
    <w:abstractNumId w:val="10"/>
  </w:num>
  <w:num w:numId="20">
    <w:abstractNumId w:val="2"/>
  </w:num>
  <w:num w:numId="21">
    <w:abstractNumId w:val="19"/>
  </w:num>
  <w:num w:numId="22">
    <w:abstractNumId w:val="8"/>
  </w:num>
  <w:num w:numId="23">
    <w:abstractNumId w:val="1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8F2"/>
    <w:rsid w:val="00001F65"/>
    <w:rsid w:val="00007028"/>
    <w:rsid w:val="00011A6D"/>
    <w:rsid w:val="00021AFE"/>
    <w:rsid w:val="00036595"/>
    <w:rsid w:val="00052110"/>
    <w:rsid w:val="00054717"/>
    <w:rsid w:val="00060966"/>
    <w:rsid w:val="000632EE"/>
    <w:rsid w:val="000651EC"/>
    <w:rsid w:val="000658EB"/>
    <w:rsid w:val="00071AAD"/>
    <w:rsid w:val="000836F9"/>
    <w:rsid w:val="00097B78"/>
    <w:rsid w:val="000A16FB"/>
    <w:rsid w:val="000C0700"/>
    <w:rsid w:val="000D21F3"/>
    <w:rsid w:val="000E0DDD"/>
    <w:rsid w:val="000E404E"/>
    <w:rsid w:val="000F621A"/>
    <w:rsid w:val="00101F98"/>
    <w:rsid w:val="00117960"/>
    <w:rsid w:val="00122EF9"/>
    <w:rsid w:val="001232E7"/>
    <w:rsid w:val="001270DA"/>
    <w:rsid w:val="00137BBC"/>
    <w:rsid w:val="00150A31"/>
    <w:rsid w:val="00173098"/>
    <w:rsid w:val="001760F5"/>
    <w:rsid w:val="00190F38"/>
    <w:rsid w:val="001A43FF"/>
    <w:rsid w:val="001C29F5"/>
    <w:rsid w:val="001C3835"/>
    <w:rsid w:val="001D08B6"/>
    <w:rsid w:val="001D4D74"/>
    <w:rsid w:val="001F0B70"/>
    <w:rsid w:val="002028FD"/>
    <w:rsid w:val="002053F3"/>
    <w:rsid w:val="0021705A"/>
    <w:rsid w:val="00225746"/>
    <w:rsid w:val="00225E6D"/>
    <w:rsid w:val="002264B2"/>
    <w:rsid w:val="00231FEE"/>
    <w:rsid w:val="00232CDE"/>
    <w:rsid w:val="002432EF"/>
    <w:rsid w:val="00251715"/>
    <w:rsid w:val="00255FBA"/>
    <w:rsid w:val="00276BE9"/>
    <w:rsid w:val="002965E4"/>
    <w:rsid w:val="002A12F6"/>
    <w:rsid w:val="002E1F00"/>
    <w:rsid w:val="00301CC1"/>
    <w:rsid w:val="00304B5C"/>
    <w:rsid w:val="00305EE6"/>
    <w:rsid w:val="003126B7"/>
    <w:rsid w:val="00324EF4"/>
    <w:rsid w:val="00332FAC"/>
    <w:rsid w:val="00353105"/>
    <w:rsid w:val="0035464D"/>
    <w:rsid w:val="00363298"/>
    <w:rsid w:val="00375ABE"/>
    <w:rsid w:val="003B0D70"/>
    <w:rsid w:val="003B5106"/>
    <w:rsid w:val="003B704F"/>
    <w:rsid w:val="003D1D07"/>
    <w:rsid w:val="003D6AD9"/>
    <w:rsid w:val="003F2A84"/>
    <w:rsid w:val="00402EE5"/>
    <w:rsid w:val="0040586D"/>
    <w:rsid w:val="00407164"/>
    <w:rsid w:val="0041497A"/>
    <w:rsid w:val="00417288"/>
    <w:rsid w:val="00426F53"/>
    <w:rsid w:val="00427BD9"/>
    <w:rsid w:val="004314C9"/>
    <w:rsid w:val="004641D2"/>
    <w:rsid w:val="004654E1"/>
    <w:rsid w:val="0048199D"/>
    <w:rsid w:val="00490816"/>
    <w:rsid w:val="004916D0"/>
    <w:rsid w:val="00491A77"/>
    <w:rsid w:val="00492C95"/>
    <w:rsid w:val="004A1772"/>
    <w:rsid w:val="004A2305"/>
    <w:rsid w:val="004D0B19"/>
    <w:rsid w:val="004D7AF5"/>
    <w:rsid w:val="004E6DC3"/>
    <w:rsid w:val="00502AA3"/>
    <w:rsid w:val="0050479B"/>
    <w:rsid w:val="00505CB4"/>
    <w:rsid w:val="00512514"/>
    <w:rsid w:val="00512F55"/>
    <w:rsid w:val="005273B2"/>
    <w:rsid w:val="005303E6"/>
    <w:rsid w:val="00533CAF"/>
    <w:rsid w:val="0053400B"/>
    <w:rsid w:val="005618DC"/>
    <w:rsid w:val="005701F7"/>
    <w:rsid w:val="005A2344"/>
    <w:rsid w:val="005A6455"/>
    <w:rsid w:val="005B7932"/>
    <w:rsid w:val="005C6AF1"/>
    <w:rsid w:val="005D26A0"/>
    <w:rsid w:val="005E6FFC"/>
    <w:rsid w:val="005F49C5"/>
    <w:rsid w:val="00621EEF"/>
    <w:rsid w:val="00623455"/>
    <w:rsid w:val="00631CDF"/>
    <w:rsid w:val="00647D48"/>
    <w:rsid w:val="00651BDE"/>
    <w:rsid w:val="00653710"/>
    <w:rsid w:val="00653BCB"/>
    <w:rsid w:val="006569BA"/>
    <w:rsid w:val="00663007"/>
    <w:rsid w:val="00667CCD"/>
    <w:rsid w:val="00676B46"/>
    <w:rsid w:val="00686279"/>
    <w:rsid w:val="00696F04"/>
    <w:rsid w:val="006C0348"/>
    <w:rsid w:val="006D37B5"/>
    <w:rsid w:val="006D6858"/>
    <w:rsid w:val="006F03ED"/>
    <w:rsid w:val="00701441"/>
    <w:rsid w:val="007027A7"/>
    <w:rsid w:val="007066CC"/>
    <w:rsid w:val="00716344"/>
    <w:rsid w:val="007175A8"/>
    <w:rsid w:val="00717A07"/>
    <w:rsid w:val="00723B75"/>
    <w:rsid w:val="00724380"/>
    <w:rsid w:val="00757AF2"/>
    <w:rsid w:val="00761CFD"/>
    <w:rsid w:val="0076669B"/>
    <w:rsid w:val="00771946"/>
    <w:rsid w:val="007765FC"/>
    <w:rsid w:val="00795EE5"/>
    <w:rsid w:val="007A7E4C"/>
    <w:rsid w:val="007B0937"/>
    <w:rsid w:val="007B4FD6"/>
    <w:rsid w:val="007C4B15"/>
    <w:rsid w:val="007D5879"/>
    <w:rsid w:val="007E350D"/>
    <w:rsid w:val="007F1930"/>
    <w:rsid w:val="0080715A"/>
    <w:rsid w:val="008200D4"/>
    <w:rsid w:val="0084153F"/>
    <w:rsid w:val="00845F6C"/>
    <w:rsid w:val="008460EB"/>
    <w:rsid w:val="00852B3E"/>
    <w:rsid w:val="008E1AD5"/>
    <w:rsid w:val="008E70A3"/>
    <w:rsid w:val="008F2F9E"/>
    <w:rsid w:val="008F497D"/>
    <w:rsid w:val="008F5B31"/>
    <w:rsid w:val="008F7CA9"/>
    <w:rsid w:val="00901484"/>
    <w:rsid w:val="00914798"/>
    <w:rsid w:val="009263FD"/>
    <w:rsid w:val="0092656E"/>
    <w:rsid w:val="009336AF"/>
    <w:rsid w:val="0093791E"/>
    <w:rsid w:val="00941A5F"/>
    <w:rsid w:val="009444F6"/>
    <w:rsid w:val="00981441"/>
    <w:rsid w:val="009879EE"/>
    <w:rsid w:val="009A0017"/>
    <w:rsid w:val="009A0945"/>
    <w:rsid w:val="009A0953"/>
    <w:rsid w:val="009A20EA"/>
    <w:rsid w:val="009C4A2D"/>
    <w:rsid w:val="009C51CF"/>
    <w:rsid w:val="00A06222"/>
    <w:rsid w:val="00A11AD8"/>
    <w:rsid w:val="00A12E71"/>
    <w:rsid w:val="00A145F7"/>
    <w:rsid w:val="00A33E4B"/>
    <w:rsid w:val="00A407D1"/>
    <w:rsid w:val="00A4104D"/>
    <w:rsid w:val="00A5446A"/>
    <w:rsid w:val="00A551A4"/>
    <w:rsid w:val="00A706F8"/>
    <w:rsid w:val="00A85304"/>
    <w:rsid w:val="00A85916"/>
    <w:rsid w:val="00A86D0B"/>
    <w:rsid w:val="00AA113E"/>
    <w:rsid w:val="00AB711C"/>
    <w:rsid w:val="00AF26A3"/>
    <w:rsid w:val="00B01A7E"/>
    <w:rsid w:val="00B01D40"/>
    <w:rsid w:val="00B03F36"/>
    <w:rsid w:val="00B15FDA"/>
    <w:rsid w:val="00B1752C"/>
    <w:rsid w:val="00B1759E"/>
    <w:rsid w:val="00B262F3"/>
    <w:rsid w:val="00B45971"/>
    <w:rsid w:val="00B61E5E"/>
    <w:rsid w:val="00B76081"/>
    <w:rsid w:val="00B77AEA"/>
    <w:rsid w:val="00B82B0D"/>
    <w:rsid w:val="00B91044"/>
    <w:rsid w:val="00BA7E52"/>
    <w:rsid w:val="00BD1B60"/>
    <w:rsid w:val="00BD7DCE"/>
    <w:rsid w:val="00BD7E7B"/>
    <w:rsid w:val="00BE3B2E"/>
    <w:rsid w:val="00BE5310"/>
    <w:rsid w:val="00C12011"/>
    <w:rsid w:val="00C16644"/>
    <w:rsid w:val="00C20E0F"/>
    <w:rsid w:val="00C41F06"/>
    <w:rsid w:val="00C46F7E"/>
    <w:rsid w:val="00C56AF5"/>
    <w:rsid w:val="00C5743C"/>
    <w:rsid w:val="00C74CC5"/>
    <w:rsid w:val="00C810EF"/>
    <w:rsid w:val="00C81192"/>
    <w:rsid w:val="00C956C2"/>
    <w:rsid w:val="00CB72FC"/>
    <w:rsid w:val="00CC518F"/>
    <w:rsid w:val="00CE6038"/>
    <w:rsid w:val="00D17282"/>
    <w:rsid w:val="00D5211A"/>
    <w:rsid w:val="00D56510"/>
    <w:rsid w:val="00D65D03"/>
    <w:rsid w:val="00D65E8F"/>
    <w:rsid w:val="00D85E7F"/>
    <w:rsid w:val="00D96FFA"/>
    <w:rsid w:val="00DA7671"/>
    <w:rsid w:val="00DB19D9"/>
    <w:rsid w:val="00DC1C9B"/>
    <w:rsid w:val="00DC21C5"/>
    <w:rsid w:val="00DC69A4"/>
    <w:rsid w:val="00DD5CEC"/>
    <w:rsid w:val="00DE3DD9"/>
    <w:rsid w:val="00DE676F"/>
    <w:rsid w:val="00DE6945"/>
    <w:rsid w:val="00E04B21"/>
    <w:rsid w:val="00E156D8"/>
    <w:rsid w:val="00E239E7"/>
    <w:rsid w:val="00E40730"/>
    <w:rsid w:val="00E45B64"/>
    <w:rsid w:val="00E51640"/>
    <w:rsid w:val="00E555D8"/>
    <w:rsid w:val="00E673FA"/>
    <w:rsid w:val="00E708F2"/>
    <w:rsid w:val="00E74DD7"/>
    <w:rsid w:val="00E95ED7"/>
    <w:rsid w:val="00EA46DE"/>
    <w:rsid w:val="00EA59F2"/>
    <w:rsid w:val="00EB58E4"/>
    <w:rsid w:val="00EC370D"/>
    <w:rsid w:val="00ED04AC"/>
    <w:rsid w:val="00EF1B15"/>
    <w:rsid w:val="00EF695F"/>
    <w:rsid w:val="00F02669"/>
    <w:rsid w:val="00F03055"/>
    <w:rsid w:val="00F03425"/>
    <w:rsid w:val="00F036F0"/>
    <w:rsid w:val="00F15590"/>
    <w:rsid w:val="00F1777D"/>
    <w:rsid w:val="00F22601"/>
    <w:rsid w:val="00F31AA0"/>
    <w:rsid w:val="00F4190B"/>
    <w:rsid w:val="00F41D21"/>
    <w:rsid w:val="00F46359"/>
    <w:rsid w:val="00F509AC"/>
    <w:rsid w:val="00F64C84"/>
    <w:rsid w:val="00F66B7D"/>
    <w:rsid w:val="00F7531D"/>
    <w:rsid w:val="00F83093"/>
    <w:rsid w:val="00FB3A7D"/>
    <w:rsid w:val="00FE21BE"/>
    <w:rsid w:val="00FE7BC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AF"/>
    <w:rPr>
      <w:sz w:val="24"/>
      <w:szCs w:val="24"/>
      <w:lang w:val="en-US" w:eastAsia="en-US"/>
    </w:rPr>
  </w:style>
  <w:style w:type="paragraph" w:styleId="Heading1">
    <w:name w:val="heading 1"/>
    <w:basedOn w:val="Normal"/>
    <w:next w:val="Normal"/>
    <w:link w:val="Heading1Char"/>
    <w:uiPriority w:val="99"/>
    <w:qFormat/>
    <w:rsid w:val="00305EE6"/>
    <w:pPr>
      <w:keepNext/>
      <w:jc w:val="center"/>
      <w:outlineLvl w:val="0"/>
    </w:pPr>
    <w:rPr>
      <w:b/>
      <w:bCs/>
      <w:lang w:val="en-GB"/>
    </w:rPr>
  </w:style>
  <w:style w:type="paragraph" w:styleId="Heading2">
    <w:name w:val="heading 2"/>
    <w:basedOn w:val="Normal"/>
    <w:next w:val="Normal"/>
    <w:link w:val="Heading2Char"/>
    <w:uiPriority w:val="99"/>
    <w:qFormat/>
    <w:rsid w:val="00305EE6"/>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305EE6"/>
    <w:pPr>
      <w:keepNext/>
      <w:spacing w:before="240"/>
      <w:outlineLvl w:val="2"/>
    </w:pPr>
    <w:rPr>
      <w:rFonts w:ascii="Cambria" w:hAnsi="Cambria"/>
      <w:b/>
      <w:bCs/>
      <w:sz w:val="26"/>
      <w:szCs w:val="26"/>
    </w:rPr>
  </w:style>
  <w:style w:type="paragraph" w:styleId="Heading4">
    <w:name w:val="heading 4"/>
    <w:basedOn w:val="Normal"/>
    <w:next w:val="Normal"/>
    <w:link w:val="Heading4Char"/>
    <w:uiPriority w:val="99"/>
    <w:qFormat/>
    <w:rsid w:val="00353105"/>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53F"/>
    <w:rPr>
      <w:rFonts w:cs="Times New Roman"/>
      <w:b/>
      <w:sz w:val="24"/>
      <w:lang w:val="en-GB" w:eastAsia="en-US"/>
    </w:rPr>
  </w:style>
  <w:style w:type="character" w:customStyle="1" w:styleId="Heading2Char">
    <w:name w:val="Heading 2 Char"/>
    <w:basedOn w:val="DefaultParagraphFont"/>
    <w:link w:val="Heading2"/>
    <w:uiPriority w:val="99"/>
    <w:semiHidden/>
    <w:locked/>
    <w:rsid w:val="000C0700"/>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0C0700"/>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0C0700"/>
    <w:rPr>
      <w:rFonts w:ascii="Calibri" w:hAnsi="Calibri" w:cs="Times New Roman"/>
      <w:b/>
      <w:sz w:val="28"/>
      <w:lang w:val="en-US" w:eastAsia="en-US"/>
    </w:rPr>
  </w:style>
  <w:style w:type="character" w:styleId="FootnoteReference">
    <w:name w:val="footnote reference"/>
    <w:basedOn w:val="DefaultParagraphFont"/>
    <w:uiPriority w:val="99"/>
    <w:semiHidden/>
    <w:rsid w:val="00305EE6"/>
    <w:rPr>
      <w:rFonts w:cs="Times New Roman"/>
      <w:vertAlign w:val="superscript"/>
    </w:rPr>
  </w:style>
  <w:style w:type="character" w:styleId="Hyperlink">
    <w:name w:val="Hyperlink"/>
    <w:basedOn w:val="DefaultParagraphFont"/>
    <w:uiPriority w:val="99"/>
    <w:rsid w:val="00305EE6"/>
    <w:rPr>
      <w:rFonts w:cs="Times New Roman"/>
      <w:color w:val="0000FF"/>
      <w:u w:val="single"/>
    </w:rPr>
  </w:style>
  <w:style w:type="paragraph" w:styleId="FootnoteText">
    <w:name w:val="footnote text"/>
    <w:basedOn w:val="Normal"/>
    <w:link w:val="FootnoteTextChar"/>
    <w:uiPriority w:val="99"/>
    <w:semiHidden/>
    <w:rsid w:val="00305EE6"/>
    <w:rPr>
      <w:sz w:val="20"/>
      <w:szCs w:val="20"/>
    </w:rPr>
  </w:style>
  <w:style w:type="character" w:customStyle="1" w:styleId="FootnoteTextChar">
    <w:name w:val="Footnote Text Char"/>
    <w:basedOn w:val="DefaultParagraphFont"/>
    <w:link w:val="FootnoteText"/>
    <w:uiPriority w:val="99"/>
    <w:semiHidden/>
    <w:locked/>
    <w:rsid w:val="0084153F"/>
    <w:rPr>
      <w:rFonts w:cs="Times New Roman"/>
      <w:lang w:val="en-US" w:eastAsia="en-US"/>
    </w:rPr>
  </w:style>
  <w:style w:type="character" w:styleId="PageNumber">
    <w:name w:val="page number"/>
    <w:basedOn w:val="DefaultParagraphFont"/>
    <w:uiPriority w:val="99"/>
    <w:rsid w:val="00305EE6"/>
    <w:rPr>
      <w:rFonts w:cs="Times New Roman"/>
    </w:rPr>
  </w:style>
  <w:style w:type="paragraph" w:styleId="Footer">
    <w:name w:val="footer"/>
    <w:basedOn w:val="Normal"/>
    <w:link w:val="FooterChar"/>
    <w:uiPriority w:val="99"/>
    <w:rsid w:val="00305EE6"/>
    <w:pPr>
      <w:tabs>
        <w:tab w:val="center" w:pos="4536"/>
        <w:tab w:val="right" w:pos="9072"/>
      </w:tabs>
    </w:pPr>
  </w:style>
  <w:style w:type="character" w:customStyle="1" w:styleId="FooterChar">
    <w:name w:val="Footer Char"/>
    <w:basedOn w:val="DefaultParagraphFont"/>
    <w:link w:val="Footer"/>
    <w:uiPriority w:val="99"/>
    <w:semiHidden/>
    <w:locked/>
    <w:rsid w:val="000C0700"/>
    <w:rPr>
      <w:rFonts w:cs="Times New Roman"/>
      <w:sz w:val="24"/>
      <w:lang w:val="en-US" w:eastAsia="en-US"/>
    </w:rPr>
  </w:style>
  <w:style w:type="paragraph" w:styleId="BodyText">
    <w:name w:val="Body Text"/>
    <w:basedOn w:val="Normal"/>
    <w:link w:val="BodyTextChar"/>
    <w:uiPriority w:val="99"/>
    <w:rsid w:val="00305EE6"/>
    <w:pPr>
      <w:jc w:val="center"/>
    </w:pPr>
    <w:rPr>
      <w:b/>
      <w:szCs w:val="20"/>
      <w:lang w:val="en-GB"/>
    </w:rPr>
  </w:style>
  <w:style w:type="character" w:customStyle="1" w:styleId="BodyTextChar">
    <w:name w:val="Body Text Char"/>
    <w:basedOn w:val="DefaultParagraphFont"/>
    <w:link w:val="BodyText"/>
    <w:uiPriority w:val="99"/>
    <w:locked/>
    <w:rsid w:val="00B45971"/>
    <w:rPr>
      <w:rFonts w:cs="Times New Roman"/>
      <w:b/>
      <w:sz w:val="24"/>
      <w:lang w:val="en-GB" w:eastAsia="en-US"/>
    </w:rPr>
  </w:style>
  <w:style w:type="paragraph" w:styleId="Header">
    <w:name w:val="header"/>
    <w:basedOn w:val="Normal"/>
    <w:link w:val="HeaderChar"/>
    <w:uiPriority w:val="99"/>
    <w:rsid w:val="00305EE6"/>
    <w:pPr>
      <w:tabs>
        <w:tab w:val="center" w:pos="4536"/>
        <w:tab w:val="right" w:pos="9072"/>
      </w:tabs>
    </w:pPr>
    <w:rPr>
      <w:szCs w:val="20"/>
    </w:rPr>
  </w:style>
  <w:style w:type="character" w:customStyle="1" w:styleId="HeaderChar">
    <w:name w:val="Header Char"/>
    <w:basedOn w:val="DefaultParagraphFont"/>
    <w:link w:val="Header"/>
    <w:uiPriority w:val="99"/>
    <w:locked/>
    <w:rsid w:val="006F03ED"/>
    <w:rPr>
      <w:rFonts w:cs="Times New Roman"/>
      <w:sz w:val="24"/>
      <w:lang w:val="en-US" w:eastAsia="en-US"/>
    </w:rPr>
  </w:style>
  <w:style w:type="paragraph" w:styleId="BodyTextIndent">
    <w:name w:val="Body Text Indent"/>
    <w:basedOn w:val="Normal"/>
    <w:link w:val="BodyTextIndentChar"/>
    <w:uiPriority w:val="99"/>
    <w:rsid w:val="00305EE6"/>
    <w:pPr>
      <w:ind w:left="540" w:hanging="540"/>
    </w:pPr>
  </w:style>
  <w:style w:type="character" w:customStyle="1" w:styleId="BodyTextIndentChar">
    <w:name w:val="Body Text Indent Char"/>
    <w:basedOn w:val="DefaultParagraphFont"/>
    <w:link w:val="BodyTextIndent"/>
    <w:uiPriority w:val="99"/>
    <w:semiHidden/>
    <w:locked/>
    <w:rsid w:val="000C0700"/>
    <w:rPr>
      <w:rFonts w:cs="Times New Roman"/>
      <w:sz w:val="24"/>
      <w:lang w:val="en-US" w:eastAsia="en-US"/>
    </w:rPr>
  </w:style>
  <w:style w:type="character" w:styleId="FollowedHyperlink">
    <w:name w:val="FollowedHyperlink"/>
    <w:basedOn w:val="DefaultParagraphFont"/>
    <w:uiPriority w:val="99"/>
    <w:rsid w:val="00305EE6"/>
    <w:rPr>
      <w:rFonts w:cs="Times New Roman"/>
      <w:color w:val="800080"/>
      <w:u w:val="single"/>
    </w:rPr>
  </w:style>
  <w:style w:type="character" w:styleId="Emphasis">
    <w:name w:val="Emphasis"/>
    <w:basedOn w:val="DefaultParagraphFont"/>
    <w:uiPriority w:val="99"/>
    <w:qFormat/>
    <w:rsid w:val="00353105"/>
    <w:rPr>
      <w:rFonts w:cs="Times New Roman"/>
      <w:i/>
    </w:rPr>
  </w:style>
  <w:style w:type="paragraph" w:styleId="BalloonText">
    <w:name w:val="Balloon Text"/>
    <w:basedOn w:val="Normal"/>
    <w:link w:val="BalloonTextChar"/>
    <w:uiPriority w:val="99"/>
    <w:rsid w:val="006F03ED"/>
    <w:rPr>
      <w:rFonts w:ascii="Tahoma" w:hAnsi="Tahoma"/>
      <w:sz w:val="16"/>
      <w:szCs w:val="20"/>
    </w:rPr>
  </w:style>
  <w:style w:type="character" w:customStyle="1" w:styleId="BalloonTextChar">
    <w:name w:val="Balloon Text Char"/>
    <w:basedOn w:val="DefaultParagraphFont"/>
    <w:link w:val="BalloonText"/>
    <w:uiPriority w:val="99"/>
    <w:locked/>
    <w:rsid w:val="006F03ED"/>
    <w:rPr>
      <w:rFonts w:ascii="Tahoma" w:hAnsi="Tahoma" w:cs="Times New Roman"/>
      <w:sz w:val="16"/>
      <w:lang w:val="en-US" w:eastAsia="en-US"/>
    </w:rPr>
  </w:style>
  <w:style w:type="table" w:styleId="TableGrid">
    <w:name w:val="Table Grid"/>
    <w:basedOn w:val="TableNormal"/>
    <w:uiPriority w:val="99"/>
    <w:rsid w:val="004149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uiPriority w:val="99"/>
    <w:rsid w:val="001C3835"/>
  </w:style>
  <w:style w:type="paragraph" w:styleId="ListParagraph">
    <w:name w:val="List Paragraph"/>
    <w:basedOn w:val="Normal"/>
    <w:uiPriority w:val="99"/>
    <w:qFormat/>
    <w:rsid w:val="0076669B"/>
    <w:pPr>
      <w:ind w:left="708"/>
    </w:pPr>
  </w:style>
  <w:style w:type="character" w:styleId="Strong">
    <w:name w:val="Strong"/>
    <w:basedOn w:val="DefaultParagraphFont"/>
    <w:uiPriority w:val="99"/>
    <w:qFormat/>
    <w:rsid w:val="005D26A0"/>
    <w:rPr>
      <w:rFonts w:cs="Times New Roman"/>
      <w:b/>
    </w:rPr>
  </w:style>
  <w:style w:type="paragraph" w:styleId="NoSpacing">
    <w:name w:val="No Spacing"/>
    <w:uiPriority w:val="99"/>
    <w:qFormat/>
    <w:rsid w:val="009A0945"/>
    <w:rPr>
      <w:sz w:val="24"/>
      <w:szCs w:val="24"/>
      <w:lang w:val="en-US" w:eastAsia="en-US"/>
    </w:rPr>
  </w:style>
  <w:style w:type="paragraph" w:customStyle="1" w:styleId="Tabletitle">
    <w:name w:val="Table title"/>
    <w:basedOn w:val="Normal"/>
    <w:next w:val="Normal"/>
    <w:uiPriority w:val="99"/>
    <w:rsid w:val="00B45971"/>
    <w:rPr>
      <w:lang w:val="en-GB" w:eastAsia="en-GB"/>
    </w:rPr>
  </w:style>
  <w:style w:type="paragraph" w:customStyle="1" w:styleId="Notesoncontributors">
    <w:name w:val="Notes on contributors"/>
    <w:basedOn w:val="Normal"/>
    <w:next w:val="Normal"/>
    <w:uiPriority w:val="99"/>
    <w:rsid w:val="00B45971"/>
    <w:rPr>
      <w:sz w:val="20"/>
      <w:lang w:val="en-GB" w:eastAsia="en-GB"/>
    </w:rPr>
  </w:style>
  <w:style w:type="paragraph" w:customStyle="1" w:styleId="Bulletedlists">
    <w:name w:val="Bulleted lists"/>
    <w:basedOn w:val="Normal"/>
    <w:next w:val="Normal"/>
    <w:uiPriority w:val="99"/>
    <w:rsid w:val="00B45971"/>
    <w:pPr>
      <w:numPr>
        <w:numId w:val="19"/>
      </w:numPr>
    </w:pPr>
    <w:rPr>
      <w:lang w:val="en-GB" w:eastAsia="en-GB"/>
    </w:rPr>
  </w:style>
  <w:style w:type="paragraph" w:customStyle="1" w:styleId="Firstparagraphstyle">
    <w:name w:val="First paragraph style"/>
    <w:basedOn w:val="Normal"/>
    <w:next w:val="Normal"/>
    <w:uiPriority w:val="99"/>
    <w:rsid w:val="00B45971"/>
    <w:pPr>
      <w:spacing w:line="480" w:lineRule="auto"/>
    </w:pPr>
    <w:rPr>
      <w:lang w:val="en-GB" w:eastAsia="en-GB"/>
    </w:rPr>
  </w:style>
  <w:style w:type="paragraph" w:customStyle="1" w:styleId="Follow-onparagraphstyle">
    <w:name w:val="Follow-on paragraph style"/>
    <w:basedOn w:val="Normal"/>
    <w:next w:val="Normal"/>
    <w:uiPriority w:val="99"/>
    <w:rsid w:val="00B45971"/>
    <w:pPr>
      <w:spacing w:line="480" w:lineRule="auto"/>
      <w:ind w:firstLine="720"/>
    </w:pPr>
    <w:rPr>
      <w:lang w:val="en-GB" w:eastAsia="en-GB"/>
    </w:rPr>
  </w:style>
  <w:style w:type="paragraph" w:customStyle="1" w:styleId="Equations">
    <w:name w:val="Equations"/>
    <w:basedOn w:val="Normal"/>
    <w:next w:val="Normal"/>
    <w:uiPriority w:val="99"/>
    <w:rsid w:val="00B45971"/>
    <w:pPr>
      <w:jc w:val="center"/>
    </w:pPr>
    <w:rPr>
      <w:lang w:val="en-GB" w:eastAsia="en-GB"/>
    </w:rPr>
  </w:style>
  <w:style w:type="paragraph" w:customStyle="1" w:styleId="IATED-References">
    <w:name w:val="IATED-References"/>
    <w:basedOn w:val="Title"/>
    <w:uiPriority w:val="99"/>
    <w:rsid w:val="00A4104D"/>
    <w:pPr>
      <w:numPr>
        <w:numId w:val="22"/>
      </w:numPr>
      <w:spacing w:after="120"/>
      <w:jc w:val="left"/>
      <w:outlineLvl w:val="9"/>
    </w:pPr>
    <w:rPr>
      <w:b w:val="0"/>
      <w:bCs w:val="0"/>
      <w:kern w:val="0"/>
      <w:sz w:val="20"/>
      <w:szCs w:val="24"/>
      <w:lang w:val="en-GB" w:eastAsia="es-ES"/>
    </w:rPr>
  </w:style>
  <w:style w:type="paragraph" w:styleId="Title">
    <w:name w:val="Title"/>
    <w:basedOn w:val="Normal"/>
    <w:link w:val="TitleChar"/>
    <w:uiPriority w:val="99"/>
    <w:qFormat/>
    <w:locked/>
    <w:rsid w:val="00A4104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C0700"/>
    <w:rPr>
      <w:rFonts w:ascii="Cambria" w:hAnsi="Cambria" w:cs="Times New Roman"/>
      <w:b/>
      <w:kern w:val="28"/>
      <w:sz w:val="32"/>
      <w:lang w:val="en-US" w:eastAsia="en-US"/>
    </w:rPr>
  </w:style>
</w:styles>
</file>

<file path=word/webSettings.xml><?xml version="1.0" encoding="utf-8"?>
<w:webSettings xmlns:r="http://schemas.openxmlformats.org/officeDocument/2006/relationships" xmlns:w="http://schemas.openxmlformats.org/wordprocessingml/2006/main">
  <w:divs>
    <w:div w:id="978806356">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978806358">
      <w:marLeft w:val="0"/>
      <w:marRight w:val="0"/>
      <w:marTop w:val="0"/>
      <w:marBottom w:val="0"/>
      <w:divBdr>
        <w:top w:val="none" w:sz="0" w:space="0" w:color="auto"/>
        <w:left w:val="none" w:sz="0" w:space="0" w:color="auto"/>
        <w:bottom w:val="none" w:sz="0" w:space="0" w:color="auto"/>
        <w:right w:val="none" w:sz="0" w:space="0" w:color="auto"/>
      </w:divBdr>
    </w:div>
    <w:div w:id="978806359">
      <w:marLeft w:val="0"/>
      <w:marRight w:val="0"/>
      <w:marTop w:val="0"/>
      <w:marBottom w:val="0"/>
      <w:divBdr>
        <w:top w:val="none" w:sz="0" w:space="0" w:color="auto"/>
        <w:left w:val="none" w:sz="0" w:space="0" w:color="auto"/>
        <w:bottom w:val="none" w:sz="0" w:space="0" w:color="auto"/>
        <w:right w:val="none" w:sz="0" w:space="0" w:color="auto"/>
      </w:divBdr>
    </w:div>
    <w:div w:id="978806368">
      <w:marLeft w:val="0"/>
      <w:marRight w:val="0"/>
      <w:marTop w:val="0"/>
      <w:marBottom w:val="0"/>
      <w:divBdr>
        <w:top w:val="none" w:sz="0" w:space="0" w:color="auto"/>
        <w:left w:val="none" w:sz="0" w:space="0" w:color="auto"/>
        <w:bottom w:val="none" w:sz="0" w:space="0" w:color="auto"/>
        <w:right w:val="none" w:sz="0" w:space="0" w:color="auto"/>
      </w:divBdr>
      <w:divsChild>
        <w:div w:id="978806364">
          <w:marLeft w:val="0"/>
          <w:marRight w:val="0"/>
          <w:marTop w:val="0"/>
          <w:marBottom w:val="0"/>
          <w:divBdr>
            <w:top w:val="none" w:sz="0" w:space="0" w:color="auto"/>
            <w:left w:val="none" w:sz="0" w:space="0" w:color="auto"/>
            <w:bottom w:val="none" w:sz="0" w:space="0" w:color="auto"/>
            <w:right w:val="none" w:sz="0" w:space="0" w:color="auto"/>
          </w:divBdr>
          <w:divsChild>
            <w:div w:id="978806367">
              <w:marLeft w:val="0"/>
              <w:marRight w:val="0"/>
              <w:marTop w:val="0"/>
              <w:marBottom w:val="0"/>
              <w:divBdr>
                <w:top w:val="none" w:sz="0" w:space="0" w:color="auto"/>
                <w:left w:val="none" w:sz="0" w:space="0" w:color="auto"/>
                <w:bottom w:val="none" w:sz="0" w:space="0" w:color="auto"/>
                <w:right w:val="none" w:sz="0" w:space="0" w:color="auto"/>
              </w:divBdr>
              <w:divsChild>
                <w:div w:id="978806360">
                  <w:marLeft w:val="0"/>
                  <w:marRight w:val="0"/>
                  <w:marTop w:val="0"/>
                  <w:marBottom w:val="0"/>
                  <w:divBdr>
                    <w:top w:val="none" w:sz="0" w:space="0" w:color="auto"/>
                    <w:left w:val="none" w:sz="0" w:space="0" w:color="auto"/>
                    <w:bottom w:val="none" w:sz="0" w:space="0" w:color="auto"/>
                    <w:right w:val="none" w:sz="0" w:space="0" w:color="auto"/>
                  </w:divBdr>
                  <w:divsChild>
                    <w:div w:id="978806372">
                      <w:marLeft w:val="0"/>
                      <w:marRight w:val="0"/>
                      <w:marTop w:val="0"/>
                      <w:marBottom w:val="0"/>
                      <w:divBdr>
                        <w:top w:val="none" w:sz="0" w:space="0" w:color="auto"/>
                        <w:left w:val="none" w:sz="0" w:space="0" w:color="auto"/>
                        <w:bottom w:val="none" w:sz="0" w:space="0" w:color="auto"/>
                        <w:right w:val="none" w:sz="0" w:space="0" w:color="auto"/>
                      </w:divBdr>
                      <w:divsChild>
                        <w:div w:id="978806366">
                          <w:marLeft w:val="0"/>
                          <w:marRight w:val="0"/>
                          <w:marTop w:val="0"/>
                          <w:marBottom w:val="0"/>
                          <w:divBdr>
                            <w:top w:val="none" w:sz="0" w:space="0" w:color="auto"/>
                            <w:left w:val="none" w:sz="0" w:space="0" w:color="auto"/>
                            <w:bottom w:val="none" w:sz="0" w:space="0" w:color="auto"/>
                            <w:right w:val="none" w:sz="0" w:space="0" w:color="auto"/>
                          </w:divBdr>
                          <w:divsChild>
                            <w:div w:id="978806361">
                              <w:marLeft w:val="0"/>
                              <w:marRight w:val="0"/>
                              <w:marTop w:val="0"/>
                              <w:marBottom w:val="0"/>
                              <w:divBdr>
                                <w:top w:val="none" w:sz="0" w:space="0" w:color="auto"/>
                                <w:left w:val="none" w:sz="0" w:space="0" w:color="auto"/>
                                <w:bottom w:val="none" w:sz="0" w:space="0" w:color="auto"/>
                                <w:right w:val="none" w:sz="0" w:space="0" w:color="auto"/>
                              </w:divBdr>
                              <w:divsChild>
                                <w:div w:id="978806369">
                                  <w:marLeft w:val="0"/>
                                  <w:marRight w:val="0"/>
                                  <w:marTop w:val="0"/>
                                  <w:marBottom w:val="0"/>
                                  <w:divBdr>
                                    <w:top w:val="none" w:sz="0" w:space="0" w:color="auto"/>
                                    <w:left w:val="none" w:sz="0" w:space="0" w:color="auto"/>
                                    <w:bottom w:val="none" w:sz="0" w:space="0" w:color="auto"/>
                                    <w:right w:val="none" w:sz="0" w:space="0" w:color="auto"/>
                                  </w:divBdr>
                                  <w:divsChild>
                                    <w:div w:id="978806362">
                                      <w:marLeft w:val="40"/>
                                      <w:marRight w:val="0"/>
                                      <w:marTop w:val="0"/>
                                      <w:marBottom w:val="0"/>
                                      <w:divBdr>
                                        <w:top w:val="none" w:sz="0" w:space="0" w:color="auto"/>
                                        <w:left w:val="none" w:sz="0" w:space="0" w:color="auto"/>
                                        <w:bottom w:val="none" w:sz="0" w:space="0" w:color="auto"/>
                                        <w:right w:val="none" w:sz="0" w:space="0" w:color="auto"/>
                                      </w:divBdr>
                                      <w:divsChild>
                                        <w:div w:id="978806370">
                                          <w:marLeft w:val="0"/>
                                          <w:marRight w:val="0"/>
                                          <w:marTop w:val="0"/>
                                          <w:marBottom w:val="0"/>
                                          <w:divBdr>
                                            <w:top w:val="none" w:sz="0" w:space="0" w:color="auto"/>
                                            <w:left w:val="none" w:sz="0" w:space="0" w:color="auto"/>
                                            <w:bottom w:val="none" w:sz="0" w:space="0" w:color="auto"/>
                                            <w:right w:val="none" w:sz="0" w:space="0" w:color="auto"/>
                                          </w:divBdr>
                                          <w:divsChild>
                                            <w:div w:id="978806363">
                                              <w:marLeft w:val="0"/>
                                              <w:marRight w:val="0"/>
                                              <w:marTop w:val="0"/>
                                              <w:marBottom w:val="80"/>
                                              <w:divBdr>
                                                <w:top w:val="single" w:sz="4" w:space="0" w:color="F5F5F5"/>
                                                <w:left w:val="single" w:sz="4" w:space="0" w:color="F5F5F5"/>
                                                <w:bottom w:val="single" w:sz="4" w:space="0" w:color="F5F5F5"/>
                                                <w:right w:val="single" w:sz="4" w:space="0" w:color="F5F5F5"/>
                                              </w:divBdr>
                                              <w:divsChild>
                                                <w:div w:id="978806365">
                                                  <w:marLeft w:val="0"/>
                                                  <w:marRight w:val="0"/>
                                                  <w:marTop w:val="0"/>
                                                  <w:marBottom w:val="0"/>
                                                  <w:divBdr>
                                                    <w:top w:val="none" w:sz="0" w:space="0" w:color="auto"/>
                                                    <w:left w:val="none" w:sz="0" w:space="0" w:color="auto"/>
                                                    <w:bottom w:val="none" w:sz="0" w:space="0" w:color="auto"/>
                                                    <w:right w:val="none" w:sz="0" w:space="0" w:color="auto"/>
                                                  </w:divBdr>
                                                  <w:divsChild>
                                                    <w:div w:id="978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ltivariate_statistics"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hyperlink" Target="http://en.wikipedia.org/wiki/Multivariate_statistics"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tsoft.com/textbook/glosa.html"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TotalTime>
  <Pages>11</Pages>
  <Words>5152</Words>
  <Characters>29367</Characters>
  <Application>Microsoft Office Outlook</Application>
  <DocSecurity>0</DocSecurity>
  <Lines>0</Lines>
  <Paragraphs>0</Paragraphs>
  <ScaleCrop>false</ScaleCrop>
  <Company>efst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djelatnik</dc:creator>
  <cp:keywords/>
  <dc:description/>
  <cp:lastModifiedBy>spivac</cp:lastModifiedBy>
  <cp:revision>17</cp:revision>
  <cp:lastPrinted>2014-12-02T12:12:00Z</cp:lastPrinted>
  <dcterms:created xsi:type="dcterms:W3CDTF">2014-11-25T11:19:00Z</dcterms:created>
  <dcterms:modified xsi:type="dcterms:W3CDTF">2014-12-02T15:41:00Z</dcterms:modified>
</cp:coreProperties>
</file>