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816" w:rsidRPr="009E4FFC" w:rsidRDefault="00265BE8" w:rsidP="00A10C49">
      <w:pPr>
        <w:jc w:val="center"/>
        <w:rPr>
          <w:b/>
          <w:bCs/>
          <w:sz w:val="28"/>
        </w:rPr>
      </w:pPr>
      <w:r>
        <w:rPr>
          <w:b/>
          <w:bCs/>
          <w:sz w:val="28"/>
        </w:rPr>
        <w:t xml:space="preserve">Measuring real exchange rate misalignment in Croatia: </w:t>
      </w:r>
      <w:proofErr w:type="spellStart"/>
      <w:r>
        <w:rPr>
          <w:b/>
          <w:bCs/>
          <w:sz w:val="28"/>
        </w:rPr>
        <w:t>cointegration</w:t>
      </w:r>
      <w:proofErr w:type="spellEnd"/>
      <w:r>
        <w:rPr>
          <w:b/>
          <w:bCs/>
          <w:sz w:val="28"/>
        </w:rPr>
        <w:t xml:space="preserve"> a</w:t>
      </w:r>
      <w:r w:rsidR="00C72200" w:rsidRPr="009E4FFC">
        <w:rPr>
          <w:b/>
          <w:bCs/>
          <w:sz w:val="28"/>
        </w:rPr>
        <w:t>pproach</w:t>
      </w:r>
    </w:p>
    <w:p w:rsidR="00C72200" w:rsidRPr="009E4FFC" w:rsidRDefault="00C72200" w:rsidP="00A10C49">
      <w:pPr>
        <w:rPr>
          <w:b/>
          <w:bCs/>
          <w:lang w:val="en-GB"/>
        </w:rPr>
      </w:pPr>
    </w:p>
    <w:p w:rsidR="00934FB4" w:rsidRPr="00934FB4" w:rsidRDefault="00B50816" w:rsidP="00A10C49">
      <w:pPr>
        <w:pStyle w:val="Heading1"/>
        <w:rPr>
          <w:vertAlign w:val="superscript"/>
          <w:lang w:val="en-US"/>
        </w:rPr>
      </w:pPr>
      <w:r w:rsidRPr="009E4FFC">
        <w:rPr>
          <w:lang w:val="en-US"/>
        </w:rPr>
        <w:t>Irena Palić</w:t>
      </w:r>
      <w:r w:rsidR="00934FB4">
        <w:rPr>
          <w:vertAlign w:val="superscript"/>
          <w:lang w:val="en-US"/>
        </w:rPr>
        <w:t>1,</w:t>
      </w:r>
      <w:r w:rsidRPr="009E4FFC">
        <w:rPr>
          <w:rStyle w:val="FootnoteReference"/>
        </w:rPr>
        <w:t xml:space="preserve"> </w:t>
      </w:r>
      <w:r w:rsidR="00934FB4" w:rsidRPr="00934FB4">
        <w:rPr>
          <w:rStyle w:val="FootnoteReference"/>
        </w:rPr>
        <w:footnoteReference w:customMarkFollows="1" w:id="1"/>
        <w:sym w:font="Symbol" w:char="F02A"/>
      </w:r>
      <w:r w:rsidR="00934FB4">
        <w:t xml:space="preserve"> </w:t>
      </w:r>
      <w:proofErr w:type="spellStart"/>
      <w:r w:rsidR="00934FB4" w:rsidRPr="00934FB4">
        <w:rPr>
          <w:lang w:val="en-US"/>
        </w:rPr>
        <w:t>Ksenija</w:t>
      </w:r>
      <w:proofErr w:type="spellEnd"/>
      <w:r w:rsidR="00934FB4" w:rsidRPr="00934FB4">
        <w:rPr>
          <w:lang w:val="en-US"/>
        </w:rPr>
        <w:t xml:space="preserve"> Dumičić</w:t>
      </w:r>
      <w:r w:rsidR="00934FB4">
        <w:rPr>
          <w:vertAlign w:val="superscript"/>
          <w:lang w:val="en-US"/>
        </w:rPr>
        <w:t>1</w:t>
      </w:r>
      <w:r w:rsidR="00934FB4" w:rsidRPr="00934FB4">
        <w:t xml:space="preserve"> </w:t>
      </w:r>
      <w:r w:rsidR="00934FB4">
        <w:t xml:space="preserve">and </w:t>
      </w:r>
      <w:r w:rsidR="00934FB4" w:rsidRPr="00934FB4">
        <w:rPr>
          <w:lang w:val="en-US"/>
        </w:rPr>
        <w:t>Petra Šprajaček</w:t>
      </w:r>
      <w:r w:rsidR="00934FB4">
        <w:rPr>
          <w:vertAlign w:val="superscript"/>
          <w:lang w:val="en-US"/>
        </w:rPr>
        <w:t>2</w:t>
      </w:r>
    </w:p>
    <w:p w:rsidR="00E716CB" w:rsidRPr="001E3263" w:rsidRDefault="00E716CB" w:rsidP="00A10C49">
      <w:pPr>
        <w:pStyle w:val="Heading1"/>
        <w:jc w:val="left"/>
        <w:rPr>
          <w:sz w:val="16"/>
        </w:rPr>
      </w:pPr>
    </w:p>
    <w:p w:rsidR="00B50816" w:rsidRPr="00934FB4" w:rsidRDefault="00934FB4" w:rsidP="00A10C49">
      <w:pPr>
        <w:jc w:val="center"/>
        <w:rPr>
          <w:i/>
          <w:sz w:val="22"/>
        </w:rPr>
      </w:pPr>
      <w:r w:rsidRPr="00934FB4">
        <w:rPr>
          <w:sz w:val="22"/>
          <w:vertAlign w:val="superscript"/>
        </w:rPr>
        <w:t>1</w:t>
      </w:r>
      <w:r w:rsidR="00B50816" w:rsidRPr="00934FB4">
        <w:rPr>
          <w:i/>
          <w:sz w:val="22"/>
        </w:rPr>
        <w:t>Faculty of Economics and Business, University of Zagreb</w:t>
      </w:r>
    </w:p>
    <w:p w:rsidR="00B50816" w:rsidRPr="00934FB4" w:rsidRDefault="00B50816" w:rsidP="00A10C49">
      <w:pPr>
        <w:jc w:val="center"/>
        <w:rPr>
          <w:i/>
          <w:sz w:val="22"/>
        </w:rPr>
      </w:pPr>
      <w:proofErr w:type="spellStart"/>
      <w:r w:rsidRPr="00934FB4">
        <w:rPr>
          <w:i/>
          <w:sz w:val="22"/>
        </w:rPr>
        <w:t>Trg</w:t>
      </w:r>
      <w:proofErr w:type="spellEnd"/>
      <w:r w:rsidRPr="00934FB4">
        <w:rPr>
          <w:i/>
          <w:sz w:val="22"/>
        </w:rPr>
        <w:t xml:space="preserve"> J.F. Kennedy 6, 10000 Zagreb, Croatia</w:t>
      </w:r>
    </w:p>
    <w:p w:rsidR="0092656E" w:rsidRPr="00934FB4" w:rsidRDefault="0092656E" w:rsidP="00A10C49">
      <w:pPr>
        <w:jc w:val="center"/>
        <w:rPr>
          <w:i/>
          <w:sz w:val="22"/>
        </w:rPr>
      </w:pPr>
      <w:r w:rsidRPr="00934FB4">
        <w:rPr>
          <w:i/>
          <w:sz w:val="22"/>
        </w:rPr>
        <w:t xml:space="preserve">E-mail: </w:t>
      </w:r>
      <w:r w:rsidR="000D79D7">
        <w:rPr>
          <w:rFonts w:ascii="SimHei" w:eastAsia="SimHei" w:hAnsi="SimHei" w:hint="eastAsia"/>
          <w:sz w:val="22"/>
        </w:rPr>
        <w:t>〈</w:t>
      </w:r>
      <w:r w:rsidR="00934FB4" w:rsidRPr="000D79D7">
        <w:rPr>
          <w:i/>
          <w:sz w:val="22"/>
        </w:rPr>
        <w:t>{</w:t>
      </w:r>
      <w:hyperlink r:id="rId9" w:history="1">
        <w:r w:rsidR="00B50816" w:rsidRPr="00934FB4">
          <w:rPr>
            <w:i/>
            <w:sz w:val="22"/>
          </w:rPr>
          <w:t>ipalic</w:t>
        </w:r>
        <w:r w:rsidR="00934FB4">
          <w:rPr>
            <w:i/>
            <w:sz w:val="22"/>
          </w:rPr>
          <w:t>, kdumicic}</w:t>
        </w:r>
        <w:r w:rsidR="00B50816" w:rsidRPr="00934FB4">
          <w:rPr>
            <w:i/>
            <w:sz w:val="22"/>
          </w:rPr>
          <w:t>@efzg.hr</w:t>
        </w:r>
      </w:hyperlink>
      <w:r w:rsidR="000D79D7">
        <w:rPr>
          <w:rFonts w:ascii="SimHei" w:eastAsia="SimHei" w:hAnsi="SimHei" w:hint="eastAsia"/>
          <w:sz w:val="22"/>
        </w:rPr>
        <w:t>〉</w:t>
      </w:r>
    </w:p>
    <w:p w:rsidR="00B50816" w:rsidRPr="003A711B" w:rsidRDefault="00B50816" w:rsidP="00A10C49">
      <w:pPr>
        <w:rPr>
          <w:sz w:val="20"/>
        </w:rPr>
      </w:pPr>
    </w:p>
    <w:p w:rsidR="00B50816" w:rsidRPr="00934FB4" w:rsidRDefault="00934FB4" w:rsidP="00A10C49">
      <w:pPr>
        <w:jc w:val="center"/>
        <w:rPr>
          <w:i/>
          <w:sz w:val="22"/>
          <w:lang w:eastAsia="sl-SI"/>
        </w:rPr>
      </w:pPr>
      <w:r>
        <w:rPr>
          <w:sz w:val="22"/>
          <w:vertAlign w:val="superscript"/>
          <w:lang w:eastAsia="sl-SI"/>
        </w:rPr>
        <w:t>2</w:t>
      </w:r>
      <w:r w:rsidR="00F910AE" w:rsidRPr="00934FB4">
        <w:rPr>
          <w:i/>
          <w:sz w:val="22"/>
          <w:lang w:eastAsia="sl-SI"/>
        </w:rPr>
        <w:t xml:space="preserve">Kauzlarićev </w:t>
      </w:r>
      <w:proofErr w:type="spellStart"/>
      <w:r w:rsidR="00F910AE" w:rsidRPr="00934FB4">
        <w:rPr>
          <w:i/>
          <w:sz w:val="22"/>
          <w:lang w:eastAsia="sl-SI"/>
        </w:rPr>
        <w:t>prilaz</w:t>
      </w:r>
      <w:proofErr w:type="spellEnd"/>
      <w:r w:rsidR="00F910AE" w:rsidRPr="00934FB4">
        <w:rPr>
          <w:i/>
          <w:sz w:val="22"/>
          <w:lang w:eastAsia="sl-SI"/>
        </w:rPr>
        <w:t xml:space="preserve"> 9, </w:t>
      </w:r>
      <w:r w:rsidR="00B50816" w:rsidRPr="00934FB4">
        <w:rPr>
          <w:i/>
          <w:sz w:val="22"/>
          <w:lang w:eastAsia="sl-SI"/>
        </w:rPr>
        <w:t>10000 Zagreb, Croatia</w:t>
      </w:r>
    </w:p>
    <w:p w:rsidR="00DC1C9B" w:rsidRDefault="00265BE8" w:rsidP="00A10C49">
      <w:pPr>
        <w:jc w:val="center"/>
        <w:rPr>
          <w:rFonts w:ascii="SimHei" w:eastAsia="SimHei" w:hAnsi="SimHei"/>
          <w:sz w:val="22"/>
        </w:rPr>
      </w:pPr>
      <w:r w:rsidRPr="00934FB4">
        <w:rPr>
          <w:i/>
          <w:sz w:val="22"/>
        </w:rPr>
        <w:t xml:space="preserve">E-mail: </w:t>
      </w:r>
      <w:r w:rsidR="000D79D7">
        <w:rPr>
          <w:rFonts w:ascii="SimHei" w:eastAsia="SimHei" w:hAnsi="SimHei" w:hint="eastAsia"/>
          <w:sz w:val="22"/>
        </w:rPr>
        <w:t>〈</w:t>
      </w:r>
      <w:r w:rsidRPr="00934FB4">
        <w:rPr>
          <w:i/>
          <w:sz w:val="22"/>
        </w:rPr>
        <w:t>petra.sprajacek@yahoo.com</w:t>
      </w:r>
      <w:r w:rsidR="000D79D7">
        <w:rPr>
          <w:rFonts w:ascii="SimHei" w:eastAsia="SimHei" w:hAnsi="SimHei" w:hint="eastAsia"/>
          <w:sz w:val="22"/>
        </w:rPr>
        <w:t>〉</w:t>
      </w:r>
    </w:p>
    <w:p w:rsidR="000D79D7" w:rsidRPr="009E4FFC" w:rsidRDefault="000D79D7" w:rsidP="00A10C49">
      <w:pPr>
        <w:jc w:val="center"/>
        <w:rPr>
          <w:b/>
          <w:bCs/>
          <w:lang w:val="en-GB"/>
        </w:rPr>
      </w:pPr>
    </w:p>
    <w:p w:rsidR="00B50816" w:rsidRPr="00934FB4" w:rsidRDefault="00D5211A" w:rsidP="00A10C49">
      <w:pPr>
        <w:jc w:val="both"/>
        <w:rPr>
          <w:b/>
          <w:bCs/>
          <w:szCs w:val="22"/>
          <w:lang w:val="en-GB"/>
        </w:rPr>
      </w:pPr>
      <w:r w:rsidRPr="00B56AA3">
        <w:rPr>
          <w:b/>
          <w:bCs/>
          <w:szCs w:val="22"/>
          <w:lang w:val="en-GB"/>
        </w:rPr>
        <w:t>Abstract</w:t>
      </w:r>
      <w:r w:rsidR="00934FB4">
        <w:rPr>
          <w:b/>
          <w:bCs/>
          <w:szCs w:val="22"/>
          <w:lang w:val="en-GB"/>
        </w:rPr>
        <w:t xml:space="preserve">. </w:t>
      </w:r>
      <w:r w:rsidR="00B50816" w:rsidRPr="009E4FFC">
        <w:rPr>
          <w:sz w:val="22"/>
          <w:szCs w:val="22"/>
        </w:rPr>
        <w:t xml:space="preserve">The purpose of the paper is to analyze misalignment of </w:t>
      </w:r>
      <w:r w:rsidR="00A339F3">
        <w:rPr>
          <w:sz w:val="22"/>
          <w:szCs w:val="22"/>
        </w:rPr>
        <w:t xml:space="preserve">the </w:t>
      </w:r>
      <w:r w:rsidR="00B50816" w:rsidRPr="009E4FFC">
        <w:rPr>
          <w:sz w:val="22"/>
          <w:szCs w:val="22"/>
        </w:rPr>
        <w:t xml:space="preserve">real exchange rate in Croatia. The misalignment analysis is conducted using the permanent equilibrium exchange rate approach. The equilibrium real exchange rate is computed using the </w:t>
      </w:r>
      <w:proofErr w:type="spellStart"/>
      <w:r w:rsidR="00B50816" w:rsidRPr="009E4FFC">
        <w:rPr>
          <w:sz w:val="22"/>
          <w:szCs w:val="22"/>
        </w:rPr>
        <w:t>cointegration</w:t>
      </w:r>
      <w:proofErr w:type="spellEnd"/>
      <w:r w:rsidR="00B50816" w:rsidRPr="009E4FFC">
        <w:rPr>
          <w:sz w:val="22"/>
          <w:szCs w:val="22"/>
        </w:rPr>
        <w:t xml:space="preserve"> appr</w:t>
      </w:r>
      <w:r w:rsidR="00A339F3">
        <w:rPr>
          <w:sz w:val="22"/>
          <w:szCs w:val="22"/>
        </w:rPr>
        <w:t>oach whereby</w:t>
      </w:r>
      <w:r w:rsidR="00B50816" w:rsidRPr="009E4FFC">
        <w:rPr>
          <w:sz w:val="22"/>
          <w:szCs w:val="22"/>
        </w:rPr>
        <w:t xml:space="preserve"> the real exchange rate and its fundamentals, namely terms of trade, net foreign assets and</w:t>
      </w:r>
      <w:r w:rsidR="00A339F3">
        <w:rPr>
          <w:sz w:val="22"/>
          <w:szCs w:val="22"/>
        </w:rPr>
        <w:t xml:space="preserve"> the</w:t>
      </w:r>
      <w:r w:rsidR="00B50816" w:rsidRPr="009E4FFC">
        <w:rPr>
          <w:sz w:val="22"/>
          <w:szCs w:val="22"/>
        </w:rPr>
        <w:t xml:space="preserve"> ratio of prices of </w:t>
      </w:r>
      <w:proofErr w:type="spellStart"/>
      <w:r w:rsidR="00B50816" w:rsidRPr="009E4FFC">
        <w:rPr>
          <w:sz w:val="22"/>
          <w:szCs w:val="22"/>
        </w:rPr>
        <w:t>tradables</w:t>
      </w:r>
      <w:proofErr w:type="spellEnd"/>
      <w:r w:rsidR="00B50816" w:rsidRPr="009E4FFC">
        <w:rPr>
          <w:sz w:val="22"/>
          <w:szCs w:val="22"/>
        </w:rPr>
        <w:t xml:space="preserve"> to non-</w:t>
      </w:r>
      <w:proofErr w:type="spellStart"/>
      <w:r w:rsidR="00B50816" w:rsidRPr="009E4FFC">
        <w:rPr>
          <w:sz w:val="22"/>
          <w:szCs w:val="22"/>
        </w:rPr>
        <w:t>tradables</w:t>
      </w:r>
      <w:proofErr w:type="spellEnd"/>
      <w:r w:rsidR="00B50816" w:rsidRPr="009E4FFC">
        <w:rPr>
          <w:sz w:val="22"/>
          <w:szCs w:val="22"/>
        </w:rPr>
        <w:t xml:space="preserve"> are included in </w:t>
      </w:r>
      <w:proofErr w:type="spellStart"/>
      <w:r w:rsidR="00B50816" w:rsidRPr="009E4FFC">
        <w:rPr>
          <w:sz w:val="22"/>
          <w:szCs w:val="22"/>
        </w:rPr>
        <w:t>cointegration</w:t>
      </w:r>
      <w:proofErr w:type="spellEnd"/>
      <w:r w:rsidR="00B50816" w:rsidRPr="009E4FFC">
        <w:rPr>
          <w:sz w:val="22"/>
          <w:szCs w:val="22"/>
        </w:rPr>
        <w:t xml:space="preserve"> analysis. The </w:t>
      </w:r>
      <w:proofErr w:type="spellStart"/>
      <w:r w:rsidR="00B50816" w:rsidRPr="009E4FFC">
        <w:rPr>
          <w:sz w:val="22"/>
          <w:szCs w:val="22"/>
        </w:rPr>
        <w:t>Hodrick</w:t>
      </w:r>
      <w:proofErr w:type="spellEnd"/>
      <w:r w:rsidR="00B50816" w:rsidRPr="009E4FFC">
        <w:rPr>
          <w:sz w:val="22"/>
          <w:szCs w:val="22"/>
        </w:rPr>
        <w:t xml:space="preserve"> and Prescott filter is used to obtain permanent values of the equilibrium real exchange rate. The real exchange rate misalignment is computed as the deviation of the RER from it</w:t>
      </w:r>
      <w:r w:rsidR="00A339F3">
        <w:rPr>
          <w:sz w:val="22"/>
          <w:szCs w:val="22"/>
        </w:rPr>
        <w:t>s permanent equilibrium level. F</w:t>
      </w:r>
      <w:r w:rsidR="00B50816" w:rsidRPr="009E4FFC">
        <w:rPr>
          <w:sz w:val="22"/>
          <w:szCs w:val="22"/>
        </w:rPr>
        <w:t>our overvaluation periods and three undervaluation periods are recorded in Croatia in the observed period. Overvaluation periods are more often and of longer duration than undervaluation periods. However, the real exchange rate does not deviate largely from its estimated equilibrium value in the observed period, and it is neither overvalued nor undervalued constantly, but the periods alternate. Considering the results of the analysis, together with the empirical characteristics of Croatian economy, namely the high foreign curr</w:t>
      </w:r>
      <w:r w:rsidR="00A339F3">
        <w:rPr>
          <w:sz w:val="22"/>
          <w:szCs w:val="22"/>
        </w:rPr>
        <w:t xml:space="preserve">ency indebtedness, highly </w:t>
      </w:r>
      <w:proofErr w:type="spellStart"/>
      <w:r w:rsidR="00A339F3">
        <w:rPr>
          <w:sz w:val="22"/>
          <w:szCs w:val="22"/>
        </w:rPr>
        <w:t>euroiz</w:t>
      </w:r>
      <w:r w:rsidR="00B50816" w:rsidRPr="009E4FFC">
        <w:rPr>
          <w:sz w:val="22"/>
          <w:szCs w:val="22"/>
        </w:rPr>
        <w:t>ed</w:t>
      </w:r>
      <w:proofErr w:type="spellEnd"/>
      <w:r w:rsidR="00B50816" w:rsidRPr="009E4FFC">
        <w:rPr>
          <w:sz w:val="22"/>
          <w:szCs w:val="22"/>
        </w:rPr>
        <w:t xml:space="preserve"> economy and underdeveloped export oriented sector, the depreciation of </w:t>
      </w:r>
      <w:r w:rsidR="00A339F3">
        <w:rPr>
          <w:sz w:val="22"/>
          <w:szCs w:val="22"/>
        </w:rPr>
        <w:t xml:space="preserve">the </w:t>
      </w:r>
      <w:r w:rsidR="00B50816" w:rsidRPr="009E4FFC">
        <w:rPr>
          <w:sz w:val="22"/>
          <w:szCs w:val="22"/>
        </w:rPr>
        <w:t>real exchange rate is not recommended to economic policy makers and the current Croatian exchange rate policy is appropriate.</w:t>
      </w:r>
    </w:p>
    <w:p w:rsidR="009777C1" w:rsidRPr="007D6D0B" w:rsidRDefault="009777C1" w:rsidP="00A10C49">
      <w:pPr>
        <w:rPr>
          <w:b/>
          <w:bCs/>
          <w:szCs w:val="22"/>
        </w:rPr>
      </w:pPr>
    </w:p>
    <w:p w:rsidR="001760F5" w:rsidRDefault="00DC1C9B" w:rsidP="00A10C49">
      <w:pPr>
        <w:jc w:val="both"/>
        <w:rPr>
          <w:i/>
        </w:rPr>
      </w:pPr>
      <w:r w:rsidRPr="00B56AA3">
        <w:rPr>
          <w:b/>
          <w:bCs/>
          <w:lang w:val="en-GB"/>
        </w:rPr>
        <w:t>Keywords:</w:t>
      </w:r>
      <w:r w:rsidR="0055056F" w:rsidRPr="00B56AA3">
        <w:rPr>
          <w:b/>
          <w:bCs/>
          <w:lang w:val="en-GB"/>
        </w:rPr>
        <w:t xml:space="preserve"> </w:t>
      </w:r>
      <w:proofErr w:type="spellStart"/>
      <w:r w:rsidR="00F910AE" w:rsidRPr="00E47252">
        <w:rPr>
          <w:i/>
          <w:sz w:val="22"/>
        </w:rPr>
        <w:t>c</w:t>
      </w:r>
      <w:r w:rsidR="00B50816" w:rsidRPr="00E47252">
        <w:rPr>
          <w:i/>
          <w:sz w:val="22"/>
        </w:rPr>
        <w:t>ointe</w:t>
      </w:r>
      <w:r w:rsidR="00F910AE" w:rsidRPr="00E47252">
        <w:rPr>
          <w:i/>
          <w:sz w:val="22"/>
        </w:rPr>
        <w:t>gration</w:t>
      </w:r>
      <w:proofErr w:type="spellEnd"/>
      <w:r w:rsidR="00F910AE" w:rsidRPr="00E47252">
        <w:rPr>
          <w:i/>
          <w:sz w:val="22"/>
        </w:rPr>
        <w:t xml:space="preserve"> approach, e</w:t>
      </w:r>
      <w:r w:rsidR="0055056F" w:rsidRPr="00E47252">
        <w:rPr>
          <w:i/>
          <w:sz w:val="22"/>
        </w:rPr>
        <w:t xml:space="preserve">xchange rate </w:t>
      </w:r>
      <w:r w:rsidR="00F910AE" w:rsidRPr="00E47252">
        <w:rPr>
          <w:i/>
          <w:sz w:val="22"/>
        </w:rPr>
        <w:t>equilibrium, currency misalignment, a</w:t>
      </w:r>
      <w:r w:rsidR="00B50816" w:rsidRPr="00E47252">
        <w:rPr>
          <w:i/>
          <w:sz w:val="22"/>
        </w:rPr>
        <w:t xml:space="preserve">djustment speed, </w:t>
      </w:r>
      <w:proofErr w:type="spellStart"/>
      <w:r w:rsidR="00B50816" w:rsidRPr="00E47252">
        <w:rPr>
          <w:i/>
          <w:sz w:val="22"/>
        </w:rPr>
        <w:t>Hodrick</w:t>
      </w:r>
      <w:proofErr w:type="spellEnd"/>
      <w:r w:rsidR="00B50816" w:rsidRPr="00E47252">
        <w:rPr>
          <w:i/>
          <w:sz w:val="22"/>
        </w:rPr>
        <w:t>-Prescott filtering</w:t>
      </w:r>
    </w:p>
    <w:p w:rsidR="00934FB4" w:rsidRPr="007D6D0B" w:rsidRDefault="00934FB4" w:rsidP="00A10C49">
      <w:pPr>
        <w:jc w:val="both"/>
        <w:rPr>
          <w:i/>
        </w:rPr>
      </w:pPr>
    </w:p>
    <w:p w:rsidR="001760F5" w:rsidRPr="009E4FFC" w:rsidRDefault="001760F5" w:rsidP="00A10C49">
      <w:pPr>
        <w:jc w:val="center"/>
        <w:rPr>
          <w:iCs/>
          <w:lang w:val="en-GB"/>
        </w:rPr>
      </w:pPr>
      <w:r w:rsidRPr="009E4FFC">
        <w:rPr>
          <w:iCs/>
          <w:lang w:val="en-GB"/>
        </w:rPr>
        <w:t xml:space="preserve">Received: xx </w:t>
      </w:r>
      <w:proofErr w:type="spellStart"/>
      <w:r w:rsidRPr="009E4FFC">
        <w:rPr>
          <w:iCs/>
          <w:lang w:val="en-GB"/>
        </w:rPr>
        <w:t>xx</w:t>
      </w:r>
      <w:proofErr w:type="spellEnd"/>
      <w:r w:rsidRPr="009E4FFC">
        <w:rPr>
          <w:iCs/>
          <w:lang w:val="en-GB"/>
        </w:rPr>
        <w:t xml:space="preserve">, 201x; accepted: </w:t>
      </w:r>
      <w:proofErr w:type="spellStart"/>
      <w:r w:rsidRPr="009E4FFC">
        <w:rPr>
          <w:iCs/>
          <w:lang w:val="en-GB"/>
        </w:rPr>
        <w:t>yy</w:t>
      </w:r>
      <w:proofErr w:type="spellEnd"/>
      <w:r w:rsidRPr="009E4FFC">
        <w:rPr>
          <w:iCs/>
          <w:lang w:val="en-GB"/>
        </w:rPr>
        <w:t xml:space="preserve"> </w:t>
      </w:r>
      <w:proofErr w:type="spellStart"/>
      <w:r w:rsidRPr="009E4FFC">
        <w:rPr>
          <w:iCs/>
          <w:lang w:val="en-GB"/>
        </w:rPr>
        <w:t>yy</w:t>
      </w:r>
      <w:proofErr w:type="spellEnd"/>
      <w:r w:rsidRPr="009E4FFC">
        <w:rPr>
          <w:iCs/>
          <w:lang w:val="en-GB"/>
        </w:rPr>
        <w:t xml:space="preserve"> 201x; available online: </w:t>
      </w:r>
      <w:proofErr w:type="spellStart"/>
      <w:r w:rsidRPr="009E4FFC">
        <w:rPr>
          <w:iCs/>
          <w:lang w:val="en-GB"/>
        </w:rPr>
        <w:t>zz</w:t>
      </w:r>
      <w:proofErr w:type="spellEnd"/>
      <w:r w:rsidRPr="009E4FFC">
        <w:rPr>
          <w:iCs/>
          <w:lang w:val="en-GB"/>
        </w:rPr>
        <w:t xml:space="preserve"> </w:t>
      </w:r>
      <w:proofErr w:type="spellStart"/>
      <w:r w:rsidRPr="009E4FFC">
        <w:rPr>
          <w:iCs/>
          <w:lang w:val="en-GB"/>
        </w:rPr>
        <w:t>zz</w:t>
      </w:r>
      <w:proofErr w:type="spellEnd"/>
      <w:r w:rsidRPr="009E4FFC">
        <w:rPr>
          <w:iCs/>
          <w:lang w:val="en-GB"/>
        </w:rPr>
        <w:t>; 201x</w:t>
      </w:r>
    </w:p>
    <w:p w:rsidR="00CE6038" w:rsidRPr="009E4FFC" w:rsidRDefault="00CE6038" w:rsidP="00A10C49">
      <w:pPr>
        <w:pBdr>
          <w:bottom w:val="single" w:sz="6" w:space="1" w:color="auto"/>
        </w:pBdr>
        <w:jc w:val="both"/>
        <w:rPr>
          <w:b/>
          <w:bCs/>
          <w:lang w:val="en-GB"/>
        </w:rPr>
      </w:pPr>
    </w:p>
    <w:p w:rsidR="00934FB4" w:rsidRDefault="00934FB4">
      <w:pPr>
        <w:rPr>
          <w:b/>
          <w:sz w:val="28"/>
        </w:rPr>
      </w:pPr>
      <w:r>
        <w:rPr>
          <w:b/>
          <w:sz w:val="28"/>
        </w:rPr>
        <w:br w:type="page"/>
      </w:r>
    </w:p>
    <w:p w:rsidR="00D65E8F" w:rsidRDefault="00C956C2" w:rsidP="00C84E6D">
      <w:pPr>
        <w:pStyle w:val="ListParagraph"/>
        <w:numPr>
          <w:ilvl w:val="0"/>
          <w:numId w:val="26"/>
        </w:numPr>
        <w:rPr>
          <w:b/>
          <w:sz w:val="28"/>
        </w:rPr>
      </w:pPr>
      <w:r w:rsidRPr="00C84E6D">
        <w:rPr>
          <w:b/>
          <w:sz w:val="28"/>
        </w:rPr>
        <w:lastRenderedPageBreak/>
        <w:t>Introduction</w:t>
      </w:r>
    </w:p>
    <w:p w:rsidR="00C84E6D" w:rsidRPr="0072625E" w:rsidRDefault="00C84E6D" w:rsidP="0072625E">
      <w:pPr>
        <w:rPr>
          <w:b/>
        </w:rPr>
      </w:pPr>
    </w:p>
    <w:p w:rsidR="00B50816" w:rsidRPr="009E4FFC" w:rsidRDefault="00B50816" w:rsidP="00B50816">
      <w:pPr>
        <w:jc w:val="both"/>
        <w:rPr>
          <w:rFonts w:eastAsia="Calibri"/>
        </w:rPr>
      </w:pPr>
      <w:r w:rsidRPr="009E4FFC">
        <w:rPr>
          <w:rFonts w:eastAsia="Calibri"/>
        </w:rPr>
        <w:t xml:space="preserve">Equilibrium real exchange rate (ERER) is one of the most important concepts in open economy macroeconomics as its determination is crucial for computing </w:t>
      </w:r>
      <w:r w:rsidR="00A339F3">
        <w:rPr>
          <w:rFonts w:eastAsia="Calibri"/>
        </w:rPr>
        <w:t>a</w:t>
      </w:r>
      <w:r w:rsidRPr="009E4FFC">
        <w:rPr>
          <w:rFonts w:eastAsia="Calibri"/>
        </w:rPr>
        <w:t xml:space="preserve"> degree of misalignment. Economic policy makers and researchers are interested in predicting and monitoring misalignment in the f</w:t>
      </w:r>
      <w:r w:rsidR="00A339F3">
        <w:rPr>
          <w:rFonts w:eastAsia="Calibri"/>
        </w:rPr>
        <w:t>oreign exchange market, because in many cases</w:t>
      </w:r>
      <w:r w:rsidRPr="009E4FFC">
        <w:rPr>
          <w:rFonts w:eastAsia="Calibri"/>
        </w:rPr>
        <w:t xml:space="preserve"> it is closely related to possible current account problems or currency crises [26]. Moreover, </w:t>
      </w:r>
      <w:r w:rsidR="00A339F3">
        <w:rPr>
          <w:rFonts w:eastAsia="Calibri"/>
          <w:szCs w:val="22"/>
        </w:rPr>
        <w:t>a</w:t>
      </w:r>
      <w:r w:rsidRPr="009E4FFC">
        <w:rPr>
          <w:rFonts w:eastAsia="Calibri"/>
          <w:szCs w:val="22"/>
        </w:rPr>
        <w:t xml:space="preserve"> significant and persistent deviation of the real exchange rate (RER) from its equilibrium level, e.g.</w:t>
      </w:r>
      <w:r w:rsidR="00A339F3">
        <w:rPr>
          <w:rFonts w:eastAsia="Calibri"/>
          <w:szCs w:val="22"/>
        </w:rPr>
        <w:t>,</w:t>
      </w:r>
      <w:r w:rsidRPr="009E4FFC">
        <w:rPr>
          <w:rFonts w:eastAsia="Calibri"/>
          <w:szCs w:val="22"/>
        </w:rPr>
        <w:t xml:space="preserve"> RER misalignment could have important implications on the balance of the economy. The research of [2] shows that both real overvaluation and undervaluation could have</w:t>
      </w:r>
      <w:r w:rsidR="00A339F3">
        <w:rPr>
          <w:rFonts w:eastAsia="Calibri"/>
          <w:szCs w:val="22"/>
        </w:rPr>
        <w:t xml:space="preserve"> a</w:t>
      </w:r>
      <w:r w:rsidRPr="009E4FFC">
        <w:rPr>
          <w:rFonts w:eastAsia="Calibri"/>
          <w:szCs w:val="22"/>
        </w:rPr>
        <w:t xml:space="preserve"> negative impact on economic growth. On the one hand, real overvaluation could have</w:t>
      </w:r>
      <w:r w:rsidR="00A339F3">
        <w:rPr>
          <w:rFonts w:eastAsia="Calibri"/>
          <w:szCs w:val="22"/>
        </w:rPr>
        <w:t xml:space="preserve"> a</w:t>
      </w:r>
      <w:r w:rsidRPr="009E4FFC">
        <w:rPr>
          <w:rFonts w:eastAsia="Calibri"/>
          <w:szCs w:val="22"/>
        </w:rPr>
        <w:t xml:space="preserve"> negative impact on export; it causes current account deficits and leads </w:t>
      </w:r>
      <w:r w:rsidR="00A339F3">
        <w:rPr>
          <w:rFonts w:eastAsia="Calibri"/>
          <w:szCs w:val="22"/>
        </w:rPr>
        <w:t>to currency crises [13], while</w:t>
      </w:r>
      <w:r w:rsidRPr="009E4FFC">
        <w:rPr>
          <w:rFonts w:eastAsia="Calibri"/>
          <w:szCs w:val="22"/>
        </w:rPr>
        <w:t xml:space="preserve"> real undervaluation could cause inflation and lead to overheating of </w:t>
      </w:r>
      <w:r w:rsidR="00A339F3">
        <w:rPr>
          <w:rFonts w:eastAsia="Calibri"/>
          <w:szCs w:val="22"/>
        </w:rPr>
        <w:t>an</w:t>
      </w:r>
      <w:r w:rsidRPr="009E4FFC">
        <w:rPr>
          <w:rFonts w:eastAsia="Calibri"/>
          <w:szCs w:val="22"/>
        </w:rPr>
        <w:t xml:space="preserve"> economy [20]. The research of [28] shows that real undervaluation can boost economic growth, thus being a key variable in promoting economic activity, especially in developing countries.</w:t>
      </w:r>
      <w:r w:rsidRPr="009E4FFC">
        <w:rPr>
          <w:rFonts w:eastAsia="Calibri"/>
        </w:rPr>
        <w:t xml:space="preserve"> </w:t>
      </w:r>
      <w:r w:rsidRPr="009E4FFC">
        <w:rPr>
          <w:rFonts w:eastAsia="Calibri"/>
          <w:szCs w:val="22"/>
        </w:rPr>
        <w:t>Although there is a vast theoretical and empirical literature in that area, there is no consensus for measuring the degree of misalignment as it involves measuring an unobservable variable, i.e.</w:t>
      </w:r>
      <w:r w:rsidR="00A339F3">
        <w:rPr>
          <w:rFonts w:eastAsia="Calibri"/>
          <w:szCs w:val="22"/>
        </w:rPr>
        <w:t>,</w:t>
      </w:r>
      <w:r w:rsidRPr="009E4FFC">
        <w:rPr>
          <w:rFonts w:eastAsia="Calibri"/>
          <w:szCs w:val="22"/>
        </w:rPr>
        <w:t xml:space="preserve"> the ERER [10]</w:t>
      </w:r>
      <w:r w:rsidRPr="009E4FFC">
        <w:rPr>
          <w:rFonts w:eastAsia="Calibri"/>
        </w:rPr>
        <w:t>.</w:t>
      </w:r>
    </w:p>
    <w:p w:rsidR="0055056F" w:rsidRPr="009E4FFC" w:rsidRDefault="00B50816" w:rsidP="00C949D8">
      <w:pPr>
        <w:ind w:firstLine="432"/>
        <w:jc w:val="both"/>
        <w:rPr>
          <w:rFonts w:eastAsia="Calibri"/>
          <w:szCs w:val="22"/>
        </w:rPr>
      </w:pPr>
      <w:r w:rsidRPr="009E4FFC">
        <w:rPr>
          <w:rFonts w:eastAsia="Calibri"/>
          <w:szCs w:val="22"/>
        </w:rPr>
        <w:t xml:space="preserve">Regarding Croatia, there has been an extensive debate about the adequacy of the exchange rate (ER) level since the implementation of </w:t>
      </w:r>
      <w:r w:rsidR="00A339F3">
        <w:rPr>
          <w:rFonts w:eastAsia="Calibri"/>
          <w:szCs w:val="22"/>
        </w:rPr>
        <w:t xml:space="preserve">the </w:t>
      </w:r>
      <w:r w:rsidRPr="009E4FFC">
        <w:rPr>
          <w:rFonts w:eastAsia="Calibri"/>
          <w:szCs w:val="22"/>
        </w:rPr>
        <w:t xml:space="preserve">Stabilization Program in October 1993 by the Croatian government. Furthermore, taking into account the characteristics of the Croatian economy, such as </w:t>
      </w:r>
      <w:r w:rsidR="00A339F3">
        <w:rPr>
          <w:rFonts w:eastAsia="Calibri"/>
          <w:szCs w:val="22"/>
        </w:rPr>
        <w:t xml:space="preserve">a highly </w:t>
      </w:r>
      <w:proofErr w:type="spellStart"/>
      <w:r w:rsidR="00A339F3">
        <w:rPr>
          <w:rFonts w:eastAsia="Calibri"/>
          <w:szCs w:val="22"/>
        </w:rPr>
        <w:t>euroiz</w:t>
      </w:r>
      <w:r w:rsidRPr="009E4FFC">
        <w:rPr>
          <w:rFonts w:eastAsia="Calibri"/>
          <w:szCs w:val="22"/>
        </w:rPr>
        <w:t>ed</w:t>
      </w:r>
      <w:proofErr w:type="spellEnd"/>
      <w:r w:rsidRPr="009E4FFC">
        <w:rPr>
          <w:rFonts w:eastAsia="Calibri"/>
          <w:szCs w:val="22"/>
        </w:rPr>
        <w:t xml:space="preserve"> financial system, </w:t>
      </w:r>
      <w:r w:rsidR="00A339F3">
        <w:rPr>
          <w:rFonts w:eastAsia="Calibri"/>
          <w:szCs w:val="22"/>
        </w:rPr>
        <w:t>a</w:t>
      </w:r>
      <w:r w:rsidRPr="009E4FFC">
        <w:rPr>
          <w:rFonts w:eastAsia="Calibri"/>
          <w:szCs w:val="22"/>
        </w:rPr>
        <w:t xml:space="preserve"> high degree of openness and high level of the external debt, then the determination of the appropriate level of the ER becomes more important. The Croatian National Bank maintains stability of the exchange rate of</w:t>
      </w:r>
      <w:r w:rsidR="00991ADA">
        <w:rPr>
          <w:rFonts w:eastAsia="Calibri"/>
          <w:szCs w:val="22"/>
        </w:rPr>
        <w:t xml:space="preserve"> the</w:t>
      </w:r>
      <w:r w:rsidRPr="009E4FFC">
        <w:rPr>
          <w:rFonts w:eastAsia="Calibri"/>
          <w:szCs w:val="22"/>
        </w:rPr>
        <w:t xml:space="preserve"> Croatian </w:t>
      </w:r>
      <w:proofErr w:type="spellStart"/>
      <w:r w:rsidRPr="009E4FFC">
        <w:rPr>
          <w:rFonts w:eastAsia="Calibri"/>
          <w:szCs w:val="22"/>
        </w:rPr>
        <w:t>kuna</w:t>
      </w:r>
      <w:proofErr w:type="spellEnd"/>
      <w:r w:rsidRPr="009E4FFC">
        <w:rPr>
          <w:rFonts w:eastAsia="Calibri"/>
          <w:szCs w:val="22"/>
        </w:rPr>
        <w:t xml:space="preserve"> to euro in order to meet its primary objective of maintaining price stability. However, this approach has been criticized and the overvaluation of</w:t>
      </w:r>
      <w:r w:rsidR="00991ADA">
        <w:rPr>
          <w:rFonts w:eastAsia="Calibri"/>
          <w:szCs w:val="22"/>
        </w:rPr>
        <w:t xml:space="preserve"> the</w:t>
      </w:r>
      <w:r w:rsidRPr="009E4FFC">
        <w:rPr>
          <w:rFonts w:eastAsia="Calibri"/>
          <w:szCs w:val="22"/>
        </w:rPr>
        <w:t xml:space="preserve"> Croatian </w:t>
      </w:r>
      <w:proofErr w:type="spellStart"/>
      <w:r w:rsidRPr="009E4FFC">
        <w:rPr>
          <w:rFonts w:eastAsia="Calibri"/>
          <w:szCs w:val="22"/>
        </w:rPr>
        <w:t>kuna</w:t>
      </w:r>
      <w:proofErr w:type="spellEnd"/>
      <w:r w:rsidRPr="009E4FFC">
        <w:rPr>
          <w:rFonts w:eastAsia="Calibri"/>
          <w:szCs w:val="22"/>
        </w:rPr>
        <w:t xml:space="preserve"> is often discussed as it is believed that the overvalued local currency could have a negative </w:t>
      </w:r>
      <w:r w:rsidR="00991ADA">
        <w:rPr>
          <w:rFonts w:eastAsia="Calibri"/>
          <w:szCs w:val="22"/>
        </w:rPr>
        <w:t>impact</w:t>
      </w:r>
      <w:r w:rsidRPr="009E4FFC">
        <w:rPr>
          <w:rFonts w:eastAsia="Calibri"/>
          <w:szCs w:val="22"/>
        </w:rPr>
        <w:t xml:space="preserve"> on the economic activity, primarily through its unfavorable effect on the competitiveness of domestic products on the global market [27].</w:t>
      </w:r>
    </w:p>
    <w:p w:rsidR="006D6858" w:rsidRPr="009E4FFC" w:rsidRDefault="00B50816" w:rsidP="0028472B">
      <w:pPr>
        <w:ind w:firstLine="432"/>
        <w:jc w:val="both"/>
        <w:rPr>
          <w:rFonts w:eastAsia="Calibri"/>
        </w:rPr>
      </w:pPr>
      <w:r w:rsidRPr="009E4FFC">
        <w:rPr>
          <w:rFonts w:eastAsia="Calibri"/>
          <w:szCs w:val="22"/>
        </w:rPr>
        <w:t xml:space="preserve">The aim of this paper is to identify the periods of RER misalignments in Croatia in a period from </w:t>
      </w:r>
      <w:r w:rsidRPr="009E4FFC">
        <w:rPr>
          <w:rFonts w:eastAsia="Calibri"/>
        </w:rPr>
        <w:t>the first quarter of 1998 to the first quarter of 2014. The empirical analysis is conducted in three steps. Firstly, the behavioral equilibrium exchange rate (BEER) approach is implemented in order to determine which economic fundamentals explain the dynamic</w:t>
      </w:r>
      <w:r w:rsidR="00991ADA">
        <w:rPr>
          <w:rFonts w:eastAsia="Calibri"/>
        </w:rPr>
        <w:t>s</w:t>
      </w:r>
      <w:r w:rsidRPr="009E4FFC">
        <w:rPr>
          <w:rFonts w:eastAsia="Calibri"/>
        </w:rPr>
        <w:t xml:space="preserve"> of </w:t>
      </w:r>
      <w:r w:rsidRPr="009E4FFC">
        <w:rPr>
          <w:rFonts w:eastAsia="Calibri"/>
        </w:rPr>
        <w:lastRenderedPageBreak/>
        <w:t xml:space="preserve">the RER in Croatia. After the selection of appropriate fundamentals, </w:t>
      </w:r>
      <w:r w:rsidR="00991ADA">
        <w:rPr>
          <w:rFonts w:eastAsia="Calibri"/>
        </w:rPr>
        <w:t>a long-</w:t>
      </w:r>
      <w:r w:rsidRPr="009E4FFC">
        <w:rPr>
          <w:rFonts w:eastAsia="Calibri"/>
        </w:rPr>
        <w:t xml:space="preserve">run relationship between the RER and its determinants is obtained using Johansen’s </w:t>
      </w:r>
      <w:proofErr w:type="spellStart"/>
      <w:r w:rsidRPr="009E4FFC">
        <w:rPr>
          <w:rFonts w:eastAsia="Calibri"/>
        </w:rPr>
        <w:t>cointegration</w:t>
      </w:r>
      <w:proofErr w:type="spellEnd"/>
      <w:r w:rsidRPr="009E4FFC">
        <w:rPr>
          <w:rFonts w:eastAsia="Calibri"/>
        </w:rPr>
        <w:t xml:space="preserve"> approach. Furthermore, the permanent equilibrium exchange rate (PEER) approach is used to determine the ERER level in Croatia, which is finally used for the calculation of misalignment and the identification of overvaluation and undervaluation periods. </w:t>
      </w:r>
    </w:p>
    <w:p w:rsidR="0028472B" w:rsidRPr="009E4FFC" w:rsidRDefault="0028472B" w:rsidP="0028472B">
      <w:pPr>
        <w:jc w:val="both"/>
        <w:rPr>
          <w:rFonts w:eastAsia="Calibri"/>
          <w:szCs w:val="22"/>
        </w:rPr>
      </w:pPr>
    </w:p>
    <w:p w:rsidR="00B50816" w:rsidRPr="00C84E6D" w:rsidRDefault="00B50816" w:rsidP="00C84E6D">
      <w:pPr>
        <w:pStyle w:val="ListParagraph"/>
        <w:numPr>
          <w:ilvl w:val="0"/>
          <w:numId w:val="26"/>
        </w:numPr>
        <w:rPr>
          <w:b/>
          <w:sz w:val="28"/>
        </w:rPr>
      </w:pPr>
      <w:r w:rsidRPr="00C84E6D">
        <w:rPr>
          <w:b/>
          <w:sz w:val="28"/>
        </w:rPr>
        <w:t>Literature review</w:t>
      </w:r>
    </w:p>
    <w:p w:rsidR="00C84E6D" w:rsidRPr="009E4FFC" w:rsidRDefault="00C84E6D" w:rsidP="006D6858">
      <w:pPr>
        <w:autoSpaceDE w:val="0"/>
        <w:autoSpaceDN w:val="0"/>
        <w:adjustRightInd w:val="0"/>
        <w:rPr>
          <w:szCs w:val="22"/>
          <w:lang w:val="hr-HR" w:eastAsia="hr-HR"/>
        </w:rPr>
      </w:pPr>
    </w:p>
    <w:p w:rsidR="00B50816" w:rsidRPr="00C84E6D" w:rsidRDefault="00B50816" w:rsidP="00C84E6D">
      <w:pPr>
        <w:pStyle w:val="ListParagraph"/>
        <w:numPr>
          <w:ilvl w:val="1"/>
          <w:numId w:val="34"/>
        </w:numPr>
        <w:rPr>
          <w:b/>
        </w:rPr>
      </w:pPr>
      <w:r w:rsidRPr="00C84E6D">
        <w:rPr>
          <w:b/>
        </w:rPr>
        <w:t>The main approaches for the determination of the ERER</w:t>
      </w:r>
    </w:p>
    <w:p w:rsidR="00C956C2" w:rsidRPr="009E4FFC" w:rsidRDefault="00C956C2" w:rsidP="00C956C2">
      <w:pPr>
        <w:jc w:val="both"/>
        <w:rPr>
          <w:b/>
          <w:bCs/>
          <w:lang w:val="en-GB"/>
        </w:rPr>
      </w:pPr>
    </w:p>
    <w:p w:rsidR="00B50816" w:rsidRPr="009E4FFC" w:rsidRDefault="00B50816" w:rsidP="00B50816">
      <w:pPr>
        <w:jc w:val="both"/>
      </w:pPr>
      <w:r w:rsidRPr="009E4FFC">
        <w:t xml:space="preserve">RER misalignments are measured as </w:t>
      </w:r>
      <w:r w:rsidR="00991ADA">
        <w:t>a</w:t>
      </w:r>
      <w:r w:rsidRPr="009E4FFC">
        <w:t xml:space="preserve"> deviation of the actual RER with respect to some equilibrium level [2]. However, there is no general agreement on the right model which should be used for the determination of the ERER, which makes its measurement even more controversial. However, based on the extensive theoretical and empirical literature (for </w:t>
      </w:r>
      <w:r w:rsidR="00991ADA">
        <w:t xml:space="preserve">a </w:t>
      </w:r>
      <w:r w:rsidRPr="009E4FFC">
        <w:t>detailed literature review</w:t>
      </w:r>
      <w:r w:rsidR="00991ADA">
        <w:t>,</w:t>
      </w:r>
      <w:r w:rsidRPr="009E4FFC">
        <w:t xml:space="preserve"> see e.g. [15]) </w:t>
      </w:r>
      <w:r w:rsidR="00991ADA">
        <w:t xml:space="preserve">the </w:t>
      </w:r>
      <w:r w:rsidRPr="009E4FFC">
        <w:t xml:space="preserve">following two approaches have been widely used for the determination of the equilibrium real exchange rate (ERER): </w:t>
      </w:r>
      <w:r w:rsidR="00991ADA">
        <w:t xml:space="preserve">the </w:t>
      </w:r>
      <w:r w:rsidRPr="009E4FFC">
        <w:t xml:space="preserve">fundamental equilibrium exchange rate (FEER) and </w:t>
      </w:r>
      <w:r w:rsidR="00991ADA">
        <w:t xml:space="preserve">the </w:t>
      </w:r>
      <w:r w:rsidRPr="009E4FFC">
        <w:t xml:space="preserve">behavioral equilibrium exchange rate (BEER). The FEER approach measures the ERER as the one that is in line with both internal and external equilibrium [30]. However, although the FEER approach is openly normative methodology, which is one of its main advantages, it relies on price </w:t>
      </w:r>
      <w:proofErr w:type="spellStart"/>
      <w:r w:rsidRPr="009E4FFC">
        <w:t>elasticities</w:t>
      </w:r>
      <w:proofErr w:type="spellEnd"/>
      <w:r w:rsidRPr="009E4FFC">
        <w:t xml:space="preserve"> that are difficult to estimate, and on current account targets that should be reached [5]. The BEER approach defines the ERER as the one that is consistent with economic fundamentals, such as net foreign asset, terms of trade, productivity and oil prices, in long run [7].</w:t>
      </w:r>
    </w:p>
    <w:p w:rsidR="00781645" w:rsidRPr="005B6E86" w:rsidRDefault="00B50816" w:rsidP="005B6E86">
      <w:pPr>
        <w:ind w:firstLine="360"/>
        <w:jc w:val="both"/>
      </w:pPr>
      <w:r w:rsidRPr="009E4FFC">
        <w:t>However, in [10]</w:t>
      </w:r>
      <w:r w:rsidR="00991ADA">
        <w:t>,</w:t>
      </w:r>
      <w:r w:rsidRPr="009E4FFC">
        <w:t xml:space="preserve"> it is claimed that economic fundamentals identified by</w:t>
      </w:r>
      <w:r w:rsidR="00B42F6C">
        <w:t xml:space="preserve"> the</w:t>
      </w:r>
      <w:r w:rsidRPr="009E4FFC">
        <w:t xml:space="preserve"> </w:t>
      </w:r>
      <w:r w:rsidR="00B42F6C">
        <w:t>BEER approach are not necessar</w:t>
      </w:r>
      <w:r w:rsidRPr="009E4FFC">
        <w:t>y at their equilibrium level what results in</w:t>
      </w:r>
      <w:r w:rsidR="00B42F6C">
        <w:t xml:space="preserve"> an</w:t>
      </w:r>
      <w:r w:rsidRPr="009E4FFC">
        <w:t xml:space="preserve"> incorrect estimation of RER misalignment. In other words, it is assumed that the actual value of economic fundamentals consists of </w:t>
      </w:r>
      <w:r w:rsidR="00B42F6C">
        <w:t xml:space="preserve">a </w:t>
      </w:r>
      <w:r w:rsidRPr="009E4FFC">
        <w:t xml:space="preserve">transitory and </w:t>
      </w:r>
      <w:r w:rsidR="00B42F6C">
        <w:t xml:space="preserve">a </w:t>
      </w:r>
      <w:r w:rsidRPr="009E4FFC">
        <w:t>permanent component, which are decomposed in order to obtain permanent levels of fundamentals [9]. Thus, the permanent component is obtained by removing the cyclical component from the estimated BEER and results in the permanent equilibrium exchange (PEER) level.</w:t>
      </w:r>
      <w:r w:rsidR="00781645">
        <w:rPr>
          <w:b/>
        </w:rPr>
        <w:br w:type="page"/>
      </w:r>
    </w:p>
    <w:p w:rsidR="00B50816" w:rsidRPr="00C84E6D" w:rsidRDefault="00B42F6C" w:rsidP="00C84E6D">
      <w:pPr>
        <w:pStyle w:val="ListParagraph"/>
        <w:numPr>
          <w:ilvl w:val="1"/>
          <w:numId w:val="34"/>
        </w:numPr>
        <w:contextualSpacing/>
        <w:jc w:val="both"/>
        <w:rPr>
          <w:b/>
        </w:rPr>
      </w:pPr>
      <w:r>
        <w:rPr>
          <w:b/>
        </w:rPr>
        <w:lastRenderedPageBreak/>
        <w:t>E</w:t>
      </w:r>
      <w:r w:rsidR="00B50816" w:rsidRPr="00C84E6D">
        <w:rPr>
          <w:b/>
        </w:rPr>
        <w:t>xisting equilibrium real exchange rate models for Croatia</w:t>
      </w:r>
    </w:p>
    <w:p w:rsidR="00B50816" w:rsidRPr="009E4FFC" w:rsidRDefault="00B50816" w:rsidP="00B50816">
      <w:pPr>
        <w:jc w:val="both"/>
      </w:pPr>
    </w:p>
    <w:p w:rsidR="00B50816" w:rsidRPr="009E4FFC" w:rsidRDefault="00B50816" w:rsidP="00B50816">
      <w:pPr>
        <w:jc w:val="both"/>
      </w:pPr>
      <w:r w:rsidRPr="009E4FFC">
        <w:t xml:space="preserve">Despite the fact that the ER is an important macroeconomic variable, the empirical research on RER misalignment in Croatia is limited. To the </w:t>
      </w:r>
      <w:r w:rsidR="00B42F6C">
        <w:t xml:space="preserve">best of authors’ </w:t>
      </w:r>
      <w:r w:rsidRPr="009E4FFC">
        <w:t xml:space="preserve">knowledge, the econometrical assessment of the ERER </w:t>
      </w:r>
      <w:r w:rsidR="00B42F6C">
        <w:t>was</w:t>
      </w:r>
      <w:r w:rsidRPr="009E4FFC">
        <w:t xml:space="preserve"> done in [4] and [6]. In both papers the BEER approach is applied in order to calculate</w:t>
      </w:r>
      <w:r w:rsidR="00B42F6C">
        <w:t xml:space="preserve"> the</w:t>
      </w:r>
      <w:r w:rsidRPr="009E4FFC">
        <w:t xml:space="preserve"> equilibrium real effective exchange rate of Croatian </w:t>
      </w:r>
      <w:proofErr w:type="spellStart"/>
      <w:r w:rsidRPr="009E4FFC">
        <w:t>kuna</w:t>
      </w:r>
      <w:proofErr w:type="spellEnd"/>
      <w:r w:rsidRPr="009E4FFC">
        <w:t xml:space="preserve"> and the extent to which the RER deviates from its permanent equilibrium level. For that purpose, Johansen’s Maximum Likelihood method of </w:t>
      </w:r>
      <w:proofErr w:type="spellStart"/>
      <w:r w:rsidRPr="009E4FFC">
        <w:t>cointegration</w:t>
      </w:r>
      <w:proofErr w:type="spellEnd"/>
      <w:r w:rsidRPr="009E4FFC">
        <w:t xml:space="preserve"> is used. The research of [4] uses quarterly data from the first quarter of 1995 to the third quarter of 2006 on the following fundamentals: relative effective price of </w:t>
      </w:r>
      <w:proofErr w:type="spellStart"/>
      <w:r w:rsidRPr="009E4FFC">
        <w:t>tradables</w:t>
      </w:r>
      <w:proofErr w:type="spellEnd"/>
      <w:r w:rsidRPr="009E4FFC">
        <w:t xml:space="preserve"> and non-</w:t>
      </w:r>
      <w:proofErr w:type="spellStart"/>
      <w:r w:rsidRPr="009E4FFC">
        <w:t>tradables</w:t>
      </w:r>
      <w:proofErr w:type="spellEnd"/>
      <w:r w:rsidRPr="009E4FFC">
        <w:t xml:space="preserve"> (TNT), net foreign assets (NFA), real interest rate differential (IRD) and relative terms of trade (TOT). The results of [4] indicated that the behavior of the ERER in Croatia can be explained by TNT, IRD and TOT, while NFA showed no significance. Furthermore, the estimated model indicated that the RER was very close to</w:t>
      </w:r>
      <w:r w:rsidR="00B42F6C">
        <w:t xml:space="preserve"> the</w:t>
      </w:r>
      <w:r w:rsidRPr="009E4FFC">
        <w:t xml:space="preserve"> ERER in all analyzed periods. However, the only period in which the systematic deviation was longer than 2 periods was in 2000, when the RER seemed to be slightly undervalued compared to the ERER.   </w:t>
      </w:r>
    </w:p>
    <w:p w:rsidR="00B50816" w:rsidRDefault="00B50816" w:rsidP="00C949D8">
      <w:pPr>
        <w:ind w:firstLine="432"/>
        <w:jc w:val="both"/>
      </w:pPr>
      <w:r w:rsidRPr="009E4FFC">
        <w:t xml:space="preserve">Furthermore, the Consultative Group on Exchange Rate Issues (CGER) of </w:t>
      </w:r>
      <w:r w:rsidR="00B42F6C">
        <w:t xml:space="preserve">the </w:t>
      </w:r>
      <w:r w:rsidRPr="009E4FFC">
        <w:t>International monetary fund (IMF) provides ER assessments for C</w:t>
      </w:r>
      <w:r w:rsidR="00B42F6C">
        <w:t xml:space="preserve">roatia, usually once a year, as </w:t>
      </w:r>
      <w:r w:rsidRPr="009E4FFC">
        <w:t>part of Article IV Staff Reports [23]. They use three different approaches,</w:t>
      </w:r>
      <w:r w:rsidR="00B42F6C">
        <w:t xml:space="preserve"> which are explained in detail</w:t>
      </w:r>
      <w:r w:rsidRPr="009E4FFC">
        <w:t xml:space="preserve"> in [23]: </w:t>
      </w:r>
      <w:r w:rsidR="00B42F6C">
        <w:t xml:space="preserve">the </w:t>
      </w:r>
      <w:r w:rsidRPr="009E4FFC">
        <w:t xml:space="preserve">macroeconomic balance approach, </w:t>
      </w:r>
      <w:r w:rsidR="009B146C">
        <w:t xml:space="preserve">a </w:t>
      </w:r>
      <w:r w:rsidRPr="009E4FFC">
        <w:t>reduced form</w:t>
      </w:r>
      <w:r w:rsidR="00A040FC">
        <w:t xml:space="preserve"> </w:t>
      </w:r>
      <w:r w:rsidRPr="009E4FFC">
        <w:t xml:space="preserve">ERER approach and </w:t>
      </w:r>
      <w:r w:rsidR="009B146C">
        <w:t xml:space="preserve">the </w:t>
      </w:r>
      <w:r w:rsidRPr="009E4FFC">
        <w:t>external sustainability approach in order to provide information about medium-term real exchange rates and current account balances, as well as to determine the relative importance of a number of economic factors on</w:t>
      </w:r>
      <w:r w:rsidR="009B146C">
        <w:t xml:space="preserve"> the</w:t>
      </w:r>
      <w:r w:rsidRPr="009E4FFC">
        <w:t xml:space="preserve"> aforementioned variables. The IMF estimated misalignment of the Croatian RER in 2013, whose results are presented in Table 1. The negative values of misalignment point to overvaluation while the positive values point to undervaluation.</w:t>
      </w:r>
    </w:p>
    <w:p w:rsidR="00C956C2" w:rsidRPr="00781645" w:rsidRDefault="00781645" w:rsidP="005B6E86">
      <w:pPr>
        <w:ind w:firstLine="360"/>
        <w:jc w:val="both"/>
      </w:pPr>
      <w:r>
        <w:t xml:space="preserve">Table 1 </w:t>
      </w:r>
      <w:proofErr w:type="gramStart"/>
      <w:r w:rsidRPr="009E4FFC">
        <w:t>shows</w:t>
      </w:r>
      <w:proofErr w:type="gramEnd"/>
      <w:r w:rsidRPr="009E4FFC">
        <w:t xml:space="preserve"> that estimated misalignment does not provide a clear result. According to the macroeconomic balance approach</w:t>
      </w:r>
      <w:r>
        <w:t>,</w:t>
      </w:r>
      <w:r w:rsidRPr="009E4FFC">
        <w:t xml:space="preserve"> the </w:t>
      </w:r>
      <w:proofErr w:type="spellStart"/>
      <w:r w:rsidRPr="009E4FFC">
        <w:t>kuna</w:t>
      </w:r>
      <w:proofErr w:type="spellEnd"/>
      <w:r w:rsidRPr="009E4FFC">
        <w:t xml:space="preserve"> is overvalued</w:t>
      </w:r>
      <w:r>
        <w:t xml:space="preserve"> by</w:t>
      </w:r>
      <w:r w:rsidRPr="009E4FFC">
        <w:t xml:space="preserve"> 0.7%. On the other hand, external sustainability and</w:t>
      </w:r>
      <w:r>
        <w:t xml:space="preserve"> the</w:t>
      </w:r>
      <w:r w:rsidRPr="009E4FFC">
        <w:t xml:space="preserve"> ERER approach provide mixed results, from which </w:t>
      </w:r>
      <w:r>
        <w:t>it cannot be concluded</w:t>
      </w:r>
      <w:r w:rsidRPr="009E4FFC">
        <w:t xml:space="preserve"> whether the Croatian </w:t>
      </w:r>
      <w:proofErr w:type="spellStart"/>
      <w:r w:rsidRPr="009E4FFC">
        <w:t>kuna</w:t>
      </w:r>
      <w:proofErr w:type="spellEnd"/>
      <w:r w:rsidRPr="009E4FFC">
        <w:t xml:space="preserve"> is overvalued or undervalued. </w:t>
      </w:r>
      <w:bookmarkStart w:id="0" w:name="_GoBack"/>
      <w:bookmarkEnd w:id="0"/>
      <w:r>
        <w:br w:type="page"/>
      </w:r>
    </w:p>
    <w:tbl>
      <w:tblPr>
        <w:tblStyle w:val="MediumList2"/>
        <w:tblW w:w="6927" w:type="dxa"/>
        <w:jc w:val="center"/>
        <w:tblInd w:w="43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522"/>
        <w:gridCol w:w="620"/>
        <w:gridCol w:w="3700"/>
        <w:gridCol w:w="2085"/>
      </w:tblGrid>
      <w:tr w:rsidR="00B50816" w:rsidRPr="00781645" w:rsidTr="009777C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4842" w:type="dxa"/>
            <w:gridSpan w:val="3"/>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b/>
                <w:color w:val="auto"/>
                <w:sz w:val="22"/>
                <w:lang w:eastAsia="hr-HR"/>
              </w:rPr>
            </w:pPr>
            <w:r w:rsidRPr="00781645">
              <w:rPr>
                <w:rFonts w:ascii="Times New Roman" w:eastAsia="Times New Roman" w:hAnsi="Times New Roman" w:cs="Times New Roman"/>
                <w:b/>
                <w:color w:val="auto"/>
                <w:sz w:val="22"/>
                <w:lang w:eastAsia="hr-HR"/>
              </w:rPr>
              <w:lastRenderedPageBreak/>
              <w:t>Methodology</w:t>
            </w:r>
          </w:p>
        </w:tc>
        <w:tc>
          <w:tcPr>
            <w:tcW w:w="2085"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2"/>
                <w:lang w:eastAsia="hr-HR"/>
              </w:rPr>
            </w:pPr>
            <w:r w:rsidRPr="00781645">
              <w:rPr>
                <w:rFonts w:ascii="Times New Roman" w:eastAsia="Times New Roman" w:hAnsi="Times New Roman" w:cs="Times New Roman"/>
                <w:b/>
                <w:color w:val="auto"/>
                <w:sz w:val="22"/>
                <w:lang w:eastAsia="hr-HR"/>
              </w:rPr>
              <w:t xml:space="preserve">Estimated </w:t>
            </w:r>
            <w:r w:rsidRPr="00781645">
              <w:rPr>
                <w:rFonts w:ascii="Times New Roman" w:eastAsia="Times New Roman" w:hAnsi="Times New Roman" w:cs="Times New Roman"/>
                <w:b/>
                <w:sz w:val="22"/>
                <w:lang w:eastAsia="hr-HR"/>
              </w:rPr>
              <w:t>misalignment (%)</w:t>
            </w:r>
          </w:p>
        </w:tc>
      </w:tr>
      <w:tr w:rsidR="00B50816" w:rsidRPr="00781645" w:rsidTr="009777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b/>
                <w:color w:val="000000"/>
                <w:sz w:val="22"/>
                <w:lang w:eastAsia="hr-HR"/>
              </w:rPr>
            </w:pPr>
            <w:r w:rsidRPr="00781645">
              <w:rPr>
                <w:rFonts w:ascii="Times New Roman" w:eastAsia="Times New Roman" w:hAnsi="Times New Roman" w:cs="Times New Roman"/>
                <w:b/>
                <w:color w:val="000000"/>
                <w:sz w:val="22"/>
                <w:lang w:eastAsia="hr-HR"/>
              </w:rPr>
              <w:t>1.</w:t>
            </w:r>
          </w:p>
        </w:tc>
        <w:tc>
          <w:tcPr>
            <w:tcW w:w="4320"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Macroeconomic balance approach</w:t>
            </w:r>
          </w:p>
        </w:tc>
        <w:tc>
          <w:tcPr>
            <w:tcW w:w="2085" w:type="dxa"/>
            <w:tcBorders>
              <w:top w:val="none" w:sz="0" w:space="0" w:color="auto"/>
              <w:left w:val="none" w:sz="0" w:space="0" w:color="auto"/>
              <w:bottom w:val="none" w:sz="0" w:space="0" w:color="auto"/>
            </w:tcBorders>
            <w:shd w:val="clear" w:color="auto" w:fill="auto"/>
            <w:noWrap/>
            <w:vAlign w:val="center"/>
            <w:hideMark/>
          </w:tcPr>
          <w:p w:rsidR="00B50816" w:rsidRPr="00781645" w:rsidRDefault="00B50816" w:rsidP="00285A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-0.7</w:t>
            </w:r>
          </w:p>
        </w:tc>
      </w:tr>
      <w:tr w:rsidR="00B50816" w:rsidRPr="00781645" w:rsidTr="009777C1">
        <w:trPr>
          <w:trHeight w:val="300"/>
          <w:jc w:val="center"/>
        </w:trPr>
        <w:tc>
          <w:tcPr>
            <w:cnfStyle w:val="001000000000" w:firstRow="0" w:lastRow="0" w:firstColumn="1" w:lastColumn="0" w:oddVBand="0" w:evenVBand="0" w:oddHBand="0" w:evenHBand="0" w:firstRowFirstColumn="0" w:firstRowLastColumn="0" w:lastRowFirstColumn="0" w:lastRowLastColumn="0"/>
            <w:tcW w:w="522" w:type="dxa"/>
            <w:tcBorders>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b/>
                <w:color w:val="000000"/>
                <w:sz w:val="22"/>
                <w:lang w:eastAsia="hr-HR"/>
              </w:rPr>
            </w:pPr>
            <w:r w:rsidRPr="00781645">
              <w:rPr>
                <w:rFonts w:ascii="Times New Roman" w:eastAsia="Times New Roman" w:hAnsi="Times New Roman" w:cs="Times New Roman"/>
                <w:b/>
                <w:color w:val="000000"/>
                <w:sz w:val="22"/>
                <w:lang w:eastAsia="hr-HR"/>
              </w:rPr>
              <w:t>2.</w:t>
            </w:r>
          </w:p>
        </w:tc>
        <w:tc>
          <w:tcPr>
            <w:tcW w:w="4320" w:type="dxa"/>
            <w:gridSpan w:val="2"/>
            <w:shd w:val="clear" w:color="auto" w:fill="auto"/>
            <w:noWrap/>
            <w:vAlign w:val="center"/>
            <w:hideMark/>
          </w:tcPr>
          <w:p w:rsidR="00B50816" w:rsidRPr="00781645" w:rsidRDefault="00B50816" w:rsidP="00285A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External sustainability approach</w:t>
            </w:r>
          </w:p>
        </w:tc>
        <w:tc>
          <w:tcPr>
            <w:tcW w:w="2085" w:type="dxa"/>
            <w:shd w:val="clear" w:color="auto" w:fill="auto"/>
            <w:noWrap/>
            <w:vAlign w:val="center"/>
            <w:hideMark/>
          </w:tcPr>
          <w:p w:rsidR="00B50816" w:rsidRPr="00781645" w:rsidRDefault="00B50816" w:rsidP="00285A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eastAsia="hr-HR"/>
              </w:rPr>
            </w:pPr>
          </w:p>
        </w:tc>
      </w:tr>
      <w:tr w:rsidR="00B50816" w:rsidRPr="00781645" w:rsidTr="009777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 w:type="dxa"/>
            <w:vMerge w:val="restart"/>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color w:val="000000"/>
                <w:sz w:val="22"/>
                <w:lang w:eastAsia="hr-HR"/>
              </w:rPr>
            </w:pPr>
          </w:p>
        </w:tc>
        <w:tc>
          <w:tcPr>
            <w:tcW w:w="62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2"/>
                <w:lang w:eastAsia="hr-HR"/>
              </w:rPr>
            </w:pPr>
            <w:r w:rsidRPr="00781645">
              <w:rPr>
                <w:rFonts w:ascii="Times New Roman" w:eastAsia="Times New Roman" w:hAnsi="Times New Roman" w:cs="Times New Roman"/>
                <w:b/>
                <w:color w:val="000000"/>
                <w:sz w:val="22"/>
                <w:lang w:eastAsia="hr-HR"/>
              </w:rPr>
              <w:t>A.</w:t>
            </w:r>
          </w:p>
        </w:tc>
        <w:tc>
          <w:tcPr>
            <w:tcW w:w="3700"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Stabilizing NFA at -40% of GDP</w:t>
            </w:r>
          </w:p>
        </w:tc>
        <w:tc>
          <w:tcPr>
            <w:tcW w:w="2085" w:type="dxa"/>
            <w:tcBorders>
              <w:top w:val="none" w:sz="0" w:space="0" w:color="auto"/>
              <w:left w:val="none" w:sz="0" w:space="0" w:color="auto"/>
              <w:bottom w:val="none" w:sz="0" w:space="0" w:color="auto"/>
            </w:tcBorders>
            <w:shd w:val="clear" w:color="auto" w:fill="auto"/>
            <w:noWrap/>
            <w:vAlign w:val="center"/>
            <w:hideMark/>
          </w:tcPr>
          <w:p w:rsidR="00B50816" w:rsidRPr="00781645" w:rsidRDefault="00B50816" w:rsidP="00285A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0.2</w:t>
            </w:r>
          </w:p>
        </w:tc>
      </w:tr>
      <w:tr w:rsidR="00B50816" w:rsidRPr="00781645" w:rsidTr="009777C1">
        <w:trPr>
          <w:trHeight w:val="300"/>
          <w:jc w:val="center"/>
        </w:trPr>
        <w:tc>
          <w:tcPr>
            <w:cnfStyle w:val="001000000000" w:firstRow="0" w:lastRow="0" w:firstColumn="1" w:lastColumn="0" w:oddVBand="0" w:evenVBand="0" w:oddHBand="0" w:evenHBand="0" w:firstRowFirstColumn="0" w:firstRowLastColumn="0" w:lastRowFirstColumn="0" w:lastRowLastColumn="0"/>
            <w:tcW w:w="522" w:type="dxa"/>
            <w:vMerge/>
            <w:tcBorders>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color w:val="000000"/>
                <w:sz w:val="22"/>
                <w:lang w:eastAsia="hr-HR"/>
              </w:rPr>
            </w:pPr>
          </w:p>
        </w:tc>
        <w:tc>
          <w:tcPr>
            <w:tcW w:w="620" w:type="dxa"/>
            <w:shd w:val="clear" w:color="auto" w:fill="auto"/>
            <w:noWrap/>
            <w:vAlign w:val="center"/>
            <w:hideMark/>
          </w:tcPr>
          <w:p w:rsidR="00B50816" w:rsidRPr="00781645" w:rsidRDefault="00B50816" w:rsidP="00285A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2"/>
                <w:lang w:eastAsia="hr-HR"/>
              </w:rPr>
            </w:pPr>
            <w:r w:rsidRPr="00781645">
              <w:rPr>
                <w:rFonts w:ascii="Times New Roman" w:eastAsia="Times New Roman" w:hAnsi="Times New Roman" w:cs="Times New Roman"/>
                <w:b/>
                <w:color w:val="000000"/>
                <w:sz w:val="22"/>
                <w:lang w:eastAsia="hr-HR"/>
              </w:rPr>
              <w:t>B.</w:t>
            </w:r>
          </w:p>
        </w:tc>
        <w:tc>
          <w:tcPr>
            <w:tcW w:w="3700" w:type="dxa"/>
            <w:shd w:val="clear" w:color="auto" w:fill="auto"/>
            <w:noWrap/>
            <w:vAlign w:val="center"/>
            <w:hideMark/>
          </w:tcPr>
          <w:p w:rsidR="00B50816" w:rsidRPr="00781645" w:rsidRDefault="00B50816" w:rsidP="00285A1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Stabilizing NFA at -89% of GDP</w:t>
            </w:r>
          </w:p>
        </w:tc>
        <w:tc>
          <w:tcPr>
            <w:tcW w:w="2085" w:type="dxa"/>
            <w:shd w:val="clear" w:color="auto" w:fill="auto"/>
            <w:noWrap/>
            <w:vAlign w:val="center"/>
            <w:hideMark/>
          </w:tcPr>
          <w:p w:rsidR="00B50816" w:rsidRPr="00781645" w:rsidRDefault="00B50816" w:rsidP="00285A1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-6.9</w:t>
            </w:r>
          </w:p>
        </w:tc>
      </w:tr>
      <w:tr w:rsidR="00B50816" w:rsidRPr="00781645" w:rsidTr="009777C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22" w:type="dxa"/>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jc w:val="center"/>
              <w:rPr>
                <w:rFonts w:ascii="Times New Roman" w:eastAsia="Times New Roman" w:hAnsi="Times New Roman" w:cs="Times New Roman"/>
                <w:b/>
                <w:color w:val="000000"/>
                <w:sz w:val="22"/>
                <w:lang w:eastAsia="hr-HR"/>
              </w:rPr>
            </w:pPr>
            <w:r w:rsidRPr="00781645">
              <w:rPr>
                <w:rFonts w:ascii="Times New Roman" w:eastAsia="Times New Roman" w:hAnsi="Times New Roman" w:cs="Times New Roman"/>
                <w:b/>
                <w:color w:val="000000"/>
                <w:sz w:val="22"/>
                <w:lang w:eastAsia="hr-HR"/>
              </w:rPr>
              <w:t>3.</w:t>
            </w:r>
          </w:p>
        </w:tc>
        <w:tc>
          <w:tcPr>
            <w:tcW w:w="4320" w:type="dxa"/>
            <w:gridSpan w:val="2"/>
            <w:tcBorders>
              <w:top w:val="none" w:sz="0" w:space="0" w:color="auto"/>
              <w:left w:val="none" w:sz="0" w:space="0" w:color="auto"/>
              <w:bottom w:val="none" w:sz="0" w:space="0" w:color="auto"/>
              <w:right w:val="none" w:sz="0" w:space="0" w:color="auto"/>
            </w:tcBorders>
            <w:shd w:val="clear" w:color="auto" w:fill="auto"/>
            <w:noWrap/>
            <w:vAlign w:val="center"/>
            <w:hideMark/>
          </w:tcPr>
          <w:p w:rsidR="00B50816" w:rsidRPr="00781645" w:rsidRDefault="00B50816" w:rsidP="00285A1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Equilibrium exchange rate approach</w:t>
            </w:r>
          </w:p>
        </w:tc>
        <w:tc>
          <w:tcPr>
            <w:tcW w:w="2085" w:type="dxa"/>
            <w:tcBorders>
              <w:top w:val="none" w:sz="0" w:space="0" w:color="auto"/>
              <w:left w:val="none" w:sz="0" w:space="0" w:color="auto"/>
              <w:bottom w:val="none" w:sz="0" w:space="0" w:color="auto"/>
            </w:tcBorders>
            <w:shd w:val="clear" w:color="auto" w:fill="auto"/>
            <w:noWrap/>
            <w:vAlign w:val="center"/>
            <w:hideMark/>
          </w:tcPr>
          <w:p w:rsidR="00B50816" w:rsidRPr="00781645" w:rsidRDefault="00B50816" w:rsidP="00285A1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2"/>
                <w:lang w:eastAsia="hr-HR"/>
              </w:rPr>
            </w:pPr>
            <w:r w:rsidRPr="00781645">
              <w:rPr>
                <w:rFonts w:ascii="Times New Roman" w:eastAsia="Times New Roman" w:hAnsi="Times New Roman" w:cs="Times New Roman"/>
                <w:color w:val="000000"/>
                <w:sz w:val="22"/>
                <w:lang w:eastAsia="hr-HR"/>
              </w:rPr>
              <w:t>from -3.1 to 9.4</w:t>
            </w:r>
          </w:p>
        </w:tc>
      </w:tr>
    </w:tbl>
    <w:p w:rsidR="0049160A" w:rsidRPr="009E4FFC" w:rsidRDefault="0049160A" w:rsidP="007727DE">
      <w:pPr>
        <w:pStyle w:val="BodyText"/>
        <w:spacing w:before="120"/>
        <w:rPr>
          <w:b w:val="0"/>
          <w:sz w:val="22"/>
          <w:szCs w:val="22"/>
        </w:rPr>
      </w:pPr>
      <w:r w:rsidRPr="009E4FFC">
        <w:rPr>
          <w:b w:val="0"/>
          <w:sz w:val="22"/>
          <w:szCs w:val="22"/>
        </w:rPr>
        <w:t xml:space="preserve">Table 1: </w:t>
      </w:r>
      <w:r w:rsidRPr="009E4FFC">
        <w:rPr>
          <w:b w:val="0"/>
          <w:sz w:val="22"/>
          <w:szCs w:val="22"/>
          <w:lang w:val="en-US"/>
        </w:rPr>
        <w:t>Estimated misalignment of Croatian RER in 2013 according to [24]</w:t>
      </w:r>
    </w:p>
    <w:p w:rsidR="0028472B" w:rsidRPr="009E4FFC" w:rsidRDefault="0028472B" w:rsidP="0049160A">
      <w:pPr>
        <w:jc w:val="both"/>
      </w:pPr>
    </w:p>
    <w:p w:rsidR="0049160A" w:rsidRPr="009E4FFC" w:rsidRDefault="00746D36" w:rsidP="00C84E6D">
      <w:pPr>
        <w:pStyle w:val="ListParagraph"/>
        <w:numPr>
          <w:ilvl w:val="0"/>
          <w:numId w:val="34"/>
        </w:numPr>
        <w:contextualSpacing/>
        <w:jc w:val="both"/>
        <w:rPr>
          <w:b/>
          <w:sz w:val="28"/>
        </w:rPr>
      </w:pPr>
      <w:r>
        <w:rPr>
          <w:b/>
          <w:sz w:val="28"/>
        </w:rPr>
        <w:t>E</w:t>
      </w:r>
      <w:r w:rsidR="0049160A" w:rsidRPr="009E4FFC">
        <w:rPr>
          <w:b/>
          <w:sz w:val="28"/>
        </w:rPr>
        <w:t>mpirical analysis of real exchange rate misalignment in Croatia</w:t>
      </w:r>
    </w:p>
    <w:p w:rsidR="0028472B" w:rsidRPr="009E4FFC" w:rsidRDefault="0028472B" w:rsidP="0049160A">
      <w:pPr>
        <w:jc w:val="both"/>
      </w:pPr>
    </w:p>
    <w:p w:rsidR="0049160A" w:rsidRPr="00C84E6D" w:rsidRDefault="00746D36" w:rsidP="00C84E6D">
      <w:pPr>
        <w:pStyle w:val="ListParagraph"/>
        <w:numPr>
          <w:ilvl w:val="1"/>
          <w:numId w:val="35"/>
        </w:numPr>
        <w:contextualSpacing/>
        <w:jc w:val="both"/>
        <w:rPr>
          <w:b/>
        </w:rPr>
      </w:pPr>
      <w:r>
        <w:rPr>
          <w:b/>
        </w:rPr>
        <w:t>E</w:t>
      </w:r>
      <w:r w:rsidR="0049160A" w:rsidRPr="00C84E6D">
        <w:rPr>
          <w:b/>
        </w:rPr>
        <w:t xml:space="preserve">stimation of </w:t>
      </w:r>
      <w:r>
        <w:rPr>
          <w:b/>
        </w:rPr>
        <w:t xml:space="preserve">the </w:t>
      </w:r>
      <w:r w:rsidR="0049160A" w:rsidRPr="00C84E6D">
        <w:rPr>
          <w:b/>
        </w:rPr>
        <w:t xml:space="preserve">equilibrium relation between </w:t>
      </w:r>
      <w:r>
        <w:rPr>
          <w:b/>
        </w:rPr>
        <w:t xml:space="preserve">the </w:t>
      </w:r>
      <w:r w:rsidR="0049160A" w:rsidRPr="00C84E6D">
        <w:rPr>
          <w:b/>
        </w:rPr>
        <w:t>real exchange rate and selected fundamentals</w:t>
      </w:r>
    </w:p>
    <w:p w:rsidR="0028472B" w:rsidRPr="009E4FFC" w:rsidRDefault="0028472B" w:rsidP="0028472B">
      <w:pPr>
        <w:spacing w:after="200"/>
        <w:contextualSpacing/>
        <w:jc w:val="both"/>
        <w:rPr>
          <w:b/>
        </w:rPr>
      </w:pPr>
    </w:p>
    <w:p w:rsidR="0049160A" w:rsidRPr="009E4FFC" w:rsidRDefault="00746D36" w:rsidP="0049160A">
      <w:pPr>
        <w:autoSpaceDE w:val="0"/>
        <w:autoSpaceDN w:val="0"/>
        <w:adjustRightInd w:val="0"/>
        <w:jc w:val="both"/>
      </w:pPr>
      <w:r>
        <w:t xml:space="preserve">In this paper, </w:t>
      </w:r>
      <w:r w:rsidR="0049160A" w:rsidRPr="009E4FFC">
        <w:t xml:space="preserve">RER misalignment is estimated as a deviation of the RER of </w:t>
      </w:r>
      <w:r>
        <w:t xml:space="preserve">the </w:t>
      </w:r>
      <w:r w:rsidR="0049160A" w:rsidRPr="009E4FFC">
        <w:t xml:space="preserve">Croatian </w:t>
      </w:r>
      <w:proofErr w:type="spellStart"/>
      <w:r w:rsidR="0049160A" w:rsidRPr="009E4FFC">
        <w:t>kuna</w:t>
      </w:r>
      <w:proofErr w:type="spellEnd"/>
      <w:r w:rsidR="0049160A" w:rsidRPr="009E4FFC">
        <w:t xml:space="preserve"> to euro from its PEER level. The bilateral RER of </w:t>
      </w:r>
      <w:r>
        <w:t xml:space="preserve">the </w:t>
      </w:r>
      <w:r w:rsidR="0049160A" w:rsidRPr="009E4FFC">
        <w:t xml:space="preserve">Croatian </w:t>
      </w:r>
      <w:proofErr w:type="spellStart"/>
      <w:r w:rsidR="0049160A" w:rsidRPr="009E4FFC">
        <w:t>kuna</w:t>
      </w:r>
      <w:proofErr w:type="spellEnd"/>
      <w:r w:rsidR="0049160A" w:rsidRPr="009E4FFC">
        <w:t xml:space="preserve"> to euro is given by: </w:t>
      </w:r>
    </w:p>
    <w:p w:rsidR="0049160A" w:rsidRPr="009E4FFC" w:rsidRDefault="0049160A" w:rsidP="00C566B7">
      <w:pPr>
        <w:ind w:left="864" w:firstLine="432"/>
        <w:jc w:val="right"/>
      </w:pPr>
      <w:r w:rsidRPr="009E4FFC">
        <w:t xml:space="preserve">,              </w:t>
      </w:r>
      <w:r w:rsidR="00C566B7" w:rsidRPr="009E4FFC">
        <w:rPr>
          <w:position w:val="-30"/>
        </w:rPr>
        <w:object w:dxaOrig="2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36.75pt" o:ole="">
            <v:imagedata r:id="rId10" o:title=""/>
          </v:shape>
          <o:OLEObject Type="Embed" ProgID="Equation.3" ShapeID="_x0000_i1025" DrawAspect="Content" ObjectID="_1479797821" r:id="rId11"/>
        </w:object>
      </w:r>
      <w:r w:rsidRPr="009E4FFC">
        <w:t xml:space="preserve">                                         (1)</w:t>
      </w:r>
    </w:p>
    <w:p w:rsidR="0049160A" w:rsidRPr="009E4FFC" w:rsidRDefault="0049160A" w:rsidP="0049160A">
      <w:pPr>
        <w:jc w:val="both"/>
      </w:pPr>
      <w:proofErr w:type="gramStart"/>
      <w:r w:rsidRPr="009E4FFC">
        <w:t>where</w:t>
      </w:r>
      <w:proofErr w:type="gramEnd"/>
      <w:r w:rsidRPr="009E4FFC">
        <w:t xml:space="preserve"> </w:t>
      </w:r>
      <w:r w:rsidRPr="009E4FFC">
        <w:rPr>
          <w:i/>
        </w:rPr>
        <w:t xml:space="preserve">NER </w:t>
      </w:r>
      <w:r w:rsidR="00746D36">
        <w:t>is the nominal exchange rate</w:t>
      </w:r>
      <w:r w:rsidRPr="009E4FFC">
        <w:t xml:space="preserve"> defined in terms of domestic currency per foreign currency, </w:t>
      </w:r>
      <w:r w:rsidRPr="009E4FFC">
        <w:rPr>
          <w:i/>
        </w:rPr>
        <w:t>P*</w:t>
      </w:r>
      <w:r w:rsidRPr="009E4FFC">
        <w:t xml:space="preserve"> is the foreign (i.e.</w:t>
      </w:r>
      <w:r w:rsidR="00746D36">
        <w:t>,</w:t>
      </w:r>
      <w:r w:rsidRPr="009E4FFC">
        <w:t xml:space="preserve"> euro area) price level, and</w:t>
      </w:r>
      <w:r w:rsidRPr="009E4FFC">
        <w:rPr>
          <w:i/>
        </w:rPr>
        <w:t xml:space="preserve"> P</w:t>
      </w:r>
      <w:r w:rsidRPr="009E4FFC">
        <w:t xml:space="preserve"> is the domestic price level. The data on nominal exchange rate are available at [8] and harmonized indices of consumer prices (HICP) are available at [17]. </w:t>
      </w:r>
    </w:p>
    <w:p w:rsidR="0049160A" w:rsidRPr="009E4FFC" w:rsidRDefault="00746D36" w:rsidP="00C949D8">
      <w:pPr>
        <w:autoSpaceDE w:val="0"/>
        <w:autoSpaceDN w:val="0"/>
        <w:adjustRightInd w:val="0"/>
        <w:ind w:firstLine="432"/>
        <w:jc w:val="both"/>
      </w:pPr>
      <w:r>
        <w:t>I</w:t>
      </w:r>
      <w:r w:rsidR="0049160A" w:rsidRPr="009E4FFC">
        <w:t xml:space="preserve">dentification of RER misalignment consists of three steps. Firstly, in order to explain the </w:t>
      </w:r>
      <w:proofErr w:type="spellStart"/>
      <w:r w:rsidR="0049160A" w:rsidRPr="009E4FFC">
        <w:t>behaviour</w:t>
      </w:r>
      <w:proofErr w:type="spellEnd"/>
      <w:r w:rsidR="0049160A" w:rsidRPr="009E4FFC">
        <w:t xml:space="preserve"> of the RER in Croatia, Johansen’s approach is applied to test the </w:t>
      </w:r>
      <w:proofErr w:type="spellStart"/>
      <w:r w:rsidR="0049160A" w:rsidRPr="009E4FFC">
        <w:t>cointegration</w:t>
      </w:r>
      <w:proofErr w:type="spellEnd"/>
      <w:r w:rsidR="0049160A" w:rsidRPr="009E4FFC">
        <w:t xml:space="preserve"> between the R</w:t>
      </w:r>
      <w:r>
        <w:t xml:space="preserve">ER and the following variables </w:t>
      </w:r>
      <w:r w:rsidR="0049160A" w:rsidRPr="009E4FFC">
        <w:t xml:space="preserve">selected in line with the relevant previous empirical research: terms of trade (TOT), net foreign assets (NFA) and </w:t>
      </w:r>
      <w:r>
        <w:t xml:space="preserve">the </w:t>
      </w:r>
      <w:r w:rsidR="0049160A" w:rsidRPr="009E4FFC">
        <w:t xml:space="preserve">ratio of prices of </w:t>
      </w:r>
      <w:proofErr w:type="spellStart"/>
      <w:r w:rsidR="0049160A" w:rsidRPr="009E4FFC">
        <w:t>tradables</w:t>
      </w:r>
      <w:proofErr w:type="spellEnd"/>
      <w:r w:rsidR="0049160A" w:rsidRPr="009E4FFC">
        <w:t xml:space="preserve"> to non-</w:t>
      </w:r>
      <w:proofErr w:type="spellStart"/>
      <w:r w:rsidR="0049160A" w:rsidRPr="009E4FFC">
        <w:t>tradables</w:t>
      </w:r>
      <w:proofErr w:type="spellEnd"/>
      <w:r w:rsidR="0049160A" w:rsidRPr="009E4FFC">
        <w:t xml:space="preserve"> (TNT)</w:t>
      </w:r>
      <w:r w:rsidR="0049160A" w:rsidRPr="009E4FFC">
        <w:rPr>
          <w:rStyle w:val="FootnoteReference"/>
        </w:rPr>
        <w:footnoteReference w:id="2"/>
      </w:r>
      <w:r w:rsidR="0049160A" w:rsidRPr="009E4FFC">
        <w:t xml:space="preserve">. In line with [29], the value of TOT is calculated as the ratio of the deflator of the nominal value of total exports and the deflator of the nominal value of imports of goods and services. In other words, </w:t>
      </w:r>
      <w:r>
        <w:t xml:space="preserve">the </w:t>
      </w:r>
      <w:r w:rsidR="0049160A" w:rsidRPr="009E4FFC">
        <w:t xml:space="preserve">export deflator is calculated as the ratio of </w:t>
      </w:r>
      <w:r w:rsidR="0049160A" w:rsidRPr="009E4FFC">
        <w:lastRenderedPageBreak/>
        <w:t>the nominal value of exports and the value of exports at constant prices of the previous year, with the reference year 2005. The import deflator is calculated accordingly. The source of nominal values of exports and imports, as well as of previously mentioned real values, is [18]. The data on NFA refer to data from Croatian monetary authorities’ accounts. In line with [4]</w:t>
      </w:r>
      <w:r>
        <w:t>,</w:t>
      </w:r>
      <w:r w:rsidR="0049160A" w:rsidRPr="009E4FFC">
        <w:t xml:space="preserve"> NFA of the monetary sector are used to approximate the NFA of the whole economy. The TNT is calculated as the ratio of producer price indices and consumer prices indices which are available at [8]. The reference year for all indices is 2005.</w:t>
      </w:r>
    </w:p>
    <w:p w:rsidR="0049160A" w:rsidRPr="009E4FFC" w:rsidRDefault="0049160A" w:rsidP="00C949D8">
      <w:pPr>
        <w:ind w:firstLine="432"/>
        <w:jc w:val="both"/>
        <w:rPr>
          <w:lang w:eastAsia="hr-HR"/>
        </w:rPr>
      </w:pPr>
      <w:r w:rsidRPr="009E4FFC">
        <w:t xml:space="preserve">Data on price indices are available from </w:t>
      </w:r>
      <w:r w:rsidR="00746D36">
        <w:t xml:space="preserve">the </w:t>
      </w:r>
      <w:r w:rsidRPr="009E4FFC">
        <w:t>first quarter</w:t>
      </w:r>
      <w:r w:rsidR="00746D36">
        <w:t xml:space="preserve"> of</w:t>
      </w:r>
      <w:r w:rsidRPr="009E4FFC">
        <w:t xml:space="preserve"> 1998 onwards, what determines the sample period. Therefore, the quarterly data from the first quarter</w:t>
      </w:r>
      <w:r w:rsidR="00746D36">
        <w:t xml:space="preserve"> of</w:t>
      </w:r>
      <w:r w:rsidRPr="009E4FFC">
        <w:t xml:space="preserve"> 1998 to the first quarter</w:t>
      </w:r>
      <w:r w:rsidR="00746D36">
        <w:t xml:space="preserve"> of</w:t>
      </w:r>
      <w:r w:rsidRPr="009E4FFC">
        <w:t xml:space="preserve"> 2014 is used in </w:t>
      </w:r>
      <w:proofErr w:type="spellStart"/>
      <w:r w:rsidRPr="009E4FFC">
        <w:t>cointegration</w:t>
      </w:r>
      <w:proofErr w:type="spellEnd"/>
      <w:r w:rsidRPr="009E4FFC">
        <w:t xml:space="preserve"> analysis. The logarithmic transformation was conducted prior to the analysis of</w:t>
      </w:r>
      <w:r w:rsidR="00746D36">
        <w:t xml:space="preserve"> the</w:t>
      </w:r>
      <w:r w:rsidRPr="009E4FFC">
        <w:t xml:space="preserve"> presence of the seasonal component for all observed time series. The seasonal component presence is noticed in all selected time series</w:t>
      </w:r>
      <w:r w:rsidRPr="009E4FFC">
        <w:rPr>
          <w:rStyle w:val="FootnoteReference"/>
        </w:rPr>
        <w:footnoteReference w:id="3"/>
      </w:r>
      <w:r w:rsidRPr="009E4FFC">
        <w:t xml:space="preserve"> and variables are seasonally adjusted. Seasonal adjustment is conducted using </w:t>
      </w:r>
      <w:r w:rsidR="00746D36">
        <w:t xml:space="preserve">the </w:t>
      </w:r>
      <w:r w:rsidRPr="009E4FFC">
        <w:t xml:space="preserve">TRAMO-SEATS quarterly seasonal adjustment method </w:t>
      </w:r>
      <w:r w:rsidRPr="009E4FFC">
        <w:rPr>
          <w:lang w:eastAsia="hr-HR"/>
        </w:rPr>
        <w:t>developed by [19].</w:t>
      </w:r>
    </w:p>
    <w:p w:rsidR="0049160A" w:rsidRPr="009E4FFC" w:rsidRDefault="0049160A" w:rsidP="00C949D8">
      <w:pPr>
        <w:ind w:firstLine="432"/>
        <w:jc w:val="both"/>
      </w:pPr>
      <w:r w:rsidRPr="009E4FFC">
        <w:t xml:space="preserve">Therefore, the seasonally adjusted logarithmic values of the three aforementioned variables are included in </w:t>
      </w:r>
      <w:proofErr w:type="spellStart"/>
      <w:r w:rsidRPr="009E4FFC">
        <w:t>cointegration</w:t>
      </w:r>
      <w:proofErr w:type="spellEnd"/>
      <w:r w:rsidRPr="009E4FFC">
        <w:t xml:space="preserve"> analysis. In order to test the </w:t>
      </w:r>
      <w:proofErr w:type="spellStart"/>
      <w:r w:rsidRPr="009E4FFC">
        <w:t>stationarity</w:t>
      </w:r>
      <w:proofErr w:type="spellEnd"/>
      <w:r w:rsidRPr="009E4FFC">
        <w:t xml:space="preserve"> of the selected time series, the Augmented Dickey-Fuller (ADF) unit root test is conducted. All selected variables are shown to be integrated of order 1, </w:t>
      </w:r>
      <w:proofErr w:type="gramStart"/>
      <w:r w:rsidRPr="009E4FFC">
        <w:t>I(</w:t>
      </w:r>
      <w:proofErr w:type="gramEnd"/>
      <w:r w:rsidRPr="009E4FFC">
        <w:t>1) at 1% significance</w:t>
      </w:r>
      <w:r w:rsidRPr="009E4FFC">
        <w:footnoteReference w:id="4"/>
      </w:r>
      <w:r w:rsidRPr="009E4FFC">
        <w:t xml:space="preserve">. Therefore, </w:t>
      </w:r>
      <w:r w:rsidR="00746D36">
        <w:t xml:space="preserve">a </w:t>
      </w:r>
      <w:proofErr w:type="spellStart"/>
      <w:r w:rsidRPr="009E4FFC">
        <w:t>cointegration</w:t>
      </w:r>
      <w:proofErr w:type="spellEnd"/>
      <w:r w:rsidRPr="009E4FFC">
        <w:t xml:space="preserve"> test among variables is conducted and the vector error correction model (ECM) is estimated in </w:t>
      </w:r>
      <w:r w:rsidRPr="009E4FFC">
        <w:rPr>
          <w:rFonts w:eastAsia="Calibri"/>
        </w:rPr>
        <w:t>order to ass</w:t>
      </w:r>
      <w:r w:rsidR="00746D36">
        <w:rPr>
          <w:rFonts w:eastAsia="Calibri"/>
        </w:rPr>
        <w:t>ess the long-</w:t>
      </w:r>
      <w:r w:rsidRPr="009E4FFC">
        <w:rPr>
          <w:rFonts w:eastAsia="Calibri"/>
        </w:rPr>
        <w:t xml:space="preserve">run relationship among variables. The estimation of </w:t>
      </w:r>
      <w:r w:rsidR="00746D36">
        <w:rPr>
          <w:rFonts w:eastAsia="Calibri"/>
        </w:rPr>
        <w:t xml:space="preserve">the </w:t>
      </w:r>
      <w:proofErr w:type="spellStart"/>
      <w:r w:rsidRPr="009E4FFC">
        <w:rPr>
          <w:rFonts w:eastAsia="Calibri"/>
        </w:rPr>
        <w:t>cointegration</w:t>
      </w:r>
      <w:proofErr w:type="spellEnd"/>
      <w:r w:rsidRPr="009E4FFC">
        <w:rPr>
          <w:rFonts w:eastAsia="Calibri"/>
        </w:rPr>
        <w:t xml:space="preserve"> equation with all possible fundamentals, as well as with various combinations of fundamentals, has shown that either </w:t>
      </w:r>
      <w:r w:rsidR="00746D36">
        <w:rPr>
          <w:rFonts w:eastAsia="Calibri"/>
        </w:rPr>
        <w:t xml:space="preserve">the </w:t>
      </w:r>
      <w:r w:rsidRPr="009E4FFC">
        <w:rPr>
          <w:rFonts w:eastAsia="Calibri"/>
        </w:rPr>
        <w:t>residual autocorrelation problem is present, or</w:t>
      </w:r>
      <w:r w:rsidR="00746D36">
        <w:rPr>
          <w:rFonts w:eastAsia="Calibri"/>
        </w:rPr>
        <w:t xml:space="preserve"> the</w:t>
      </w:r>
      <w:r w:rsidRPr="009E4FFC">
        <w:rPr>
          <w:rFonts w:eastAsia="Calibri"/>
        </w:rPr>
        <w:t xml:space="preserve"> error</w:t>
      </w:r>
      <w:r w:rsidR="00BA6959" w:rsidRPr="009E4FFC">
        <w:rPr>
          <w:rFonts w:eastAsia="Calibri"/>
        </w:rPr>
        <w:t xml:space="preserve"> </w:t>
      </w:r>
      <w:r w:rsidRPr="009E4FFC">
        <w:rPr>
          <w:rFonts w:eastAsia="Calibri"/>
        </w:rPr>
        <w:t>correction term (ECT) was positive and/or insignificant</w:t>
      </w:r>
      <w:r w:rsidRPr="009E4FFC">
        <w:rPr>
          <w:rFonts w:eastAsia="Calibri"/>
        </w:rPr>
        <w:footnoteReference w:id="5"/>
      </w:r>
      <w:r w:rsidRPr="009E4FFC">
        <w:rPr>
          <w:rFonts w:eastAsia="Calibri"/>
        </w:rPr>
        <w:t>. In order to have the RER stabilized after getting out of the equilibrium, the value of ECT should be negative.</w:t>
      </w:r>
    </w:p>
    <w:p w:rsidR="0049160A" w:rsidRPr="009E4FFC" w:rsidRDefault="0049160A" w:rsidP="00C949D8">
      <w:pPr>
        <w:ind w:firstLine="432"/>
        <w:jc w:val="both"/>
        <w:rPr>
          <w:rFonts w:eastAsia="Calibri"/>
        </w:rPr>
      </w:pPr>
      <w:r w:rsidRPr="009E4FFC">
        <w:rPr>
          <w:rFonts w:eastAsia="Calibri"/>
        </w:rPr>
        <w:t xml:space="preserve">Prior to the estimation of ECM it is required to select the proper model regarding the existence of deterministic components (trend and constant). The lowest value of Schwarz Criteria equal to </w:t>
      </w:r>
      <w:r w:rsidRPr="009E4FFC">
        <w:rPr>
          <w:rFonts w:eastAsia="Calibri"/>
          <w:i/>
        </w:rPr>
        <w:t>-20.358</w:t>
      </w:r>
      <w:r w:rsidRPr="009E4FFC">
        <w:rPr>
          <w:rFonts w:eastAsia="Calibri"/>
        </w:rPr>
        <w:t xml:space="preserve"> is found for</w:t>
      </w:r>
      <w:r w:rsidR="00F00CBF">
        <w:rPr>
          <w:rFonts w:eastAsia="Calibri"/>
        </w:rPr>
        <w:t xml:space="preserve"> the</w:t>
      </w:r>
      <w:r w:rsidRPr="009E4FFC">
        <w:rPr>
          <w:rFonts w:eastAsia="Calibri"/>
        </w:rPr>
        <w:t xml:space="preserve"> model in which constant and trend exist neither in vector ECM nor in</w:t>
      </w:r>
      <w:r w:rsidR="00F00CBF">
        <w:rPr>
          <w:rFonts w:eastAsia="Calibri"/>
        </w:rPr>
        <w:t xml:space="preserve"> the</w:t>
      </w:r>
      <w:r w:rsidRPr="009E4FFC">
        <w:rPr>
          <w:rFonts w:eastAsia="Calibri"/>
        </w:rPr>
        <w:t xml:space="preserve"> </w:t>
      </w:r>
      <w:proofErr w:type="spellStart"/>
      <w:r w:rsidRPr="009E4FFC">
        <w:rPr>
          <w:rFonts w:eastAsia="Calibri"/>
        </w:rPr>
        <w:t>cointegrating</w:t>
      </w:r>
      <w:proofErr w:type="spellEnd"/>
      <w:r w:rsidRPr="009E4FFC">
        <w:rPr>
          <w:rFonts w:eastAsia="Calibri"/>
        </w:rPr>
        <w:t xml:space="preserve"> equation, and for</w:t>
      </w:r>
      <w:r w:rsidR="00F00CBF">
        <w:rPr>
          <w:rFonts w:eastAsia="Calibri"/>
        </w:rPr>
        <w:t xml:space="preserve"> the</w:t>
      </w:r>
      <w:r w:rsidRPr="009E4FFC">
        <w:rPr>
          <w:rFonts w:eastAsia="Calibri"/>
        </w:rPr>
        <w:t xml:space="preserve"> model in which constant is </w:t>
      </w:r>
      <w:r w:rsidRPr="009E4FFC">
        <w:rPr>
          <w:rFonts w:eastAsia="Calibri"/>
        </w:rPr>
        <w:lastRenderedPageBreak/>
        <w:t xml:space="preserve">present only in </w:t>
      </w:r>
      <w:r w:rsidR="00F00CBF">
        <w:rPr>
          <w:rFonts w:eastAsia="Calibri"/>
        </w:rPr>
        <w:t xml:space="preserve">the </w:t>
      </w:r>
      <w:proofErr w:type="spellStart"/>
      <w:r w:rsidRPr="009E4FFC">
        <w:rPr>
          <w:rFonts w:eastAsia="Calibri"/>
        </w:rPr>
        <w:t>cointegrating</w:t>
      </w:r>
      <w:proofErr w:type="spellEnd"/>
      <w:r w:rsidRPr="009E4FFC">
        <w:rPr>
          <w:rFonts w:eastAsia="Calibri"/>
        </w:rPr>
        <w:t xml:space="preserve"> equation. </w:t>
      </w:r>
      <w:proofErr w:type="spellStart"/>
      <w:r w:rsidRPr="009E4FFC">
        <w:rPr>
          <w:rFonts w:eastAsia="Calibri"/>
        </w:rPr>
        <w:t>Akaike</w:t>
      </w:r>
      <w:proofErr w:type="spellEnd"/>
      <w:r w:rsidRPr="009E4FFC">
        <w:rPr>
          <w:rFonts w:eastAsia="Calibri"/>
        </w:rPr>
        <w:t xml:space="preserve"> Information Criteria is lowest for the model in which constant and quadratic trend are present both in VECM and in </w:t>
      </w:r>
      <w:r w:rsidR="00F00CBF">
        <w:rPr>
          <w:rFonts w:eastAsia="Calibri"/>
        </w:rPr>
        <w:t xml:space="preserve">the </w:t>
      </w:r>
      <w:proofErr w:type="spellStart"/>
      <w:r w:rsidRPr="009E4FFC">
        <w:rPr>
          <w:rFonts w:eastAsia="Calibri"/>
        </w:rPr>
        <w:t>cointegrating</w:t>
      </w:r>
      <w:proofErr w:type="spellEnd"/>
      <w:r w:rsidRPr="009E4FFC">
        <w:rPr>
          <w:rFonts w:eastAsia="Calibri"/>
        </w:rPr>
        <w:t xml:space="preserve"> equation. However, calculated average values of first differences of time series used to estimate ECM are close to zero, what implies that trend is not present in </w:t>
      </w:r>
      <w:r w:rsidR="00F00CBF">
        <w:rPr>
          <w:rFonts w:eastAsia="Calibri"/>
        </w:rPr>
        <w:t xml:space="preserve">the </w:t>
      </w:r>
      <w:r w:rsidRPr="009E4FFC">
        <w:rPr>
          <w:rFonts w:eastAsia="Calibri"/>
        </w:rPr>
        <w:t>observed data. The model in which constant exists only in</w:t>
      </w:r>
      <w:r w:rsidR="00F00CBF">
        <w:rPr>
          <w:rFonts w:eastAsia="Calibri"/>
        </w:rPr>
        <w:t xml:space="preserve"> a</w:t>
      </w:r>
      <w:r w:rsidRPr="009E4FFC">
        <w:rPr>
          <w:rFonts w:eastAsia="Calibri"/>
        </w:rPr>
        <w:t xml:space="preserve"> long</w:t>
      </w:r>
      <w:r w:rsidR="00F00CBF">
        <w:rPr>
          <w:rFonts w:eastAsia="Calibri"/>
        </w:rPr>
        <w:t>-</w:t>
      </w:r>
      <w:r w:rsidRPr="009E4FFC">
        <w:rPr>
          <w:rFonts w:eastAsia="Calibri"/>
        </w:rPr>
        <w:t>run model (</w:t>
      </w:r>
      <w:r w:rsidR="00F00CBF">
        <w:rPr>
          <w:rFonts w:eastAsia="Calibri"/>
        </w:rPr>
        <w:t xml:space="preserve">the </w:t>
      </w:r>
      <w:proofErr w:type="spellStart"/>
      <w:r w:rsidRPr="009E4FFC">
        <w:rPr>
          <w:rFonts w:eastAsia="Calibri"/>
        </w:rPr>
        <w:t>cointegrating</w:t>
      </w:r>
      <w:proofErr w:type="spellEnd"/>
      <w:r w:rsidRPr="009E4FFC">
        <w:rPr>
          <w:rFonts w:eastAsia="Calibri"/>
        </w:rPr>
        <w:t xml:space="preserve"> equation), but not in the sho</w:t>
      </w:r>
      <w:r w:rsidR="00F00CBF">
        <w:rPr>
          <w:rFonts w:eastAsia="Calibri"/>
        </w:rPr>
        <w:t>rt-</w:t>
      </w:r>
      <w:r w:rsidRPr="009E4FFC">
        <w:rPr>
          <w:rFonts w:eastAsia="Calibri"/>
        </w:rPr>
        <w:t xml:space="preserve">run model, is selected for the analysis. The selected model points to the fact that variables integrated of order one </w:t>
      </w:r>
      <w:proofErr w:type="spellStart"/>
      <w:r w:rsidRPr="009E4FFC">
        <w:rPr>
          <w:rFonts w:eastAsia="Calibri"/>
        </w:rPr>
        <w:t>cointegrate</w:t>
      </w:r>
      <w:proofErr w:type="spellEnd"/>
      <w:r w:rsidRPr="009E4FFC">
        <w:rPr>
          <w:rFonts w:eastAsia="Calibri"/>
        </w:rPr>
        <w:t xml:space="preserve"> around the constant [12]. After the determination of the model, the number of </w:t>
      </w:r>
      <w:proofErr w:type="spellStart"/>
      <w:r w:rsidRPr="009E4FFC">
        <w:rPr>
          <w:rFonts w:eastAsia="Calibri"/>
        </w:rPr>
        <w:t>cointegration</w:t>
      </w:r>
      <w:proofErr w:type="spellEnd"/>
      <w:r w:rsidRPr="009E4FFC">
        <w:rPr>
          <w:rFonts w:eastAsia="Calibri"/>
        </w:rPr>
        <w:t xml:space="preserve"> relations is examined using</w:t>
      </w:r>
      <w:r w:rsidR="00F00CBF">
        <w:rPr>
          <w:rFonts w:eastAsia="Calibri"/>
        </w:rPr>
        <w:t xml:space="preserve"> the</w:t>
      </w:r>
      <w:r w:rsidRPr="009E4FFC">
        <w:rPr>
          <w:rFonts w:eastAsia="Calibri"/>
        </w:rPr>
        <w:t xml:space="preserve"> trace test and </w:t>
      </w:r>
      <w:r w:rsidR="00F00CBF">
        <w:rPr>
          <w:rFonts w:eastAsia="Calibri"/>
        </w:rPr>
        <w:t xml:space="preserve">the </w:t>
      </w:r>
      <w:r w:rsidRPr="009E4FFC">
        <w:rPr>
          <w:rFonts w:eastAsia="Calibri"/>
        </w:rPr>
        <w:t xml:space="preserve">maximum eigenvalue test. The results of both tests are presented in Table 2 showing that </w:t>
      </w:r>
      <w:proofErr w:type="spellStart"/>
      <w:r w:rsidRPr="009E4FFC">
        <w:rPr>
          <w:rFonts w:eastAsia="Calibri"/>
        </w:rPr>
        <w:t>cointegration</w:t>
      </w:r>
      <w:proofErr w:type="spellEnd"/>
      <w:r w:rsidRPr="009E4FFC">
        <w:rPr>
          <w:rFonts w:eastAsia="Calibri"/>
        </w:rPr>
        <w:t xml:space="preserve"> among selected variables exists at 5% significance. </w:t>
      </w:r>
    </w:p>
    <w:p w:rsidR="0049160A" w:rsidRPr="009E4FFC" w:rsidRDefault="0049160A" w:rsidP="0049160A">
      <w:pPr>
        <w:jc w:val="both"/>
      </w:pPr>
    </w:p>
    <w:tbl>
      <w:tblPr>
        <w:tblW w:w="7026" w:type="dxa"/>
        <w:jc w:val="center"/>
        <w:tblInd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255"/>
        <w:gridCol w:w="937"/>
        <w:gridCol w:w="1041"/>
        <w:gridCol w:w="1116"/>
        <w:gridCol w:w="1305"/>
      </w:tblGrid>
      <w:tr w:rsidR="00C566B7" w:rsidRPr="00C566B7" w:rsidTr="00490BAC">
        <w:trPr>
          <w:trHeight w:val="1209"/>
          <w:jc w:val="center"/>
        </w:trPr>
        <w:tc>
          <w:tcPr>
            <w:tcW w:w="1372" w:type="dxa"/>
            <w:shd w:val="clear" w:color="auto" w:fill="auto"/>
            <w:vAlign w:val="center"/>
          </w:tcPr>
          <w:p w:rsidR="0049160A" w:rsidRPr="00C566B7" w:rsidRDefault="0049160A" w:rsidP="0049160A">
            <w:pPr>
              <w:jc w:val="center"/>
              <w:rPr>
                <w:rFonts w:eastAsia="Calibri"/>
                <w:b/>
                <w:bCs/>
                <w:sz w:val="20"/>
              </w:rPr>
            </w:pPr>
            <w:r w:rsidRPr="00C566B7">
              <w:rPr>
                <w:rFonts w:eastAsia="Calibri"/>
                <w:b/>
                <w:bCs/>
                <w:sz w:val="20"/>
              </w:rPr>
              <w:t xml:space="preserve">Hypothesized number of </w:t>
            </w:r>
            <w:proofErr w:type="spellStart"/>
            <w:r w:rsidRPr="00C566B7">
              <w:rPr>
                <w:rFonts w:eastAsia="Calibri"/>
                <w:b/>
                <w:bCs/>
                <w:sz w:val="20"/>
              </w:rPr>
              <w:t>cointegrating</w:t>
            </w:r>
            <w:proofErr w:type="spellEnd"/>
            <w:r w:rsidRPr="00C566B7">
              <w:rPr>
                <w:rFonts w:eastAsia="Calibri"/>
                <w:b/>
                <w:bCs/>
                <w:sz w:val="20"/>
              </w:rPr>
              <w:t xml:space="preserve"> equations</w:t>
            </w:r>
          </w:p>
        </w:tc>
        <w:tc>
          <w:tcPr>
            <w:tcW w:w="1255" w:type="dxa"/>
            <w:shd w:val="clear" w:color="auto" w:fill="auto"/>
            <w:vAlign w:val="center"/>
          </w:tcPr>
          <w:p w:rsidR="0049160A" w:rsidRPr="00C566B7" w:rsidRDefault="0049160A" w:rsidP="0049160A">
            <w:pPr>
              <w:jc w:val="center"/>
              <w:rPr>
                <w:rFonts w:eastAsia="Calibri"/>
                <w:b/>
                <w:bCs/>
                <w:sz w:val="20"/>
              </w:rPr>
            </w:pPr>
            <w:r w:rsidRPr="00C566B7">
              <w:rPr>
                <w:rFonts w:eastAsia="Calibri"/>
                <w:b/>
                <w:bCs/>
                <w:sz w:val="20"/>
              </w:rPr>
              <w:t>Eigenvalue</w:t>
            </w:r>
          </w:p>
        </w:tc>
        <w:tc>
          <w:tcPr>
            <w:tcW w:w="937" w:type="dxa"/>
            <w:shd w:val="clear" w:color="auto" w:fill="auto"/>
            <w:vAlign w:val="center"/>
          </w:tcPr>
          <w:p w:rsidR="0049160A" w:rsidRPr="00C566B7" w:rsidRDefault="0049160A" w:rsidP="0049160A">
            <w:pPr>
              <w:jc w:val="center"/>
              <w:rPr>
                <w:rFonts w:eastAsia="Calibri"/>
                <w:b/>
                <w:bCs/>
                <w:sz w:val="20"/>
              </w:rPr>
            </w:pPr>
            <w:r w:rsidRPr="00C566B7">
              <w:rPr>
                <w:rFonts w:eastAsia="Calibri"/>
                <w:b/>
                <w:bCs/>
                <w:sz w:val="20"/>
              </w:rPr>
              <w:t>Trace statistic</w:t>
            </w:r>
          </w:p>
        </w:tc>
        <w:tc>
          <w:tcPr>
            <w:tcW w:w="1041" w:type="dxa"/>
            <w:shd w:val="clear" w:color="auto" w:fill="auto"/>
            <w:vAlign w:val="center"/>
          </w:tcPr>
          <w:p w:rsidR="0049160A" w:rsidRPr="00C566B7" w:rsidRDefault="0049160A" w:rsidP="0049160A">
            <w:pPr>
              <w:jc w:val="center"/>
              <w:rPr>
                <w:rFonts w:eastAsia="Calibri"/>
                <w:b/>
                <w:bCs/>
                <w:sz w:val="20"/>
              </w:rPr>
            </w:pPr>
            <w:r w:rsidRPr="00C566B7">
              <w:rPr>
                <w:rFonts w:eastAsia="Calibri"/>
                <w:b/>
                <w:bCs/>
                <w:sz w:val="20"/>
              </w:rPr>
              <w:t>0.05 Critical value (trace statistic)</w:t>
            </w:r>
          </w:p>
        </w:tc>
        <w:tc>
          <w:tcPr>
            <w:tcW w:w="1116" w:type="dxa"/>
            <w:vAlign w:val="center"/>
          </w:tcPr>
          <w:p w:rsidR="0049160A" w:rsidRPr="00C566B7" w:rsidRDefault="0049160A" w:rsidP="0049160A">
            <w:pPr>
              <w:jc w:val="center"/>
              <w:rPr>
                <w:rFonts w:eastAsia="Calibri"/>
                <w:b/>
                <w:bCs/>
                <w:sz w:val="20"/>
              </w:rPr>
            </w:pPr>
            <w:r w:rsidRPr="00C566B7">
              <w:rPr>
                <w:rFonts w:eastAsia="Calibri"/>
                <w:b/>
                <w:bCs/>
                <w:sz w:val="20"/>
              </w:rPr>
              <w:t>Maximum eigenvalue statistic</w:t>
            </w:r>
          </w:p>
        </w:tc>
        <w:tc>
          <w:tcPr>
            <w:tcW w:w="1305" w:type="dxa"/>
            <w:vAlign w:val="center"/>
          </w:tcPr>
          <w:p w:rsidR="0049160A" w:rsidRPr="00C566B7" w:rsidRDefault="0049160A" w:rsidP="0049160A">
            <w:pPr>
              <w:jc w:val="center"/>
              <w:rPr>
                <w:rFonts w:eastAsia="Calibri"/>
                <w:b/>
                <w:bCs/>
                <w:sz w:val="20"/>
              </w:rPr>
            </w:pPr>
            <w:r w:rsidRPr="00C566B7">
              <w:rPr>
                <w:rFonts w:eastAsia="Calibri"/>
                <w:b/>
                <w:bCs/>
                <w:sz w:val="20"/>
              </w:rPr>
              <w:t>0.05 Critical value</w:t>
            </w:r>
          </w:p>
          <w:p w:rsidR="0049160A" w:rsidRPr="00C566B7" w:rsidRDefault="0049160A" w:rsidP="0049160A">
            <w:pPr>
              <w:jc w:val="center"/>
              <w:rPr>
                <w:rFonts w:eastAsia="Calibri"/>
                <w:b/>
                <w:bCs/>
                <w:sz w:val="20"/>
              </w:rPr>
            </w:pPr>
            <w:r w:rsidRPr="00C566B7">
              <w:rPr>
                <w:rFonts w:eastAsia="Calibri"/>
                <w:b/>
                <w:bCs/>
                <w:sz w:val="20"/>
              </w:rPr>
              <w:t>(maximum eigenvalue statistic)</w:t>
            </w:r>
          </w:p>
          <w:p w:rsidR="0049160A" w:rsidRPr="00C566B7" w:rsidRDefault="0049160A" w:rsidP="0049160A">
            <w:pPr>
              <w:jc w:val="center"/>
              <w:rPr>
                <w:rFonts w:eastAsia="Calibri"/>
                <w:b/>
                <w:bCs/>
                <w:sz w:val="20"/>
              </w:rPr>
            </w:pPr>
          </w:p>
        </w:tc>
      </w:tr>
      <w:tr w:rsidR="00C566B7" w:rsidRPr="00C566B7" w:rsidTr="00490BAC">
        <w:trPr>
          <w:trHeight w:val="256"/>
          <w:jc w:val="center"/>
        </w:trPr>
        <w:tc>
          <w:tcPr>
            <w:tcW w:w="1372" w:type="dxa"/>
            <w:shd w:val="clear" w:color="auto" w:fill="auto"/>
            <w:noWrap/>
            <w:vAlign w:val="center"/>
          </w:tcPr>
          <w:p w:rsidR="0049160A" w:rsidRPr="00C566B7" w:rsidRDefault="0049160A" w:rsidP="0049160A">
            <w:pPr>
              <w:jc w:val="center"/>
              <w:rPr>
                <w:rFonts w:eastAsia="Calibri"/>
                <w:b/>
                <w:bCs/>
                <w:sz w:val="20"/>
              </w:rPr>
            </w:pPr>
            <w:r w:rsidRPr="00C566B7">
              <w:rPr>
                <w:rFonts w:eastAsia="Calibri"/>
                <w:b/>
                <w:bCs/>
                <w:sz w:val="20"/>
              </w:rPr>
              <w:t>0</w:t>
            </w:r>
          </w:p>
        </w:tc>
        <w:tc>
          <w:tcPr>
            <w:tcW w:w="1255"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0.3350</w:t>
            </w:r>
          </w:p>
        </w:tc>
        <w:tc>
          <w:tcPr>
            <w:tcW w:w="937"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55.6646</w:t>
            </w:r>
          </w:p>
        </w:tc>
        <w:tc>
          <w:tcPr>
            <w:tcW w:w="1041"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54.0790*</w:t>
            </w:r>
          </w:p>
        </w:tc>
        <w:tc>
          <w:tcPr>
            <w:tcW w:w="1116"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24.8887</w:t>
            </w:r>
          </w:p>
        </w:tc>
        <w:tc>
          <w:tcPr>
            <w:tcW w:w="1305"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28.5881*</w:t>
            </w:r>
          </w:p>
        </w:tc>
      </w:tr>
      <w:tr w:rsidR="00C566B7" w:rsidRPr="00C566B7" w:rsidTr="00490BAC">
        <w:trPr>
          <w:trHeight w:val="256"/>
          <w:jc w:val="center"/>
        </w:trPr>
        <w:tc>
          <w:tcPr>
            <w:tcW w:w="1372" w:type="dxa"/>
            <w:shd w:val="clear" w:color="auto" w:fill="auto"/>
            <w:noWrap/>
            <w:vAlign w:val="center"/>
          </w:tcPr>
          <w:p w:rsidR="0049160A" w:rsidRPr="00C566B7" w:rsidRDefault="0049160A" w:rsidP="0049160A">
            <w:pPr>
              <w:jc w:val="center"/>
              <w:rPr>
                <w:rFonts w:eastAsia="Calibri"/>
                <w:b/>
                <w:bCs/>
                <w:sz w:val="20"/>
              </w:rPr>
            </w:pPr>
            <w:r w:rsidRPr="00C566B7">
              <w:rPr>
                <w:rFonts w:eastAsia="Calibri"/>
                <w:b/>
                <w:bCs/>
                <w:sz w:val="20"/>
              </w:rPr>
              <w:t>1</w:t>
            </w:r>
          </w:p>
        </w:tc>
        <w:tc>
          <w:tcPr>
            <w:tcW w:w="1255"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0.2411</w:t>
            </w:r>
          </w:p>
        </w:tc>
        <w:tc>
          <w:tcPr>
            <w:tcW w:w="937"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30.7759</w:t>
            </w:r>
          </w:p>
        </w:tc>
        <w:tc>
          <w:tcPr>
            <w:tcW w:w="1041"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35.1928</w:t>
            </w:r>
          </w:p>
        </w:tc>
        <w:tc>
          <w:tcPr>
            <w:tcW w:w="1116"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16.8326</w:t>
            </w:r>
          </w:p>
        </w:tc>
        <w:tc>
          <w:tcPr>
            <w:tcW w:w="1305"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22.2996</w:t>
            </w:r>
          </w:p>
        </w:tc>
      </w:tr>
      <w:tr w:rsidR="00C566B7" w:rsidRPr="00C566B7" w:rsidTr="00490BAC">
        <w:trPr>
          <w:trHeight w:val="256"/>
          <w:jc w:val="center"/>
        </w:trPr>
        <w:tc>
          <w:tcPr>
            <w:tcW w:w="1372" w:type="dxa"/>
            <w:shd w:val="clear" w:color="auto" w:fill="auto"/>
            <w:noWrap/>
            <w:vAlign w:val="center"/>
          </w:tcPr>
          <w:p w:rsidR="0049160A" w:rsidRPr="00C566B7" w:rsidRDefault="0049160A" w:rsidP="0049160A">
            <w:pPr>
              <w:jc w:val="center"/>
              <w:rPr>
                <w:rFonts w:eastAsia="Calibri"/>
                <w:b/>
                <w:bCs/>
                <w:sz w:val="20"/>
              </w:rPr>
            </w:pPr>
            <w:r w:rsidRPr="00C566B7">
              <w:rPr>
                <w:rFonts w:eastAsia="Calibri"/>
                <w:b/>
                <w:bCs/>
                <w:sz w:val="20"/>
              </w:rPr>
              <w:t>2</w:t>
            </w:r>
          </w:p>
        </w:tc>
        <w:tc>
          <w:tcPr>
            <w:tcW w:w="1255"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0.1386</w:t>
            </w:r>
          </w:p>
        </w:tc>
        <w:tc>
          <w:tcPr>
            <w:tcW w:w="937"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13.9433</w:t>
            </w:r>
          </w:p>
        </w:tc>
        <w:tc>
          <w:tcPr>
            <w:tcW w:w="1041"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20.2618</w:t>
            </w:r>
          </w:p>
        </w:tc>
        <w:tc>
          <w:tcPr>
            <w:tcW w:w="1116"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9.1024</w:t>
            </w:r>
          </w:p>
        </w:tc>
        <w:tc>
          <w:tcPr>
            <w:tcW w:w="1305"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15.8921</w:t>
            </w:r>
          </w:p>
        </w:tc>
      </w:tr>
      <w:tr w:rsidR="00C566B7" w:rsidRPr="00C566B7" w:rsidTr="00490BAC">
        <w:trPr>
          <w:trHeight w:val="268"/>
          <w:jc w:val="center"/>
        </w:trPr>
        <w:tc>
          <w:tcPr>
            <w:tcW w:w="1372" w:type="dxa"/>
            <w:shd w:val="clear" w:color="auto" w:fill="auto"/>
            <w:noWrap/>
            <w:vAlign w:val="center"/>
          </w:tcPr>
          <w:p w:rsidR="0049160A" w:rsidRPr="00C566B7" w:rsidRDefault="0049160A" w:rsidP="0049160A">
            <w:pPr>
              <w:jc w:val="center"/>
              <w:rPr>
                <w:rFonts w:eastAsia="Calibri"/>
                <w:b/>
                <w:bCs/>
                <w:sz w:val="20"/>
              </w:rPr>
            </w:pPr>
            <w:r w:rsidRPr="00C566B7">
              <w:rPr>
                <w:rFonts w:eastAsia="Calibri"/>
                <w:b/>
                <w:bCs/>
                <w:sz w:val="20"/>
              </w:rPr>
              <w:t>3</w:t>
            </w:r>
          </w:p>
        </w:tc>
        <w:tc>
          <w:tcPr>
            <w:tcW w:w="1255"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0.0763</w:t>
            </w:r>
          </w:p>
        </w:tc>
        <w:tc>
          <w:tcPr>
            <w:tcW w:w="937"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4.8409</w:t>
            </w:r>
          </w:p>
        </w:tc>
        <w:tc>
          <w:tcPr>
            <w:tcW w:w="1041" w:type="dxa"/>
            <w:shd w:val="clear" w:color="auto" w:fill="auto"/>
            <w:noWrap/>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9.1645</w:t>
            </w:r>
          </w:p>
        </w:tc>
        <w:tc>
          <w:tcPr>
            <w:tcW w:w="1116"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4.8409</w:t>
            </w:r>
          </w:p>
        </w:tc>
        <w:tc>
          <w:tcPr>
            <w:tcW w:w="1305" w:type="dxa"/>
            <w:vAlign w:val="center"/>
          </w:tcPr>
          <w:p w:rsidR="0049160A" w:rsidRPr="00C566B7" w:rsidRDefault="0049160A" w:rsidP="0049160A">
            <w:pPr>
              <w:autoSpaceDE w:val="0"/>
              <w:autoSpaceDN w:val="0"/>
              <w:adjustRightInd w:val="0"/>
              <w:jc w:val="center"/>
              <w:rPr>
                <w:rFonts w:eastAsia="Calibri"/>
                <w:color w:val="000000"/>
                <w:sz w:val="20"/>
              </w:rPr>
            </w:pPr>
            <w:r w:rsidRPr="00C566B7">
              <w:rPr>
                <w:rFonts w:eastAsia="Calibri"/>
                <w:color w:val="000000"/>
                <w:sz w:val="20"/>
              </w:rPr>
              <w:t>9.1645</w:t>
            </w:r>
          </w:p>
        </w:tc>
      </w:tr>
    </w:tbl>
    <w:p w:rsidR="0049160A" w:rsidRPr="009E4FFC" w:rsidRDefault="00BA6959" w:rsidP="0072625E">
      <w:pPr>
        <w:spacing w:before="120"/>
        <w:jc w:val="center"/>
      </w:pPr>
      <w:r w:rsidRPr="009E4FFC">
        <w:rPr>
          <w:rFonts w:eastAsia="Calibri"/>
          <w:sz w:val="22"/>
          <w:szCs w:val="22"/>
        </w:rPr>
        <w:t xml:space="preserve">* </w:t>
      </w:r>
      <w:r w:rsidRPr="0098054A">
        <w:rPr>
          <w:rFonts w:eastAsia="Calibri"/>
          <w:sz w:val="20"/>
          <w:szCs w:val="20"/>
        </w:rPr>
        <w:t xml:space="preserve">denotes rejection of </w:t>
      </w:r>
      <w:r w:rsidR="00F00CBF">
        <w:rPr>
          <w:rFonts w:eastAsia="Calibri"/>
          <w:sz w:val="20"/>
          <w:szCs w:val="20"/>
        </w:rPr>
        <w:t xml:space="preserve">the </w:t>
      </w:r>
      <w:r w:rsidRPr="0098054A">
        <w:rPr>
          <w:rFonts w:eastAsia="Calibri"/>
          <w:sz w:val="20"/>
          <w:szCs w:val="20"/>
        </w:rPr>
        <w:t>null hypothesis at 5% significance</w:t>
      </w:r>
    </w:p>
    <w:p w:rsidR="0049160A" w:rsidRPr="009E4FFC" w:rsidRDefault="0049160A" w:rsidP="00BA6959">
      <w:pPr>
        <w:ind w:firstLine="432"/>
        <w:jc w:val="center"/>
        <w:rPr>
          <w:rFonts w:eastAsia="Calibri"/>
          <w:sz w:val="22"/>
          <w:szCs w:val="22"/>
        </w:rPr>
      </w:pPr>
      <w:r w:rsidRPr="009E4FFC">
        <w:rPr>
          <w:sz w:val="22"/>
          <w:szCs w:val="22"/>
        </w:rPr>
        <w:t xml:space="preserve">Table 1: </w:t>
      </w:r>
      <w:r w:rsidRPr="009E4FFC">
        <w:rPr>
          <w:rFonts w:eastAsia="Calibri"/>
          <w:sz w:val="22"/>
          <w:szCs w:val="22"/>
        </w:rPr>
        <w:t>The results of the trace test and the maximum eigenvalue test</w:t>
      </w:r>
    </w:p>
    <w:p w:rsidR="0049160A" w:rsidRPr="009E4FFC" w:rsidRDefault="0049160A" w:rsidP="0049160A">
      <w:pPr>
        <w:pStyle w:val="BodyText"/>
        <w:ind w:left="770" w:hanging="784"/>
        <w:jc w:val="left"/>
        <w:rPr>
          <w:b w:val="0"/>
          <w:sz w:val="24"/>
          <w:szCs w:val="22"/>
        </w:rPr>
      </w:pPr>
    </w:p>
    <w:p w:rsidR="0049160A" w:rsidRPr="009E4FFC" w:rsidRDefault="0049160A" w:rsidP="0049160A">
      <w:pPr>
        <w:jc w:val="both"/>
      </w:pPr>
      <w:r w:rsidRPr="009E4FFC">
        <w:t xml:space="preserve">The </w:t>
      </w:r>
      <w:proofErr w:type="spellStart"/>
      <w:r w:rsidRPr="009E4FFC">
        <w:t>cointegrating</w:t>
      </w:r>
      <w:proofErr w:type="spellEnd"/>
      <w:r w:rsidRPr="009E4FFC">
        <w:t xml:space="preserve"> relation, i.e.</w:t>
      </w:r>
      <w:r w:rsidR="00F00CBF">
        <w:t>, the long-</w:t>
      </w:r>
      <w:r w:rsidRPr="009E4FFC">
        <w:t>run equation is given by:</w:t>
      </w:r>
    </w:p>
    <w:p w:rsidR="0049160A" w:rsidRPr="009E4FFC" w:rsidRDefault="0049160A" w:rsidP="0049160A">
      <w:pPr>
        <w:jc w:val="both"/>
      </w:pPr>
    </w:p>
    <w:p w:rsidR="0049160A" w:rsidRPr="009E4FFC" w:rsidRDefault="0049160A" w:rsidP="0049160A">
      <w:pPr>
        <w:jc w:val="right"/>
      </w:pPr>
      <w:r w:rsidRPr="009E4FFC">
        <w:t xml:space="preserve">,            </w:t>
      </w:r>
      <w:r w:rsidR="00C566B7" w:rsidRPr="009E4FFC">
        <w:rPr>
          <w:position w:val="-12"/>
        </w:rPr>
        <w:object w:dxaOrig="4080" w:dyaOrig="360">
          <v:shape id="_x0000_i1026" type="#_x0000_t75" style="width:203.25pt;height:18pt" o:ole="">
            <v:imagedata r:id="rId12" o:title=""/>
          </v:shape>
          <o:OLEObject Type="Embed" ProgID="Equation.3" ShapeID="_x0000_i1026" DrawAspect="Content" ObjectID="_1479797822" r:id="rId13"/>
        </w:object>
      </w:r>
      <w:r w:rsidRPr="009E4FFC">
        <w:t xml:space="preserve">                        (2)</w:t>
      </w:r>
    </w:p>
    <w:p w:rsidR="0049160A" w:rsidRPr="009E4FFC" w:rsidRDefault="0049160A" w:rsidP="0049160A">
      <w:pPr>
        <w:jc w:val="both"/>
      </w:pPr>
    </w:p>
    <w:p w:rsidR="0049160A" w:rsidRPr="009E4FFC" w:rsidRDefault="0049160A" w:rsidP="0049160A">
      <w:pPr>
        <w:jc w:val="both"/>
      </w:pPr>
      <w:proofErr w:type="gramStart"/>
      <w:r w:rsidRPr="009E4FFC">
        <w:t>where</w:t>
      </w:r>
      <w:proofErr w:type="gramEnd"/>
      <w:r w:rsidRPr="009E4FFC">
        <w:t xml:space="preserve"> </w:t>
      </w:r>
      <w:r w:rsidRPr="009E4FFC">
        <w:rPr>
          <w:position w:val="-14"/>
        </w:rPr>
        <w:object w:dxaOrig="740" w:dyaOrig="380">
          <v:shape id="_x0000_i1027" type="#_x0000_t75" style="width:36.75pt;height:18pt" o:ole="">
            <v:imagedata r:id="rId14" o:title=""/>
          </v:shape>
          <o:OLEObject Type="Embed" ProgID="Equation.3" ShapeID="_x0000_i1027" DrawAspect="Content" ObjectID="_1479797823" r:id="rId15"/>
        </w:object>
      </w:r>
      <w:r w:rsidRPr="009E4FFC">
        <w:t xml:space="preserve"> represent the coefficients of </w:t>
      </w:r>
      <w:r w:rsidR="00F00CBF">
        <w:t xml:space="preserve">the </w:t>
      </w:r>
      <w:proofErr w:type="spellStart"/>
      <w:r w:rsidRPr="009E4FFC">
        <w:t>cointegrating</w:t>
      </w:r>
      <w:proofErr w:type="spellEnd"/>
      <w:r w:rsidRPr="009E4FFC">
        <w:t xml:space="preserve"> equation. The values of estimated coefficients with corresponding </w:t>
      </w:r>
      <w:r w:rsidRPr="009E4FFC">
        <w:rPr>
          <w:i/>
        </w:rPr>
        <w:t>t</w:t>
      </w:r>
      <w:r w:rsidRPr="009E4FFC">
        <w:t>-statistics and standard errors are shown in Table 3. Therefore, in the long run</w:t>
      </w:r>
      <w:r w:rsidR="00F00CBF">
        <w:t>,</w:t>
      </w:r>
      <w:r w:rsidRPr="009E4FFC">
        <w:t xml:space="preserve"> all selected variables are significant in explaining </w:t>
      </w:r>
      <w:r w:rsidR="00F00CBF">
        <w:t xml:space="preserve">the </w:t>
      </w:r>
      <w:r w:rsidRPr="009E4FFC">
        <w:t xml:space="preserve">RER. Regarding the sign of TOT, an increase in prices of exported goods is assumed to generate a substitution effect which leads to appreciation, and the income effect, which causes depreciation of domestic currency. In Croatia, the impact is shown to be negative, what is in line with the substitution effect (see, for example, [25]). The expected sign of NFA according to economic theory is positive, since higher net foreign liabilities causes an </w:t>
      </w:r>
      <w:r w:rsidRPr="009E4FFC">
        <w:lastRenderedPageBreak/>
        <w:t xml:space="preserve">increase in interest payments which have to be paid by improving trade balance. Thus competitiveness needs to be improved by RER depreciation [22]. However, in Croatia, improvement of competitiveness by means of depreciation of </w:t>
      </w:r>
      <w:r w:rsidR="00F00CBF">
        <w:t xml:space="preserve">the </w:t>
      </w:r>
      <w:r w:rsidRPr="009E4FFC">
        <w:t xml:space="preserve">real exchange rate is questionable [11], what is </w:t>
      </w:r>
      <w:r w:rsidR="00F00CBF">
        <w:t>a</w:t>
      </w:r>
      <w:r w:rsidRPr="009E4FFC">
        <w:t xml:space="preserve"> possible explanation for the negative sign of NFA. The sign of TNT is in line with </w:t>
      </w:r>
      <w:r w:rsidR="00F00CBF">
        <w:t xml:space="preserve">the </w:t>
      </w:r>
      <w:r w:rsidRPr="009E4FFC">
        <w:t>previous research, since it is expected to be positive [7].</w:t>
      </w:r>
    </w:p>
    <w:p w:rsidR="0049160A" w:rsidRPr="009E4FFC" w:rsidRDefault="0049160A" w:rsidP="0049160A">
      <w:pPr>
        <w:pStyle w:val="BodyText"/>
        <w:ind w:left="770" w:hanging="784"/>
        <w:jc w:val="left"/>
        <w:rPr>
          <w:b w:val="0"/>
          <w:sz w:val="24"/>
          <w:szCs w:val="22"/>
        </w:rPr>
      </w:pPr>
    </w:p>
    <w:tbl>
      <w:tblPr>
        <w:tblW w:w="5004" w:type="dxa"/>
        <w:jc w:val="center"/>
        <w:tblInd w:w="108" w:type="dxa"/>
        <w:tblLook w:val="04A0" w:firstRow="1" w:lastRow="0" w:firstColumn="1" w:lastColumn="0" w:noHBand="0" w:noVBand="1"/>
      </w:tblPr>
      <w:tblGrid>
        <w:gridCol w:w="1243"/>
        <w:gridCol w:w="1316"/>
        <w:gridCol w:w="1376"/>
        <w:gridCol w:w="1177"/>
      </w:tblGrid>
      <w:tr w:rsidR="0049160A" w:rsidRPr="009E4FFC" w:rsidTr="0049160A">
        <w:trPr>
          <w:trHeight w:val="283"/>
          <w:jc w:val="center"/>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b/>
                <w:bCs/>
                <w:color w:val="000000"/>
                <w:sz w:val="22"/>
                <w:szCs w:val="22"/>
                <w:lang w:eastAsia="hr-HR"/>
              </w:rPr>
              <w:t>Coefficient</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b/>
                <w:bCs/>
                <w:color w:val="000000"/>
                <w:sz w:val="22"/>
                <w:szCs w:val="22"/>
                <w:lang w:eastAsia="hr-HR"/>
              </w:rPr>
              <w:t>Value</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b/>
                <w:bCs/>
                <w:i/>
                <w:color w:val="000000"/>
                <w:sz w:val="22"/>
                <w:szCs w:val="22"/>
                <w:lang w:eastAsia="hr-HR"/>
              </w:rPr>
              <w:t>t</w:t>
            </w:r>
            <w:r w:rsidRPr="009E4FFC">
              <w:rPr>
                <w:b/>
                <w:bCs/>
                <w:color w:val="000000"/>
                <w:sz w:val="22"/>
                <w:szCs w:val="22"/>
                <w:lang w:eastAsia="hr-HR"/>
              </w:rPr>
              <w:t>-statistics</w:t>
            </w:r>
          </w:p>
        </w:tc>
        <w:tc>
          <w:tcPr>
            <w:tcW w:w="1177" w:type="dxa"/>
            <w:tcBorders>
              <w:top w:val="single" w:sz="4" w:space="0" w:color="auto"/>
              <w:left w:val="nil"/>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b/>
                <w:bCs/>
                <w:color w:val="000000"/>
                <w:sz w:val="22"/>
                <w:szCs w:val="22"/>
                <w:lang w:eastAsia="hr-HR"/>
              </w:rPr>
              <w:t>Standard error</w:t>
            </w:r>
          </w:p>
        </w:tc>
      </w:tr>
      <w:tr w:rsidR="0049160A" w:rsidRPr="009E4FFC" w:rsidTr="0049160A">
        <w:trPr>
          <w:trHeight w:val="283"/>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9160A" w:rsidRPr="009E4FFC" w:rsidRDefault="0049160A" w:rsidP="0049160A">
            <w:pPr>
              <w:jc w:val="center"/>
              <w:rPr>
                <w:b/>
                <w:bCs/>
                <w:color w:val="000000"/>
                <w:sz w:val="22"/>
                <w:szCs w:val="22"/>
                <w:lang w:eastAsia="hr-HR"/>
              </w:rPr>
            </w:pPr>
            <w:r w:rsidRPr="009E4FFC">
              <w:rPr>
                <w:rFonts w:eastAsia="Calibri"/>
                <w:position w:val="-12"/>
                <w:sz w:val="22"/>
                <w:szCs w:val="22"/>
              </w:rPr>
              <w:object w:dxaOrig="340" w:dyaOrig="360">
                <v:shape id="_x0000_i1028" type="#_x0000_t75" style="width:16.5pt;height:18pt" o:ole="">
                  <v:imagedata r:id="rId16" o:title=""/>
                </v:shape>
                <o:OLEObject Type="Embed" ProgID="Equation.3" ShapeID="_x0000_i1028" DrawAspect="Content" ObjectID="_1479797824" r:id="rId17"/>
              </w:object>
            </w:r>
          </w:p>
        </w:tc>
        <w:tc>
          <w:tcPr>
            <w:tcW w:w="131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rFonts w:eastAsia="Calibri"/>
                <w:color w:val="000000"/>
                <w:sz w:val="22"/>
                <w:szCs w:val="22"/>
              </w:rPr>
            </w:pPr>
            <w:r w:rsidRPr="009E4FFC">
              <w:rPr>
                <w:rFonts w:eastAsia="Calibri"/>
                <w:color w:val="000000"/>
                <w:sz w:val="22"/>
                <w:szCs w:val="22"/>
              </w:rPr>
              <w:t>-2.4864</w:t>
            </w:r>
          </w:p>
        </w:tc>
        <w:tc>
          <w:tcPr>
            <w:tcW w:w="137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rFonts w:eastAsia="Calibri"/>
                <w:color w:val="000000"/>
                <w:sz w:val="22"/>
                <w:szCs w:val="22"/>
              </w:rPr>
            </w:pPr>
            <w:r w:rsidRPr="009E4FFC">
              <w:rPr>
                <w:rFonts w:eastAsia="Calibri"/>
                <w:color w:val="000000"/>
                <w:sz w:val="22"/>
                <w:szCs w:val="22"/>
              </w:rPr>
              <w:t>-2.6333</w:t>
            </w:r>
          </w:p>
        </w:tc>
        <w:tc>
          <w:tcPr>
            <w:tcW w:w="1177"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rFonts w:eastAsia="Calibri"/>
                <w:color w:val="000000"/>
                <w:sz w:val="22"/>
                <w:szCs w:val="22"/>
              </w:rPr>
            </w:pPr>
            <w:r w:rsidRPr="009E4FFC">
              <w:rPr>
                <w:rFonts w:eastAsia="Calibri"/>
                <w:color w:val="000000"/>
                <w:sz w:val="22"/>
                <w:szCs w:val="22"/>
              </w:rPr>
              <w:t>0.9442</w:t>
            </w:r>
          </w:p>
        </w:tc>
      </w:tr>
      <w:tr w:rsidR="0049160A" w:rsidRPr="009E4FFC" w:rsidTr="0049160A">
        <w:trPr>
          <w:trHeight w:val="283"/>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rFonts w:eastAsia="Calibri"/>
                <w:position w:val="-10"/>
                <w:sz w:val="22"/>
                <w:szCs w:val="22"/>
              </w:rPr>
              <w:object w:dxaOrig="320" w:dyaOrig="340">
                <v:shape id="_x0000_i1029" type="#_x0000_t75" style="width:15.75pt;height:16.5pt" o:ole="">
                  <v:imagedata r:id="rId18" o:title=""/>
                </v:shape>
                <o:OLEObject Type="Embed" ProgID="Equation.3" ShapeID="_x0000_i1029" DrawAspect="Content" ObjectID="_1479797825" r:id="rId19"/>
              </w:object>
            </w:r>
          </w:p>
        </w:tc>
        <w:tc>
          <w:tcPr>
            <w:tcW w:w="131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-1.2398</w:t>
            </w:r>
          </w:p>
        </w:tc>
        <w:tc>
          <w:tcPr>
            <w:tcW w:w="137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-9.6852</w:t>
            </w:r>
          </w:p>
        </w:tc>
        <w:tc>
          <w:tcPr>
            <w:tcW w:w="1177"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0.1280</w:t>
            </w:r>
          </w:p>
        </w:tc>
      </w:tr>
      <w:tr w:rsidR="0049160A" w:rsidRPr="009E4FFC" w:rsidTr="0049160A">
        <w:trPr>
          <w:trHeight w:val="283"/>
          <w:jc w:val="center"/>
        </w:trPr>
        <w:tc>
          <w:tcPr>
            <w:tcW w:w="1135" w:type="dxa"/>
            <w:tcBorders>
              <w:top w:val="nil"/>
              <w:left w:val="single" w:sz="4" w:space="0" w:color="auto"/>
              <w:bottom w:val="single" w:sz="4" w:space="0" w:color="auto"/>
              <w:right w:val="single" w:sz="4" w:space="0" w:color="auto"/>
            </w:tcBorders>
            <w:shd w:val="clear" w:color="auto" w:fill="auto"/>
            <w:noWrap/>
            <w:vAlign w:val="center"/>
          </w:tcPr>
          <w:p w:rsidR="0049160A" w:rsidRPr="009E4FFC" w:rsidRDefault="0049160A" w:rsidP="0049160A">
            <w:pPr>
              <w:jc w:val="center"/>
              <w:rPr>
                <w:b/>
                <w:bCs/>
                <w:color w:val="000000"/>
                <w:sz w:val="22"/>
                <w:szCs w:val="22"/>
                <w:lang w:eastAsia="hr-HR"/>
              </w:rPr>
            </w:pPr>
            <w:r w:rsidRPr="009E4FFC">
              <w:rPr>
                <w:rFonts w:eastAsia="Calibri"/>
                <w:position w:val="-10"/>
                <w:sz w:val="22"/>
                <w:szCs w:val="22"/>
              </w:rPr>
              <w:object w:dxaOrig="360" w:dyaOrig="340">
                <v:shape id="_x0000_i1030" type="#_x0000_t75" style="width:18pt;height:16.5pt" o:ole="">
                  <v:imagedata r:id="rId20" o:title=""/>
                </v:shape>
                <o:OLEObject Type="Embed" ProgID="Equation.3" ShapeID="_x0000_i1030" DrawAspect="Content" ObjectID="_1479797826" r:id="rId21"/>
              </w:object>
            </w:r>
          </w:p>
        </w:tc>
        <w:tc>
          <w:tcPr>
            <w:tcW w:w="131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-0.0931</w:t>
            </w:r>
          </w:p>
        </w:tc>
        <w:tc>
          <w:tcPr>
            <w:tcW w:w="137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-3.9980</w:t>
            </w:r>
          </w:p>
        </w:tc>
        <w:tc>
          <w:tcPr>
            <w:tcW w:w="1177"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rFonts w:eastAsia="Calibri"/>
                <w:color w:val="000000"/>
                <w:sz w:val="22"/>
                <w:szCs w:val="22"/>
              </w:rPr>
            </w:pPr>
            <w:r w:rsidRPr="009E4FFC">
              <w:rPr>
                <w:rFonts w:eastAsia="Calibri"/>
                <w:color w:val="000000"/>
                <w:sz w:val="22"/>
                <w:szCs w:val="22"/>
              </w:rPr>
              <w:t>0.0233</w:t>
            </w:r>
          </w:p>
        </w:tc>
      </w:tr>
      <w:tr w:rsidR="0049160A" w:rsidRPr="009E4FFC" w:rsidTr="0049160A">
        <w:trPr>
          <w:trHeight w:val="283"/>
          <w:jc w:val="center"/>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49160A" w:rsidRPr="009E4FFC" w:rsidRDefault="0049160A" w:rsidP="0049160A">
            <w:pPr>
              <w:jc w:val="center"/>
              <w:rPr>
                <w:b/>
                <w:bCs/>
                <w:color w:val="000000"/>
                <w:sz w:val="22"/>
                <w:szCs w:val="22"/>
                <w:lang w:eastAsia="hr-HR"/>
              </w:rPr>
            </w:pPr>
            <w:r w:rsidRPr="009E4FFC">
              <w:rPr>
                <w:rFonts w:eastAsia="Calibri"/>
                <w:position w:val="-12"/>
                <w:sz w:val="22"/>
                <w:szCs w:val="22"/>
              </w:rPr>
              <w:object w:dxaOrig="340" w:dyaOrig="360">
                <v:shape id="_x0000_i1031" type="#_x0000_t75" style="width:16.5pt;height:18pt" o:ole="">
                  <v:imagedata r:id="rId22" o:title=""/>
                </v:shape>
                <o:OLEObject Type="Embed" ProgID="Equation.3" ShapeID="_x0000_i1031" DrawAspect="Content" ObjectID="_1479797827" r:id="rId23"/>
              </w:object>
            </w:r>
          </w:p>
        </w:tc>
        <w:tc>
          <w:tcPr>
            <w:tcW w:w="131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1.2133</w:t>
            </w:r>
          </w:p>
        </w:tc>
        <w:tc>
          <w:tcPr>
            <w:tcW w:w="1376"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5.2704</w:t>
            </w:r>
          </w:p>
        </w:tc>
        <w:tc>
          <w:tcPr>
            <w:tcW w:w="1177" w:type="dxa"/>
            <w:tcBorders>
              <w:top w:val="nil"/>
              <w:left w:val="nil"/>
              <w:bottom w:val="single" w:sz="4" w:space="0" w:color="auto"/>
              <w:right w:val="single" w:sz="4" w:space="0" w:color="auto"/>
            </w:tcBorders>
            <w:shd w:val="clear" w:color="auto" w:fill="auto"/>
            <w:noWrap/>
            <w:vAlign w:val="center"/>
          </w:tcPr>
          <w:p w:rsidR="0049160A" w:rsidRPr="009E4FFC" w:rsidRDefault="0049160A" w:rsidP="0049160A">
            <w:pPr>
              <w:jc w:val="center"/>
              <w:rPr>
                <w:color w:val="000000"/>
                <w:sz w:val="22"/>
                <w:szCs w:val="22"/>
                <w:lang w:eastAsia="hr-HR"/>
              </w:rPr>
            </w:pPr>
            <w:r w:rsidRPr="009E4FFC">
              <w:rPr>
                <w:rFonts w:eastAsia="Calibri"/>
                <w:color w:val="000000"/>
                <w:sz w:val="22"/>
                <w:szCs w:val="22"/>
              </w:rPr>
              <w:t>0.2302</w:t>
            </w:r>
          </w:p>
        </w:tc>
      </w:tr>
    </w:tbl>
    <w:p w:rsidR="0049160A" w:rsidRPr="009E4FFC" w:rsidRDefault="00F00CBF" w:rsidP="0072625E">
      <w:pPr>
        <w:spacing w:before="120"/>
        <w:jc w:val="center"/>
        <w:rPr>
          <w:sz w:val="22"/>
          <w:szCs w:val="22"/>
        </w:rPr>
      </w:pPr>
      <w:r>
        <w:rPr>
          <w:sz w:val="22"/>
          <w:szCs w:val="22"/>
        </w:rPr>
        <w:t xml:space="preserve">Table 3: </w:t>
      </w:r>
      <w:proofErr w:type="spellStart"/>
      <w:r>
        <w:rPr>
          <w:sz w:val="22"/>
          <w:szCs w:val="22"/>
        </w:rPr>
        <w:t>C</w:t>
      </w:r>
      <w:r w:rsidR="0049160A" w:rsidRPr="009E4FFC">
        <w:rPr>
          <w:sz w:val="22"/>
          <w:szCs w:val="22"/>
        </w:rPr>
        <w:t>ointegration</w:t>
      </w:r>
      <w:proofErr w:type="spellEnd"/>
      <w:r w:rsidR="0049160A" w:rsidRPr="009E4FFC">
        <w:rPr>
          <w:sz w:val="22"/>
          <w:szCs w:val="22"/>
        </w:rPr>
        <w:t xml:space="preserve"> equation parameters with corresponding </w:t>
      </w:r>
      <w:r w:rsidR="0049160A" w:rsidRPr="009E4FFC">
        <w:rPr>
          <w:i/>
          <w:sz w:val="22"/>
          <w:szCs w:val="22"/>
        </w:rPr>
        <w:t>t</w:t>
      </w:r>
      <w:r w:rsidR="0049160A" w:rsidRPr="009E4FFC">
        <w:rPr>
          <w:sz w:val="22"/>
          <w:szCs w:val="22"/>
        </w:rPr>
        <w:t>-statistics and standard errors</w:t>
      </w:r>
    </w:p>
    <w:p w:rsidR="0049160A" w:rsidRPr="009E4FFC" w:rsidRDefault="0049160A" w:rsidP="0049160A">
      <w:pPr>
        <w:pStyle w:val="BodyText"/>
        <w:ind w:left="770" w:hanging="784"/>
        <w:jc w:val="left"/>
        <w:rPr>
          <w:b w:val="0"/>
          <w:sz w:val="24"/>
          <w:szCs w:val="22"/>
        </w:rPr>
      </w:pPr>
    </w:p>
    <w:p w:rsidR="0049160A" w:rsidRPr="009E4FFC" w:rsidRDefault="0049160A" w:rsidP="00C949D8">
      <w:pPr>
        <w:ind w:firstLine="432"/>
        <w:jc w:val="both"/>
      </w:pPr>
      <w:r w:rsidRPr="009E4FFC">
        <w:t>The ECT is equal to -0.1131, where</w:t>
      </w:r>
      <w:r w:rsidR="00F00CBF">
        <w:t>by</w:t>
      </w:r>
      <w:r w:rsidRPr="009E4FFC">
        <w:t xml:space="preserve"> co</w:t>
      </w:r>
      <w:r w:rsidR="00490BAC">
        <w:t xml:space="preserve">rresponding t-statistics equals </w:t>
      </w:r>
      <w:r w:rsidRPr="009E4FFC">
        <w:t>-2.0055. The negative sign of ECT indicates that variables return to equilibrium, while its value provides informa</w:t>
      </w:r>
      <w:r w:rsidR="00F00CBF">
        <w:t>tion about the adjustment speed,</w:t>
      </w:r>
      <w:r w:rsidRPr="009E4FFC">
        <w:t xml:space="preserve"> what refers to the fact that 11.31% of disequilibrium is corrected in each quarter and </w:t>
      </w:r>
      <w:r w:rsidR="00F00CBF">
        <w:t xml:space="preserve">the </w:t>
      </w:r>
      <w:r w:rsidRPr="009E4FFC">
        <w:t xml:space="preserve">RER returns to the equilibrium level for approximately 9 quarters. Regarding the diagnostics of model residuals, White </w:t>
      </w:r>
      <w:proofErr w:type="spellStart"/>
      <w:r w:rsidRPr="009E4FFC">
        <w:t>heteroskedasticity</w:t>
      </w:r>
      <w:proofErr w:type="spellEnd"/>
      <w:r w:rsidRPr="009E4FFC">
        <w:t xml:space="preserve"> test is conducted. The White test chi-square test statistic equals 251.4268, with </w:t>
      </w:r>
      <w:r w:rsidR="00F00CBF">
        <w:t xml:space="preserve">the </w:t>
      </w:r>
      <w:r w:rsidRPr="009E4FFC">
        <w:t xml:space="preserve">corresponding p-value of 0.6371, what indicates that the null hypothesis of homoscedasticity cannot be rejected at any reasonable significance level. Concerning the residual autocorrelation test, the LM test is conducted. The null hypothesis of no autocorrelation of residuals cannot be rejected up to lag length k=20 at </w:t>
      </w:r>
      <w:r w:rsidR="00F00CBF">
        <w:t xml:space="preserve">a </w:t>
      </w:r>
      <w:r w:rsidRPr="009E4FFC">
        <w:t xml:space="preserve">5% significance level, since all corresponding empirical significance levels are higher than 0.05. Regarding the stability of </w:t>
      </w:r>
      <w:r w:rsidR="00F00CBF">
        <w:t xml:space="preserve">the </w:t>
      </w:r>
      <w:r w:rsidRPr="009E4FFC">
        <w:t xml:space="preserve">VEC model, the estimated VEC with r </w:t>
      </w:r>
      <w:proofErr w:type="spellStart"/>
      <w:r w:rsidRPr="009E4FFC">
        <w:t>cointegrating</w:t>
      </w:r>
      <w:proofErr w:type="spellEnd"/>
      <w:r w:rsidRPr="009E4FFC">
        <w:t xml:space="preserve"> relations is stable if k-r roots are equal to unity and the remaining roots have modulus less than one and lie inside the unit circle, where k is the number of endogenous variables and r is the number o</w:t>
      </w:r>
      <w:r w:rsidR="00915657">
        <w:t xml:space="preserve">f </w:t>
      </w:r>
      <w:proofErr w:type="spellStart"/>
      <w:r w:rsidR="00915657">
        <w:t>cointegrating</w:t>
      </w:r>
      <w:proofErr w:type="spellEnd"/>
      <w:r w:rsidR="00915657">
        <w:t xml:space="preserve"> relations. S</w:t>
      </w:r>
      <w:r w:rsidRPr="009E4FFC">
        <w:t>tability of</w:t>
      </w:r>
      <w:r w:rsidR="00915657">
        <w:t xml:space="preserve"> the</w:t>
      </w:r>
      <w:r w:rsidRPr="009E4FFC">
        <w:t xml:space="preserve"> model is checked by calculating the inverse roots of </w:t>
      </w:r>
      <w:r w:rsidR="00915657">
        <w:t xml:space="preserve">the </w:t>
      </w:r>
      <w:r w:rsidRPr="009E4FFC">
        <w:t>characteristic AR polynomial using EViews8</w:t>
      </w:r>
      <w:r w:rsidRPr="009E4FFC">
        <w:footnoteReference w:id="6"/>
      </w:r>
      <w:r w:rsidRPr="009E4FFC">
        <w:t xml:space="preserve">. The analysis has shown that VEC </w:t>
      </w:r>
      <w:r w:rsidRPr="009E4FFC">
        <w:lastRenderedPageBreak/>
        <w:t xml:space="preserve">specification imposes 3 unit roots and the remaining roots have modulus less than one. Since there are four variables and one </w:t>
      </w:r>
      <w:proofErr w:type="spellStart"/>
      <w:r w:rsidRPr="009E4FFC">
        <w:t>cointegrating</w:t>
      </w:r>
      <w:proofErr w:type="spellEnd"/>
      <w:r w:rsidRPr="009E4FFC">
        <w:t xml:space="preserve"> relation, the existence of three unit roots shows that the system is stable. Therefore, the ECM diagnostic tests show that the estimated model is appropriate. For </w:t>
      </w:r>
      <w:r w:rsidR="00915657">
        <w:t xml:space="preserve">a </w:t>
      </w:r>
      <w:r w:rsidRPr="009E4FFC">
        <w:t xml:space="preserve">detailed explanation of problems of </w:t>
      </w:r>
      <w:proofErr w:type="spellStart"/>
      <w:r w:rsidRPr="009E4FFC">
        <w:t>heteroskedasticity</w:t>
      </w:r>
      <w:proofErr w:type="spellEnd"/>
      <w:r w:rsidRPr="009E4FFC">
        <w:t>, autocorrelation as well as AR roots calculation see, for example, [16].</w:t>
      </w:r>
    </w:p>
    <w:p w:rsidR="0049160A" w:rsidRPr="009E4FFC" w:rsidRDefault="0049160A" w:rsidP="00C949D8">
      <w:pPr>
        <w:ind w:firstLine="432"/>
        <w:jc w:val="both"/>
      </w:pPr>
      <w:r w:rsidRPr="009E4FFC">
        <w:t xml:space="preserve">After the estimation </w:t>
      </w:r>
      <w:r w:rsidR="00915657">
        <w:t>of the long-</w:t>
      </w:r>
      <w:r w:rsidRPr="009E4FFC">
        <w:t>run equation, the ERER is</w:t>
      </w:r>
      <w:r w:rsidR="00915657">
        <w:t xml:space="preserve"> estimated by applying the long-</w:t>
      </w:r>
      <w:r w:rsidRPr="009E4FFC">
        <w:t>run coefficients to the actual values of macroeconomic fundamentals to achieve</w:t>
      </w:r>
      <w:r w:rsidR="00915657">
        <w:t xml:space="preserve"> a long-</w:t>
      </w:r>
      <w:r w:rsidRPr="009E4FFC">
        <w:t>run equilibrium value for the RER. However, in [10]</w:t>
      </w:r>
      <w:r w:rsidR="00915657">
        <w:t>,</w:t>
      </w:r>
      <w:r w:rsidRPr="009E4FFC">
        <w:t xml:space="preserve"> it is stated that macroeconomic fundamentals included </w:t>
      </w:r>
      <w:r w:rsidR="00915657">
        <w:t xml:space="preserve">in </w:t>
      </w:r>
      <w:r w:rsidRPr="009E4FFC">
        <w:t>the lo</w:t>
      </w:r>
      <w:r w:rsidR="00915657">
        <w:t>ng-run equation are not necessar</w:t>
      </w:r>
      <w:r w:rsidRPr="009E4FFC">
        <w:t>y at their equilibrium level since they fluctuate around the equilibrium. Therefore, in order to obtain the permanent values of</w:t>
      </w:r>
      <w:r w:rsidR="00915657">
        <w:t xml:space="preserve"> the</w:t>
      </w:r>
      <w:r w:rsidRPr="009E4FFC">
        <w:t xml:space="preserve"> ERER, the </w:t>
      </w:r>
      <w:proofErr w:type="spellStart"/>
      <w:r w:rsidRPr="009E4FFC">
        <w:t>Hodrick</w:t>
      </w:r>
      <w:proofErr w:type="spellEnd"/>
      <w:r w:rsidRPr="009E4FFC">
        <w:t xml:space="preserve"> and Prescott filter (HP filter) is used [21]. In line with [1], [3] and [7], the PEER is obtained using the estimated </w:t>
      </w:r>
      <w:proofErr w:type="spellStart"/>
      <w:r w:rsidRPr="009E4FFC">
        <w:t>cointegration</w:t>
      </w:r>
      <w:proofErr w:type="spellEnd"/>
      <w:r w:rsidRPr="009E4FFC">
        <w:t xml:space="preserve"> parameters and feeding the model with permanent components of fundamentals. The permanent components of selected fundamentals are estimated using </w:t>
      </w:r>
      <w:r w:rsidR="00915657">
        <w:t xml:space="preserve">the </w:t>
      </w:r>
      <w:r w:rsidRPr="009E4FFC">
        <w:t>HP filter and characterized as sustainable levels which are therefore consistent with the concept of equilibrium [1].</w:t>
      </w:r>
    </w:p>
    <w:p w:rsidR="0049160A" w:rsidRPr="009E4FFC" w:rsidRDefault="0049160A" w:rsidP="00C949D8">
      <w:pPr>
        <w:ind w:firstLine="432"/>
        <w:jc w:val="both"/>
      </w:pPr>
      <w:r w:rsidRPr="009E4FFC">
        <w:t xml:space="preserve">The values of </w:t>
      </w:r>
      <w:r w:rsidR="00915657">
        <w:t xml:space="preserve">the </w:t>
      </w:r>
      <w:r w:rsidRPr="009E4FFC">
        <w:t xml:space="preserve">RER, </w:t>
      </w:r>
      <w:r w:rsidR="00915657">
        <w:t xml:space="preserve">the </w:t>
      </w:r>
      <w:r w:rsidRPr="009E4FFC">
        <w:t xml:space="preserve">ERER and </w:t>
      </w:r>
      <w:r w:rsidR="00915657">
        <w:t xml:space="preserve">the </w:t>
      </w:r>
      <w:r w:rsidRPr="009E4FFC">
        <w:t xml:space="preserve">PEER are shown in Figure 1. As expected, the PEER which presents the HP-filtered trend component of the ERER, exhibits less volatility than the ERER. The high positive correlation between </w:t>
      </w:r>
      <w:r w:rsidR="00915657">
        <w:t xml:space="preserve">the </w:t>
      </w:r>
      <w:r w:rsidRPr="009E4FFC">
        <w:t xml:space="preserve">ERER and </w:t>
      </w:r>
      <w:r w:rsidR="00915657">
        <w:t xml:space="preserve">the </w:t>
      </w:r>
      <w:r w:rsidRPr="009E4FFC">
        <w:t xml:space="preserve">PEER with </w:t>
      </w:r>
      <w:r w:rsidR="00915657">
        <w:t xml:space="preserve">the </w:t>
      </w:r>
      <w:r w:rsidRPr="009E4FFC">
        <w:t>coefficient of correlation equal to 0.87 indicates that the ERER and</w:t>
      </w:r>
      <w:r w:rsidR="00915657">
        <w:t xml:space="preserve"> the</w:t>
      </w:r>
      <w:r w:rsidRPr="009E4FFC">
        <w:t xml:space="preserve"> PEER are closely positively correlated. Figure 1 shows that the RER does not deviate largely from the equilibrium value of the ER, measured either by the ERER or </w:t>
      </w:r>
      <w:r w:rsidR="00915657">
        <w:t xml:space="preserve">the </w:t>
      </w:r>
      <w:r w:rsidRPr="009E4FFC">
        <w:t>PEER. RER misalignmen</w:t>
      </w:r>
      <w:r w:rsidR="00915657">
        <w:t>t is discussed below in detail</w:t>
      </w:r>
      <w:r w:rsidRPr="009E4FFC">
        <w:t>.</w:t>
      </w:r>
    </w:p>
    <w:p w:rsidR="0049160A" w:rsidRPr="009E4FFC" w:rsidRDefault="0049160A" w:rsidP="00C956C2">
      <w:pPr>
        <w:autoSpaceDE w:val="0"/>
        <w:autoSpaceDN w:val="0"/>
        <w:adjustRightInd w:val="0"/>
        <w:rPr>
          <w:szCs w:val="22"/>
          <w:lang w:val="hr-HR" w:eastAsia="hr-HR"/>
        </w:rPr>
      </w:pPr>
    </w:p>
    <w:p w:rsidR="0072625E" w:rsidRDefault="0049160A" w:rsidP="0072625E">
      <w:pPr>
        <w:autoSpaceDE w:val="0"/>
        <w:autoSpaceDN w:val="0"/>
        <w:adjustRightInd w:val="0"/>
        <w:jc w:val="center"/>
        <w:rPr>
          <w:sz w:val="22"/>
          <w:szCs w:val="22"/>
        </w:rPr>
      </w:pPr>
      <w:r w:rsidRPr="009E4FFC">
        <w:rPr>
          <w:noProof/>
        </w:rPr>
        <w:drawing>
          <wp:inline distT="0" distB="0" distL="0" distR="0" wp14:anchorId="72EDB0EA" wp14:editId="23A8E9FC">
            <wp:extent cx="3262917" cy="1818007"/>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slova.tif"/>
                    <pic:cNvPicPr/>
                  </pic:nvPicPr>
                  <pic:blipFill>
                    <a:blip r:embed="rId24">
                      <a:extLst>
                        <a:ext uri="{28A0092B-C50C-407E-A947-70E740481C1C}">
                          <a14:useLocalDpi xmlns:a14="http://schemas.microsoft.com/office/drawing/2010/main" val="0"/>
                        </a:ext>
                      </a:extLst>
                    </a:blip>
                    <a:stretch>
                      <a:fillRect/>
                    </a:stretch>
                  </pic:blipFill>
                  <pic:spPr>
                    <a:xfrm>
                      <a:off x="0" y="0"/>
                      <a:ext cx="3270867" cy="1822436"/>
                    </a:xfrm>
                    <a:prstGeom prst="rect">
                      <a:avLst/>
                    </a:prstGeom>
                  </pic:spPr>
                </pic:pic>
              </a:graphicData>
            </a:graphic>
          </wp:inline>
        </w:drawing>
      </w:r>
    </w:p>
    <w:p w:rsidR="0049160A" w:rsidRPr="0072625E" w:rsidRDefault="0049160A" w:rsidP="00FC0762">
      <w:pPr>
        <w:autoSpaceDE w:val="0"/>
        <w:autoSpaceDN w:val="0"/>
        <w:adjustRightInd w:val="0"/>
        <w:jc w:val="center"/>
        <w:rPr>
          <w:sz w:val="22"/>
          <w:szCs w:val="22"/>
          <w:lang w:val="hr-HR" w:eastAsia="hr-HR"/>
        </w:rPr>
      </w:pPr>
      <w:r w:rsidRPr="009E4FFC">
        <w:rPr>
          <w:sz w:val="22"/>
          <w:szCs w:val="22"/>
        </w:rPr>
        <w:t>Figure 1</w:t>
      </w:r>
      <w:r w:rsidRPr="009E4FFC">
        <w:rPr>
          <w:sz w:val="22"/>
          <w:szCs w:val="22"/>
          <w:lang w:val="hr-HR"/>
        </w:rPr>
        <w:t xml:space="preserve">: </w:t>
      </w:r>
      <w:r w:rsidRPr="009E4FFC">
        <w:rPr>
          <w:sz w:val="22"/>
          <w:szCs w:val="22"/>
        </w:rPr>
        <w:t xml:space="preserve">The RER, </w:t>
      </w:r>
      <w:r w:rsidR="00915657">
        <w:rPr>
          <w:sz w:val="22"/>
          <w:szCs w:val="22"/>
        </w:rPr>
        <w:t xml:space="preserve">the </w:t>
      </w:r>
      <w:r w:rsidRPr="009E4FFC">
        <w:rPr>
          <w:sz w:val="22"/>
          <w:szCs w:val="22"/>
        </w:rPr>
        <w:t xml:space="preserve">ERER and </w:t>
      </w:r>
      <w:r w:rsidR="00915657">
        <w:rPr>
          <w:sz w:val="22"/>
          <w:szCs w:val="22"/>
        </w:rPr>
        <w:t xml:space="preserve">the </w:t>
      </w:r>
      <w:r w:rsidRPr="009E4FFC">
        <w:rPr>
          <w:sz w:val="22"/>
          <w:szCs w:val="22"/>
        </w:rPr>
        <w:t xml:space="preserve">PEER in Croatia from </w:t>
      </w:r>
      <w:r w:rsidR="00915657">
        <w:rPr>
          <w:sz w:val="22"/>
          <w:szCs w:val="22"/>
        </w:rPr>
        <w:t xml:space="preserve">the </w:t>
      </w:r>
      <w:r w:rsidRPr="009E4FFC">
        <w:rPr>
          <w:sz w:val="22"/>
          <w:szCs w:val="22"/>
        </w:rPr>
        <w:t xml:space="preserve">first quarter </w:t>
      </w:r>
      <w:r w:rsidR="00915657">
        <w:rPr>
          <w:sz w:val="22"/>
          <w:szCs w:val="22"/>
        </w:rPr>
        <w:t xml:space="preserve">of </w:t>
      </w:r>
      <w:r w:rsidRPr="009E4FFC">
        <w:rPr>
          <w:sz w:val="22"/>
          <w:szCs w:val="22"/>
        </w:rPr>
        <w:t xml:space="preserve">1998 to </w:t>
      </w:r>
      <w:r w:rsidR="00915657">
        <w:rPr>
          <w:sz w:val="22"/>
          <w:szCs w:val="22"/>
        </w:rPr>
        <w:t xml:space="preserve">the </w:t>
      </w:r>
      <w:r w:rsidRPr="009E4FFC">
        <w:rPr>
          <w:sz w:val="22"/>
          <w:szCs w:val="22"/>
        </w:rPr>
        <w:t xml:space="preserve">first quarter </w:t>
      </w:r>
      <w:r w:rsidR="00915657">
        <w:rPr>
          <w:sz w:val="22"/>
          <w:szCs w:val="22"/>
        </w:rPr>
        <w:t xml:space="preserve">of </w:t>
      </w:r>
      <w:r w:rsidRPr="009E4FFC">
        <w:rPr>
          <w:sz w:val="22"/>
          <w:szCs w:val="22"/>
        </w:rPr>
        <w:t>2014</w:t>
      </w:r>
    </w:p>
    <w:p w:rsidR="0028472B" w:rsidRPr="009E4FFC" w:rsidRDefault="0028472B" w:rsidP="00C956C2">
      <w:pPr>
        <w:autoSpaceDE w:val="0"/>
        <w:autoSpaceDN w:val="0"/>
        <w:adjustRightInd w:val="0"/>
        <w:rPr>
          <w:szCs w:val="22"/>
          <w:lang w:val="hr-HR" w:eastAsia="hr-HR"/>
        </w:rPr>
      </w:pPr>
    </w:p>
    <w:p w:rsidR="0049160A" w:rsidRPr="00C84E6D" w:rsidRDefault="00A6179B" w:rsidP="00C84E6D">
      <w:pPr>
        <w:pStyle w:val="ListParagraph"/>
        <w:numPr>
          <w:ilvl w:val="1"/>
          <w:numId w:val="35"/>
        </w:numPr>
        <w:contextualSpacing/>
        <w:jc w:val="both"/>
        <w:rPr>
          <w:b/>
        </w:rPr>
      </w:pPr>
      <w:r>
        <w:rPr>
          <w:b/>
        </w:rPr>
        <w:t>E</w:t>
      </w:r>
      <w:r w:rsidR="0049160A" w:rsidRPr="00C84E6D">
        <w:rPr>
          <w:b/>
        </w:rPr>
        <w:t>stimation of exchange rate misalignment</w:t>
      </w:r>
    </w:p>
    <w:p w:rsidR="0049160A" w:rsidRPr="009E4FFC" w:rsidRDefault="0049160A" w:rsidP="00C956C2">
      <w:pPr>
        <w:autoSpaceDE w:val="0"/>
        <w:autoSpaceDN w:val="0"/>
        <w:adjustRightInd w:val="0"/>
        <w:rPr>
          <w:szCs w:val="22"/>
          <w:lang w:val="hr-HR" w:eastAsia="hr-HR"/>
        </w:rPr>
      </w:pPr>
    </w:p>
    <w:p w:rsidR="0049160A" w:rsidRPr="009E4FFC" w:rsidRDefault="0049160A" w:rsidP="0049160A">
      <w:pPr>
        <w:autoSpaceDE w:val="0"/>
        <w:autoSpaceDN w:val="0"/>
        <w:adjustRightInd w:val="0"/>
        <w:jc w:val="both"/>
        <w:rPr>
          <w:b/>
        </w:rPr>
      </w:pPr>
      <w:r w:rsidRPr="009E4FFC">
        <w:t>A</w:t>
      </w:r>
      <w:r w:rsidR="00A6179B">
        <w:t>fter the estimation of the long-</w:t>
      </w:r>
      <w:r w:rsidRPr="009E4FFC">
        <w:t>run relationship between the RER and selected macroeconomic fundamentals and using</w:t>
      </w:r>
      <w:r w:rsidR="00A6179B">
        <w:t xml:space="preserve"> the</w:t>
      </w:r>
      <w:r w:rsidRPr="009E4FFC">
        <w:t xml:space="preserve"> HP filter to obtain the permanent values, it is necessary to determine RER misalignment. RER misalignment is defined as the deviation of the RER from its permanent equilibrium level [3]:</w:t>
      </w:r>
    </w:p>
    <w:p w:rsidR="0049160A" w:rsidRPr="009E4FFC" w:rsidRDefault="0049160A" w:rsidP="0049160A">
      <w:pPr>
        <w:autoSpaceDE w:val="0"/>
        <w:autoSpaceDN w:val="0"/>
        <w:adjustRightInd w:val="0"/>
        <w:rPr>
          <w:b/>
        </w:rPr>
      </w:pPr>
    </w:p>
    <w:p w:rsidR="0049160A" w:rsidRPr="009E4FFC" w:rsidRDefault="00285A17" w:rsidP="0049160A">
      <w:pPr>
        <w:autoSpaceDE w:val="0"/>
        <w:autoSpaceDN w:val="0"/>
        <w:adjustRightInd w:val="0"/>
        <w:jc w:val="right"/>
      </w:pPr>
      <w:r>
        <w:t>.</w:t>
      </w:r>
      <w:r w:rsidR="0049160A" w:rsidRPr="009E4FFC">
        <w:t xml:space="preserve">                  </w:t>
      </w:r>
      <w:r w:rsidR="00C566B7" w:rsidRPr="009E4FFC">
        <w:rPr>
          <w:position w:val="-28"/>
        </w:rPr>
        <w:object w:dxaOrig="2840" w:dyaOrig="680">
          <v:shape id="_x0000_i1032" type="#_x0000_t75" style="width:142.5pt;height:34.5pt" o:ole="">
            <v:imagedata r:id="rId25" o:title=""/>
          </v:shape>
          <o:OLEObject Type="Embed" ProgID="Equation.3" ShapeID="_x0000_i1032" DrawAspect="Content" ObjectID="_1479797828" r:id="rId26"/>
        </w:object>
      </w:r>
      <w:r w:rsidR="0049160A" w:rsidRPr="009E4FFC">
        <w:t xml:space="preserve">                                 (3)</w:t>
      </w:r>
    </w:p>
    <w:p w:rsidR="0049160A" w:rsidRPr="009E4FFC" w:rsidRDefault="0049160A" w:rsidP="0049160A">
      <w:pPr>
        <w:autoSpaceDE w:val="0"/>
        <w:autoSpaceDN w:val="0"/>
        <w:adjustRightInd w:val="0"/>
        <w:jc w:val="both"/>
      </w:pPr>
    </w:p>
    <w:p w:rsidR="0049160A" w:rsidRPr="009E4FFC" w:rsidRDefault="0049160A" w:rsidP="0049160A">
      <w:pPr>
        <w:autoSpaceDE w:val="0"/>
        <w:autoSpaceDN w:val="0"/>
        <w:adjustRightInd w:val="0"/>
        <w:jc w:val="both"/>
      </w:pPr>
      <w:r w:rsidRPr="009E4FFC">
        <w:t>Figure 2 shows the calculated values of the RER misalignment in Cro</w:t>
      </w:r>
      <w:r w:rsidR="00285A17">
        <w:t>atia, which are further summariz</w:t>
      </w:r>
      <w:r w:rsidRPr="009E4FFC">
        <w:t>ed in Table 4.</w:t>
      </w:r>
    </w:p>
    <w:p w:rsidR="0049160A" w:rsidRPr="009E4FFC" w:rsidRDefault="0049160A" w:rsidP="00C956C2">
      <w:pPr>
        <w:autoSpaceDE w:val="0"/>
        <w:autoSpaceDN w:val="0"/>
        <w:adjustRightInd w:val="0"/>
        <w:rPr>
          <w:sz w:val="22"/>
          <w:szCs w:val="22"/>
          <w:lang w:val="hr-HR" w:eastAsia="hr-HR"/>
        </w:rPr>
      </w:pPr>
    </w:p>
    <w:p w:rsidR="0049160A" w:rsidRPr="009E4FFC" w:rsidRDefault="0049160A" w:rsidP="0049160A">
      <w:pPr>
        <w:autoSpaceDE w:val="0"/>
        <w:autoSpaceDN w:val="0"/>
        <w:adjustRightInd w:val="0"/>
        <w:jc w:val="center"/>
        <w:rPr>
          <w:sz w:val="22"/>
          <w:szCs w:val="22"/>
          <w:lang w:val="hr-HR" w:eastAsia="hr-HR"/>
        </w:rPr>
      </w:pPr>
    </w:p>
    <w:p w:rsidR="0049160A" w:rsidRPr="009E4FFC" w:rsidRDefault="0049160A" w:rsidP="0049160A">
      <w:pPr>
        <w:autoSpaceDE w:val="0"/>
        <w:autoSpaceDN w:val="0"/>
        <w:adjustRightInd w:val="0"/>
        <w:jc w:val="center"/>
        <w:rPr>
          <w:sz w:val="22"/>
          <w:szCs w:val="22"/>
          <w:lang w:val="hr-HR" w:eastAsia="hr-HR"/>
        </w:rPr>
      </w:pPr>
      <w:r w:rsidRPr="009E4FFC">
        <w:rPr>
          <w:noProof/>
        </w:rPr>
        <w:drawing>
          <wp:inline distT="0" distB="0" distL="0" distR="0" wp14:anchorId="558BF8C6" wp14:editId="75D3A2C9">
            <wp:extent cx="3333750" cy="1519179"/>
            <wp:effectExtent l="0" t="0" r="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slova2.tif"/>
                    <pic:cNvPicPr/>
                  </pic:nvPicPr>
                  <pic:blipFill rotWithShape="1">
                    <a:blip r:embed="rId27">
                      <a:extLst>
                        <a:ext uri="{28A0092B-C50C-407E-A947-70E740481C1C}">
                          <a14:useLocalDpi xmlns:a14="http://schemas.microsoft.com/office/drawing/2010/main" val="0"/>
                        </a:ext>
                      </a:extLst>
                    </a:blip>
                    <a:srcRect b="9623"/>
                    <a:stretch/>
                  </pic:blipFill>
                  <pic:spPr bwMode="auto">
                    <a:xfrm>
                      <a:off x="0" y="0"/>
                      <a:ext cx="3352161" cy="1527569"/>
                    </a:xfrm>
                    <a:prstGeom prst="rect">
                      <a:avLst/>
                    </a:prstGeom>
                    <a:ln>
                      <a:noFill/>
                    </a:ln>
                    <a:extLst>
                      <a:ext uri="{53640926-AAD7-44D8-BBD7-CCE9431645EC}">
                        <a14:shadowObscured xmlns:a14="http://schemas.microsoft.com/office/drawing/2010/main"/>
                      </a:ext>
                    </a:extLst>
                  </pic:spPr>
                </pic:pic>
              </a:graphicData>
            </a:graphic>
          </wp:inline>
        </w:drawing>
      </w:r>
    </w:p>
    <w:p w:rsidR="00225A4E" w:rsidRPr="009E4FFC" w:rsidRDefault="00225A4E" w:rsidP="0072625E">
      <w:pPr>
        <w:pStyle w:val="ListParagraph"/>
        <w:spacing w:before="120"/>
        <w:ind w:left="0"/>
        <w:jc w:val="center"/>
        <w:rPr>
          <w:sz w:val="22"/>
          <w:szCs w:val="22"/>
        </w:rPr>
      </w:pPr>
      <w:r w:rsidRPr="009E4FFC">
        <w:rPr>
          <w:sz w:val="22"/>
          <w:szCs w:val="22"/>
        </w:rPr>
        <w:t>Figure 2</w:t>
      </w:r>
      <w:r w:rsidR="0049160A" w:rsidRPr="009E4FFC">
        <w:rPr>
          <w:sz w:val="22"/>
          <w:szCs w:val="22"/>
          <w:lang w:val="hr-HR"/>
        </w:rPr>
        <w:t xml:space="preserve">: </w:t>
      </w:r>
      <w:r w:rsidRPr="009E4FFC">
        <w:rPr>
          <w:sz w:val="22"/>
          <w:szCs w:val="22"/>
        </w:rPr>
        <w:t xml:space="preserve">RER misalignment in Croatia from </w:t>
      </w:r>
      <w:r w:rsidR="00285A17">
        <w:rPr>
          <w:sz w:val="22"/>
          <w:szCs w:val="22"/>
        </w:rPr>
        <w:t xml:space="preserve">the </w:t>
      </w:r>
      <w:r w:rsidRPr="009E4FFC">
        <w:rPr>
          <w:sz w:val="22"/>
          <w:szCs w:val="22"/>
        </w:rPr>
        <w:t xml:space="preserve">first quarter </w:t>
      </w:r>
      <w:r w:rsidR="00285A17">
        <w:rPr>
          <w:sz w:val="22"/>
          <w:szCs w:val="22"/>
        </w:rPr>
        <w:t xml:space="preserve">of </w:t>
      </w:r>
      <w:r w:rsidRPr="009E4FFC">
        <w:rPr>
          <w:sz w:val="22"/>
          <w:szCs w:val="22"/>
        </w:rPr>
        <w:t xml:space="preserve">1998 to </w:t>
      </w:r>
      <w:r w:rsidR="00285A17">
        <w:rPr>
          <w:sz w:val="22"/>
          <w:szCs w:val="22"/>
        </w:rPr>
        <w:t xml:space="preserve">the </w:t>
      </w:r>
      <w:r w:rsidRPr="009E4FFC">
        <w:rPr>
          <w:sz w:val="22"/>
          <w:szCs w:val="22"/>
        </w:rPr>
        <w:t>first quarter</w:t>
      </w:r>
      <w:r w:rsidR="00285A17">
        <w:rPr>
          <w:sz w:val="22"/>
          <w:szCs w:val="22"/>
        </w:rPr>
        <w:t xml:space="preserve"> of</w:t>
      </w:r>
      <w:r w:rsidRPr="009E4FFC">
        <w:rPr>
          <w:sz w:val="22"/>
          <w:szCs w:val="22"/>
        </w:rPr>
        <w:t xml:space="preserve"> 2014</w:t>
      </w:r>
    </w:p>
    <w:p w:rsidR="00225A4E" w:rsidRPr="009E4FFC" w:rsidRDefault="00225A4E" w:rsidP="00BC78CC">
      <w:pPr>
        <w:pStyle w:val="ListParagraph"/>
        <w:ind w:left="0"/>
        <w:rPr>
          <w:b/>
        </w:rPr>
      </w:pPr>
    </w:p>
    <w:p w:rsidR="00225A4E" w:rsidRPr="009E4FFC" w:rsidRDefault="00285A17" w:rsidP="00225A4E">
      <w:pPr>
        <w:pStyle w:val="ListParagraph"/>
        <w:ind w:left="0"/>
        <w:jc w:val="both"/>
      </w:pPr>
      <w:r>
        <w:t>M</w:t>
      </w:r>
      <w:r w:rsidR="00225A4E" w:rsidRPr="009E4FFC">
        <w:t xml:space="preserve">aximum misalignment refers to overvaluation periods in </w:t>
      </w:r>
      <w:r>
        <w:t xml:space="preserve">the </w:t>
      </w:r>
      <w:r w:rsidR="00225A4E" w:rsidRPr="009E4FFC">
        <w:t xml:space="preserve">first quarter of 1998 and in </w:t>
      </w:r>
      <w:r>
        <w:t xml:space="preserve">the </w:t>
      </w:r>
      <w:r w:rsidR="00225A4E" w:rsidRPr="009E4FFC">
        <w:t xml:space="preserve">second quarter of 2001. The highest undervaluation episode occurred in </w:t>
      </w:r>
      <w:r>
        <w:t xml:space="preserve">the </w:t>
      </w:r>
      <w:r w:rsidR="00225A4E" w:rsidRPr="009E4FFC">
        <w:t xml:space="preserve">fourth quarter of 2004. </w:t>
      </w:r>
    </w:p>
    <w:p w:rsidR="00225A4E" w:rsidRPr="009E4FFC" w:rsidRDefault="00225A4E" w:rsidP="00C949D8">
      <w:pPr>
        <w:autoSpaceDE w:val="0"/>
        <w:autoSpaceDN w:val="0"/>
        <w:adjustRightInd w:val="0"/>
        <w:ind w:firstLine="432"/>
        <w:jc w:val="both"/>
      </w:pPr>
      <w:r w:rsidRPr="009E4FFC">
        <w:t>According to [14]</w:t>
      </w:r>
      <w:r w:rsidR="00285A17">
        <w:t>,</w:t>
      </w:r>
      <w:r w:rsidRPr="009E4FFC">
        <w:t xml:space="preserve"> an ER is considered undervalued when it is depreciated more than the ERER and overvalued when it is appre</w:t>
      </w:r>
      <w:r w:rsidR="00285A17">
        <w:t>ciated more than the ERER. O</w:t>
      </w:r>
      <w:r w:rsidRPr="009E4FFC">
        <w:t>vervaluation refers to n</w:t>
      </w:r>
      <w:r w:rsidR="00285A17">
        <w:t>egative RER misalignment whereby</w:t>
      </w:r>
      <w:r w:rsidRPr="009E4FFC">
        <w:t xml:space="preserve"> RER is lower than </w:t>
      </w:r>
      <w:r w:rsidR="00285A17">
        <w:t xml:space="preserve">the </w:t>
      </w:r>
      <w:r w:rsidRPr="009E4FFC">
        <w:t>PEER, while undervaluation is defined as p</w:t>
      </w:r>
      <w:r w:rsidR="00285A17">
        <w:t>ositive RER misalignment whereby the</w:t>
      </w:r>
      <w:r w:rsidRPr="009E4FFC">
        <w:t xml:space="preserve"> RER is higher than</w:t>
      </w:r>
      <w:r w:rsidR="00285A17">
        <w:t xml:space="preserve"> the</w:t>
      </w:r>
      <w:r w:rsidRPr="009E4FFC">
        <w:t xml:space="preserve"> PEER. Table 4 shows the summary of episodes of RER misalignment in Croatia. The four overvaluation periods and three undervaluation periods are recorded. The examination of RER misalignment measured by </w:t>
      </w:r>
      <w:r w:rsidR="00285A17">
        <w:t xml:space="preserve">the </w:t>
      </w:r>
      <w:r w:rsidRPr="009E4FFC">
        <w:t xml:space="preserve">PEER has shown that in 45 out of 65 quarters observed the RER of </w:t>
      </w:r>
      <w:r w:rsidR="00285A17">
        <w:t xml:space="preserve">the </w:t>
      </w:r>
      <w:r w:rsidRPr="009E4FFC">
        <w:t xml:space="preserve">Croatian </w:t>
      </w:r>
      <w:proofErr w:type="spellStart"/>
      <w:r w:rsidRPr="009E4FFC">
        <w:lastRenderedPageBreak/>
        <w:t>kuna</w:t>
      </w:r>
      <w:proofErr w:type="spellEnd"/>
      <w:r w:rsidRPr="009E4FFC">
        <w:t xml:space="preserve"> to euro was overvalued, while in 20 observed quarters it was undervalued. </w:t>
      </w:r>
    </w:p>
    <w:p w:rsidR="00225A4E" w:rsidRPr="009E4FFC" w:rsidRDefault="00225A4E" w:rsidP="00225A4E">
      <w:pPr>
        <w:pStyle w:val="ListParagraph"/>
        <w:ind w:left="0"/>
        <w:rPr>
          <w:b/>
        </w:rPr>
      </w:pPr>
    </w:p>
    <w:tbl>
      <w:tblPr>
        <w:tblW w:w="6795" w:type="dxa"/>
        <w:jc w:val="center"/>
        <w:tblInd w:w="3512" w:type="dxa"/>
        <w:tblLook w:val="04A0" w:firstRow="1" w:lastRow="0" w:firstColumn="1" w:lastColumn="0" w:noHBand="0" w:noVBand="1"/>
      </w:tblPr>
      <w:tblGrid>
        <w:gridCol w:w="1854"/>
        <w:gridCol w:w="1591"/>
        <w:gridCol w:w="1158"/>
        <w:gridCol w:w="1194"/>
        <w:gridCol w:w="998"/>
      </w:tblGrid>
      <w:tr w:rsidR="00225A4E" w:rsidRPr="009E4FFC" w:rsidTr="00C566B7">
        <w:trPr>
          <w:trHeight w:val="300"/>
          <w:jc w:val="center"/>
        </w:trPr>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b/>
                <w:color w:val="000000"/>
                <w:sz w:val="22"/>
                <w:lang w:eastAsia="hr-HR"/>
              </w:rPr>
            </w:pPr>
            <w:r w:rsidRPr="009E4FFC">
              <w:rPr>
                <w:b/>
                <w:color w:val="000000"/>
                <w:sz w:val="22"/>
                <w:lang w:eastAsia="hr-HR"/>
              </w:rPr>
              <w:t>Period</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b/>
                <w:color w:val="000000"/>
                <w:sz w:val="22"/>
                <w:lang w:eastAsia="hr-HR"/>
              </w:rPr>
            </w:pPr>
            <w:r w:rsidRPr="009E4FFC">
              <w:rPr>
                <w:b/>
                <w:color w:val="000000"/>
                <w:sz w:val="22"/>
                <w:lang w:eastAsia="hr-HR"/>
              </w:rPr>
              <w:t>Outcome</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b/>
                <w:color w:val="000000"/>
                <w:sz w:val="22"/>
                <w:lang w:eastAsia="hr-HR"/>
              </w:rPr>
            </w:pPr>
            <w:r w:rsidRPr="009E4FFC">
              <w:rPr>
                <w:b/>
                <w:color w:val="000000"/>
                <w:sz w:val="22"/>
                <w:lang w:eastAsia="hr-HR"/>
              </w:rPr>
              <w:t>Minimum (%)</w:t>
            </w:r>
          </w:p>
        </w:tc>
        <w:tc>
          <w:tcPr>
            <w:tcW w:w="1194" w:type="dxa"/>
            <w:tcBorders>
              <w:top w:val="single" w:sz="4" w:space="0" w:color="auto"/>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b/>
                <w:color w:val="000000"/>
                <w:sz w:val="22"/>
                <w:lang w:eastAsia="hr-HR"/>
              </w:rPr>
            </w:pPr>
            <w:r w:rsidRPr="009E4FFC">
              <w:rPr>
                <w:b/>
                <w:color w:val="000000"/>
                <w:sz w:val="22"/>
                <w:lang w:eastAsia="hr-HR"/>
              </w:rPr>
              <w:t>Maximum (%)</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b/>
                <w:color w:val="000000"/>
                <w:sz w:val="22"/>
                <w:lang w:eastAsia="hr-HR"/>
              </w:rPr>
            </w:pPr>
            <w:r w:rsidRPr="009E4FFC">
              <w:rPr>
                <w:b/>
                <w:color w:val="000000"/>
                <w:sz w:val="22"/>
                <w:lang w:eastAsia="hr-HR"/>
              </w:rPr>
              <w:t>Average (%)</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1998Q1-1999Q3</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Overvaluation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-4.054</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-0.122</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-1.932</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1999Q4-2000Q1</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Undervaluation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0.166</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0.110</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0.138</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2000Q2-2004Q2</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Overvaluation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-2.101</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-0.100</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-1.081</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2003Q1-2005Q4</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Undervaluation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0.149</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1.438</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0.702</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2006Q1-2006Q2</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Overvaluation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-0.281</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-0.225</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-0.253</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2006Q3-2007Q4</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Undervaluation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0.206</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0.993</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0.599</w:t>
            </w:r>
          </w:p>
        </w:tc>
      </w:tr>
      <w:tr w:rsidR="00225A4E" w:rsidRPr="009E4FFC" w:rsidTr="00C566B7">
        <w:trPr>
          <w:trHeight w:val="300"/>
          <w:jc w:val="center"/>
        </w:trPr>
        <w:tc>
          <w:tcPr>
            <w:tcW w:w="1854" w:type="dxa"/>
            <w:tcBorders>
              <w:top w:val="nil"/>
              <w:left w:val="single" w:sz="4" w:space="0" w:color="auto"/>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2008Q1-2014Q1</w:t>
            </w:r>
          </w:p>
        </w:tc>
        <w:tc>
          <w:tcPr>
            <w:tcW w:w="1591"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rPr>
                <w:color w:val="000000"/>
                <w:sz w:val="22"/>
                <w:lang w:eastAsia="hr-HR"/>
              </w:rPr>
            </w:pPr>
            <w:r w:rsidRPr="009E4FFC">
              <w:rPr>
                <w:color w:val="000000"/>
                <w:sz w:val="22"/>
                <w:lang w:eastAsia="hr-HR"/>
              </w:rPr>
              <w:t>Overvaluation</w:t>
            </w:r>
          </w:p>
        </w:tc>
        <w:tc>
          <w:tcPr>
            <w:tcW w:w="115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-1.895</w:t>
            </w:r>
          </w:p>
        </w:tc>
        <w:tc>
          <w:tcPr>
            <w:tcW w:w="1194"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-0.217</w:t>
            </w:r>
          </w:p>
        </w:tc>
        <w:tc>
          <w:tcPr>
            <w:tcW w:w="998" w:type="dxa"/>
            <w:tcBorders>
              <w:top w:val="nil"/>
              <w:left w:val="nil"/>
              <w:bottom w:val="single" w:sz="4" w:space="0" w:color="auto"/>
              <w:right w:val="single" w:sz="4" w:space="0" w:color="auto"/>
            </w:tcBorders>
            <w:shd w:val="clear" w:color="auto" w:fill="auto"/>
            <w:noWrap/>
            <w:vAlign w:val="center"/>
            <w:hideMark/>
          </w:tcPr>
          <w:p w:rsidR="00225A4E" w:rsidRPr="009E4FFC" w:rsidRDefault="00225A4E" w:rsidP="00225A4E">
            <w:pPr>
              <w:jc w:val="center"/>
              <w:rPr>
                <w:color w:val="000000"/>
                <w:sz w:val="22"/>
                <w:lang w:eastAsia="hr-HR"/>
              </w:rPr>
            </w:pPr>
            <w:r w:rsidRPr="009E4FFC">
              <w:rPr>
                <w:color w:val="000000"/>
                <w:sz w:val="22"/>
                <w:lang w:eastAsia="hr-HR"/>
              </w:rPr>
              <w:t>-1.102</w:t>
            </w:r>
          </w:p>
        </w:tc>
      </w:tr>
    </w:tbl>
    <w:p w:rsidR="00225A4E" w:rsidRPr="009E4FFC" w:rsidRDefault="00225A4E" w:rsidP="0072625E">
      <w:pPr>
        <w:spacing w:before="120"/>
        <w:jc w:val="center"/>
        <w:rPr>
          <w:sz w:val="22"/>
          <w:szCs w:val="22"/>
        </w:rPr>
      </w:pPr>
      <w:r w:rsidRPr="009E4FFC">
        <w:rPr>
          <w:sz w:val="22"/>
          <w:szCs w:val="22"/>
        </w:rPr>
        <w:t>Table 1: Episodes of RER misalignment in Croatia</w:t>
      </w:r>
    </w:p>
    <w:p w:rsidR="0049160A" w:rsidRPr="009E4FFC" w:rsidRDefault="0049160A" w:rsidP="00C956C2">
      <w:pPr>
        <w:autoSpaceDE w:val="0"/>
        <w:autoSpaceDN w:val="0"/>
        <w:adjustRightInd w:val="0"/>
        <w:rPr>
          <w:szCs w:val="22"/>
        </w:rPr>
      </w:pPr>
    </w:p>
    <w:p w:rsidR="00C566B7" w:rsidRDefault="00225A4E" w:rsidP="00C566B7">
      <w:pPr>
        <w:autoSpaceDE w:val="0"/>
        <w:autoSpaceDN w:val="0"/>
        <w:adjustRightInd w:val="0"/>
        <w:ind w:firstLine="360"/>
        <w:jc w:val="both"/>
        <w:rPr>
          <w:b/>
          <w:sz w:val="28"/>
          <w:szCs w:val="28"/>
        </w:rPr>
      </w:pPr>
      <w:proofErr w:type="spellStart"/>
      <w:r w:rsidRPr="009E4FFC">
        <w:t>Intitially</w:t>
      </w:r>
      <w:proofErr w:type="spellEnd"/>
      <w:r w:rsidRPr="009E4FFC">
        <w:t xml:space="preserve">, this result may suggest that depreciation is necessary due to more </w:t>
      </w:r>
      <w:r w:rsidR="00285A17">
        <w:t>frequent</w:t>
      </w:r>
      <w:r w:rsidRPr="009E4FFC">
        <w:t xml:space="preserve"> overvaluation episodes. However, it should be emphasized that exchange rate misalignment is in the relatively narrow interval from </w:t>
      </w:r>
      <w:r w:rsidRPr="009E4FFC">
        <w:rPr>
          <w:color w:val="000000"/>
          <w:lang w:eastAsia="hr-HR"/>
        </w:rPr>
        <w:t>-4.054% in</w:t>
      </w:r>
      <w:r w:rsidR="00B70621">
        <w:rPr>
          <w:color w:val="000000"/>
          <w:lang w:eastAsia="hr-HR"/>
        </w:rPr>
        <w:t xml:space="preserve"> the first quarter of 1998 to 1.</w:t>
      </w:r>
      <w:r w:rsidRPr="009E4FFC">
        <w:rPr>
          <w:color w:val="000000"/>
          <w:lang w:eastAsia="hr-HR"/>
        </w:rPr>
        <w:t>438% in</w:t>
      </w:r>
      <w:r w:rsidR="00B70621">
        <w:rPr>
          <w:color w:val="000000"/>
          <w:lang w:eastAsia="hr-HR"/>
        </w:rPr>
        <w:t xml:space="preserve"> the fourth quarter of 2004. E</w:t>
      </w:r>
      <w:r w:rsidRPr="009E4FFC">
        <w:rPr>
          <w:color w:val="000000"/>
          <w:lang w:eastAsia="hr-HR"/>
        </w:rPr>
        <w:t xml:space="preserve">xchange rate misalignment was at its highest in the periods close to banking crises of 1999 and 2002 as well as when global financial crises spilled over to </w:t>
      </w:r>
      <w:r w:rsidR="00B70621">
        <w:rPr>
          <w:color w:val="000000"/>
          <w:lang w:eastAsia="hr-HR"/>
        </w:rPr>
        <w:t xml:space="preserve">the </w:t>
      </w:r>
      <w:r w:rsidRPr="009E4FFC">
        <w:rPr>
          <w:color w:val="000000"/>
          <w:lang w:eastAsia="hr-HR"/>
        </w:rPr>
        <w:t xml:space="preserve">Croatian economy in 2008. In the aforementioned periods the calculated misalignment has shown overvaluation of </w:t>
      </w:r>
      <w:r w:rsidR="00B70621">
        <w:rPr>
          <w:color w:val="000000"/>
          <w:lang w:eastAsia="hr-HR"/>
        </w:rPr>
        <w:t xml:space="preserve">the </w:t>
      </w:r>
      <w:r w:rsidRPr="009E4FFC">
        <w:rPr>
          <w:color w:val="000000"/>
          <w:lang w:eastAsia="hr-HR"/>
        </w:rPr>
        <w:t xml:space="preserve">Croatian </w:t>
      </w:r>
      <w:proofErr w:type="spellStart"/>
      <w:r w:rsidRPr="009E4FFC">
        <w:rPr>
          <w:color w:val="000000"/>
          <w:lang w:eastAsia="hr-HR"/>
        </w:rPr>
        <w:t>kuna</w:t>
      </w:r>
      <w:proofErr w:type="spellEnd"/>
      <w:r w:rsidRPr="009E4FFC">
        <w:rPr>
          <w:color w:val="000000"/>
          <w:lang w:eastAsia="hr-HR"/>
        </w:rPr>
        <w:t xml:space="preserve"> to euro. The fact that overvaluation was higher and more </w:t>
      </w:r>
      <w:r w:rsidR="00B70621">
        <w:rPr>
          <w:color w:val="000000"/>
          <w:lang w:eastAsia="hr-HR"/>
        </w:rPr>
        <w:t>frequent</w:t>
      </w:r>
      <w:r w:rsidRPr="009E4FFC">
        <w:rPr>
          <w:color w:val="000000"/>
          <w:lang w:eastAsia="hr-HR"/>
        </w:rPr>
        <w:t xml:space="preserve"> in the observed period than undervaluation is still not a sufficient reason to recommend depreciation in Croatia. The exchange rate is neither overvalued nor undervalued constantly but the periods alternate. Moreover, the range of misalignment in the observed period is relatively narrow. Regarding depreciation of </w:t>
      </w:r>
      <w:r w:rsidR="00B70621">
        <w:rPr>
          <w:color w:val="000000"/>
          <w:lang w:eastAsia="hr-HR"/>
        </w:rPr>
        <w:t xml:space="preserve">the </w:t>
      </w:r>
      <w:r w:rsidRPr="009E4FFC">
        <w:rPr>
          <w:color w:val="000000"/>
          <w:lang w:eastAsia="hr-HR"/>
        </w:rPr>
        <w:t xml:space="preserve">real exchange rate, [11] have shown that depreciation in Croatia might affect export positively, but alongside with that external debt would increase. When discussing the </w:t>
      </w:r>
      <w:r w:rsidRPr="009E4FFC">
        <w:t>implications of the conducted analysis for economic policy</w:t>
      </w:r>
      <w:r w:rsidRPr="009E4FFC">
        <w:rPr>
          <w:color w:val="000000"/>
          <w:lang w:eastAsia="hr-HR"/>
        </w:rPr>
        <w:t xml:space="preserve">, the characteristics of </w:t>
      </w:r>
      <w:r w:rsidR="00B70621">
        <w:rPr>
          <w:color w:val="000000"/>
          <w:lang w:eastAsia="hr-HR"/>
        </w:rPr>
        <w:t xml:space="preserve">the </w:t>
      </w:r>
      <w:r w:rsidRPr="009E4FFC">
        <w:rPr>
          <w:color w:val="000000"/>
          <w:lang w:eastAsia="hr-HR"/>
        </w:rPr>
        <w:t xml:space="preserve">Croatian economy should be considered. </w:t>
      </w:r>
      <w:r w:rsidRPr="009E4FFC">
        <w:t xml:space="preserve">Due to </w:t>
      </w:r>
      <w:r w:rsidR="00B70621">
        <w:t xml:space="preserve">high </w:t>
      </w:r>
      <w:proofErr w:type="spellStart"/>
      <w:r w:rsidR="00B70621">
        <w:t>euroiz</w:t>
      </w:r>
      <w:r w:rsidRPr="009E4FFC">
        <w:t>ation</w:t>
      </w:r>
      <w:proofErr w:type="spellEnd"/>
      <w:r w:rsidRPr="009E4FFC">
        <w:t xml:space="preserve"> and indebtedness of all sectors of the economy in </w:t>
      </w:r>
      <w:r w:rsidR="00B70621">
        <w:t xml:space="preserve">a </w:t>
      </w:r>
      <w:r w:rsidRPr="009E4FFC">
        <w:t>foreign currency (mainly euro), real exchange rate depreciation could increase in foreign currency debt.</w:t>
      </w:r>
      <w:r w:rsidRPr="009E4FFC">
        <w:rPr>
          <w:color w:val="000000"/>
          <w:lang w:eastAsia="hr-HR"/>
        </w:rPr>
        <w:t xml:space="preserve"> The negative impact of depreciation through the negative effect on wealth may outweigh the positive impact of depreciation through </w:t>
      </w:r>
      <w:r w:rsidR="00B70621">
        <w:rPr>
          <w:color w:val="000000"/>
          <w:lang w:eastAsia="hr-HR"/>
        </w:rPr>
        <w:t xml:space="preserve">the </w:t>
      </w:r>
      <w:r w:rsidRPr="009E4FFC">
        <w:rPr>
          <w:color w:val="000000"/>
          <w:lang w:eastAsia="hr-HR"/>
        </w:rPr>
        <w:t xml:space="preserve">competitiveness effect. </w:t>
      </w:r>
      <w:r w:rsidRPr="009E4FFC">
        <w:t xml:space="preserve">Moreover, due to the fact that Croatian imports continually exceed exports, as well as considering </w:t>
      </w:r>
      <w:r w:rsidR="00B70621">
        <w:t xml:space="preserve">an </w:t>
      </w:r>
      <w:r w:rsidRPr="009E4FFC">
        <w:t xml:space="preserve">underdeveloped export oriented sector in Croatia, the </w:t>
      </w:r>
      <w:r w:rsidRPr="009E4FFC">
        <w:lastRenderedPageBreak/>
        <w:t xml:space="preserve">impact of depreciation on competitiveness is rather limited. Therefore, taking into consideration </w:t>
      </w:r>
      <w:r w:rsidR="00B70621">
        <w:t xml:space="preserve">the current economic situation, </w:t>
      </w:r>
      <w:r w:rsidRPr="009E4FFC">
        <w:t>exchange rate depreciation is not recommended for Croatian monetary authorities, what points to the fact that the present exchange rate policy is suitable.</w:t>
      </w:r>
    </w:p>
    <w:p w:rsidR="00C566B7" w:rsidRDefault="00C566B7" w:rsidP="00C566B7">
      <w:pPr>
        <w:autoSpaceDE w:val="0"/>
        <w:autoSpaceDN w:val="0"/>
        <w:adjustRightInd w:val="0"/>
        <w:ind w:firstLine="360"/>
        <w:jc w:val="both"/>
        <w:rPr>
          <w:b/>
          <w:sz w:val="28"/>
          <w:szCs w:val="28"/>
        </w:rPr>
      </w:pPr>
    </w:p>
    <w:p w:rsidR="00225A4E" w:rsidRPr="00C566B7" w:rsidRDefault="00225A4E" w:rsidP="00C566B7">
      <w:pPr>
        <w:pStyle w:val="ListParagraph"/>
        <w:numPr>
          <w:ilvl w:val="0"/>
          <w:numId w:val="35"/>
        </w:numPr>
        <w:autoSpaceDE w:val="0"/>
        <w:autoSpaceDN w:val="0"/>
        <w:adjustRightInd w:val="0"/>
        <w:jc w:val="both"/>
      </w:pPr>
      <w:r w:rsidRPr="00C566B7">
        <w:rPr>
          <w:b/>
          <w:sz w:val="28"/>
          <w:szCs w:val="28"/>
        </w:rPr>
        <w:t>Conclusion</w:t>
      </w:r>
    </w:p>
    <w:p w:rsidR="00225A4E" w:rsidRPr="009E4FFC" w:rsidRDefault="00225A4E" w:rsidP="00C956C2">
      <w:pPr>
        <w:autoSpaceDE w:val="0"/>
        <w:autoSpaceDN w:val="0"/>
        <w:adjustRightInd w:val="0"/>
        <w:rPr>
          <w:szCs w:val="22"/>
        </w:rPr>
      </w:pPr>
    </w:p>
    <w:p w:rsidR="00490BAC" w:rsidRDefault="00225A4E" w:rsidP="00490BAC">
      <w:pPr>
        <w:autoSpaceDE w:val="0"/>
        <w:autoSpaceDN w:val="0"/>
        <w:adjustRightInd w:val="0"/>
        <w:jc w:val="both"/>
        <w:rPr>
          <w:b/>
          <w:color w:val="000000"/>
          <w:sz w:val="28"/>
          <w:szCs w:val="28"/>
        </w:rPr>
      </w:pPr>
      <w:r w:rsidRPr="009E4FFC">
        <w:t xml:space="preserve">The conducted research has shown an analysis of real exchange rate misalignment in case of a small open economy. There has been an extensive debate about the adequacy of the exchange rate level in Croatia since the implementation of </w:t>
      </w:r>
      <w:r w:rsidR="00B70621">
        <w:t>the Stabilization P</w:t>
      </w:r>
      <w:r w:rsidRPr="009E4FFC">
        <w:t xml:space="preserve">rogram in October 1993 by the Croatian government. The question whether </w:t>
      </w:r>
      <w:r w:rsidR="00B70621">
        <w:t xml:space="preserve">the </w:t>
      </w:r>
      <w:r w:rsidRPr="009E4FFC">
        <w:t xml:space="preserve">Croatian </w:t>
      </w:r>
      <w:proofErr w:type="spellStart"/>
      <w:r w:rsidRPr="009E4FFC">
        <w:t>kuna</w:t>
      </w:r>
      <w:proofErr w:type="spellEnd"/>
      <w:r w:rsidRPr="009E4FFC">
        <w:t xml:space="preserve"> is overvalued is one of the dominant issues related to conducting monetary policy in Croatia. While monetary authorities maintain stability of the exchange rate in Croatia in order to preserve price stability, the overvalued local currency could </w:t>
      </w:r>
      <w:r w:rsidR="00B70621">
        <w:t xml:space="preserve">have an </w:t>
      </w:r>
      <w:r w:rsidRPr="009E4FFC">
        <w:t xml:space="preserve">unfavorable effect on the competitiveness of domestic products on the global market. Measuring overvaluation or undervaluation of </w:t>
      </w:r>
      <w:r w:rsidR="00B70621">
        <w:t xml:space="preserve">the </w:t>
      </w:r>
      <w:r w:rsidRPr="009E4FFC">
        <w:t>exchange rate is quite</w:t>
      </w:r>
      <w:r w:rsidR="00B70621">
        <w:t xml:space="preserve"> a</w:t>
      </w:r>
      <w:r w:rsidRPr="009E4FFC">
        <w:t xml:space="preserve"> controversial task for economic analysts from the methodological point of view. Accordingly, the purpose of this paper is to determine whether the real exchange rate in Croatia is misaligned. In order to assess exchange rate misalignment in Croatia, the permanent equilibrium exchange rate (PEER) approach is applied. The equilibrium real exchange rate is estimated by Johansen’s </w:t>
      </w:r>
      <w:proofErr w:type="spellStart"/>
      <w:r w:rsidRPr="009E4FFC">
        <w:t>coint</w:t>
      </w:r>
      <w:r w:rsidR="00B70621">
        <w:t>egration</w:t>
      </w:r>
      <w:proofErr w:type="spellEnd"/>
      <w:r w:rsidR="00B70621">
        <w:t xml:space="preserve"> approach, whereby</w:t>
      </w:r>
      <w:r w:rsidRPr="009E4FFC">
        <w:t xml:space="preserve"> the real exchange rate and three macroeconomic fundamentals, namely terms of trade net foreign assets and ratio of prices of </w:t>
      </w:r>
      <w:proofErr w:type="spellStart"/>
      <w:r w:rsidRPr="009E4FFC">
        <w:t>tradables</w:t>
      </w:r>
      <w:proofErr w:type="spellEnd"/>
      <w:r w:rsidRPr="009E4FFC">
        <w:t xml:space="preserve"> to non-</w:t>
      </w:r>
      <w:proofErr w:type="spellStart"/>
      <w:r w:rsidRPr="009E4FFC">
        <w:t>tradables</w:t>
      </w:r>
      <w:proofErr w:type="spellEnd"/>
      <w:r w:rsidR="00B70621">
        <w:t>,</w:t>
      </w:r>
      <w:r w:rsidRPr="009E4FFC">
        <w:t xml:space="preserve"> are included in the error correction model. Moreover, after the equilibrium real exchange rate is obtained from </w:t>
      </w:r>
      <w:r w:rsidR="00B70621">
        <w:t xml:space="preserve">the </w:t>
      </w:r>
      <w:r w:rsidRPr="009E4FFC">
        <w:t xml:space="preserve">error correction model, the permanent values of </w:t>
      </w:r>
      <w:r w:rsidR="00B70621">
        <w:t xml:space="preserve">the </w:t>
      </w:r>
      <w:r w:rsidRPr="009E4FFC">
        <w:t>real exchange rate are estimated by extracting the trend component from</w:t>
      </w:r>
      <w:r w:rsidR="00B70621">
        <w:t xml:space="preserve"> the</w:t>
      </w:r>
      <w:r w:rsidRPr="009E4FFC">
        <w:t xml:space="preserve"> equilibrium real exchange rate. </w:t>
      </w:r>
      <w:r w:rsidR="00B70621">
        <w:t>R</w:t>
      </w:r>
      <w:r w:rsidRPr="009E4FFC">
        <w:t>eal exchange rate misalignment is computed as a deviation of the observed real exchange rate from its pe</w:t>
      </w:r>
      <w:r w:rsidR="00B70621">
        <w:t>rmanent equilibrium level. O</w:t>
      </w:r>
      <w:r w:rsidRPr="009E4FFC">
        <w:t xml:space="preserve">vervaluation refers </w:t>
      </w:r>
      <w:r w:rsidR="00B70621">
        <w:t>to negative misalignment whereby</w:t>
      </w:r>
      <w:r w:rsidR="004706EF">
        <w:t xml:space="preserve"> the</w:t>
      </w:r>
      <w:r w:rsidRPr="009E4FFC">
        <w:t xml:space="preserve"> real exchange rate is lower than its permanent equilibrium value, positive misalignment</w:t>
      </w:r>
      <w:r w:rsidR="004706EF">
        <w:t xml:space="preserve"> refers to undervaluation. F</w:t>
      </w:r>
      <w:r w:rsidRPr="009E4FFC">
        <w:t>our overvaluation periods and three undervaluation periods are recorded in Croatia in the observed period.  In the observed period</w:t>
      </w:r>
      <w:r w:rsidR="004706EF">
        <w:t xml:space="preserve">, </w:t>
      </w:r>
      <w:r w:rsidRPr="009E4FFC">
        <w:t xml:space="preserve">overvaluations are more </w:t>
      </w:r>
      <w:r w:rsidR="004706EF">
        <w:t>frequent</w:t>
      </w:r>
      <w:r w:rsidRPr="009E4FFC">
        <w:t xml:space="preserve"> and longer lasting than </w:t>
      </w:r>
      <w:proofErr w:type="spellStart"/>
      <w:r w:rsidRPr="009E4FFC">
        <w:t>undervaluations</w:t>
      </w:r>
      <w:proofErr w:type="spellEnd"/>
      <w:r w:rsidRPr="009E4FFC">
        <w:t xml:space="preserve">, what might point to the need of depreciation of </w:t>
      </w:r>
      <w:r w:rsidR="004706EF">
        <w:t xml:space="preserve">the </w:t>
      </w:r>
      <w:r w:rsidRPr="009E4FFC">
        <w:t xml:space="preserve">exchange rate in Croatia. However, regarding the foreign exchange policy recommendations implied by the conducted analysis, depreciation is not </w:t>
      </w:r>
      <w:r w:rsidRPr="009E4FFC">
        <w:lastRenderedPageBreak/>
        <w:t>recommended due to the following reasons. Firstly, periods of overvaluation and undervaluation alternate and overvaluation is not constant. Secondly,</w:t>
      </w:r>
      <w:r w:rsidR="004706EF">
        <w:t xml:space="preserve"> the</w:t>
      </w:r>
      <w:r w:rsidRPr="009E4FFC">
        <w:t xml:space="preserve"> real exchange rate does not deviate largely from its estimated equilibrium value. The third reason is related to the structure of</w:t>
      </w:r>
      <w:r w:rsidR="004706EF">
        <w:t xml:space="preserve"> the</w:t>
      </w:r>
      <w:r w:rsidRPr="009E4FFC">
        <w:t xml:space="preserve"> Croatian economy. Due to </w:t>
      </w:r>
      <w:r w:rsidR="004706EF">
        <w:t xml:space="preserve">high </w:t>
      </w:r>
      <w:proofErr w:type="spellStart"/>
      <w:r w:rsidR="004706EF">
        <w:t>euroiz</w:t>
      </w:r>
      <w:r w:rsidRPr="009E4FFC">
        <w:t>ation</w:t>
      </w:r>
      <w:proofErr w:type="spellEnd"/>
      <w:r w:rsidRPr="009E4FFC">
        <w:t xml:space="preserve"> and indebtedness of all sectors of the economy in</w:t>
      </w:r>
      <w:r w:rsidR="004706EF">
        <w:t xml:space="preserve"> a</w:t>
      </w:r>
      <w:r w:rsidRPr="009E4FFC">
        <w:t xml:space="preserve"> foreign currency (mainly euro), real exchange rate depreciation could cause</w:t>
      </w:r>
      <w:r w:rsidR="004706EF">
        <w:t xml:space="preserve"> a</w:t>
      </w:r>
      <w:r w:rsidRPr="009E4FFC">
        <w:t xml:space="preserve"> negative effect on the economy through the increase in foreign currency debt. Moreover, due to the fact that imports continually exceed exports, as well as considering</w:t>
      </w:r>
      <w:r w:rsidR="004706EF">
        <w:t xml:space="preserve"> an</w:t>
      </w:r>
      <w:r w:rsidRPr="009E4FFC">
        <w:t xml:space="preserve"> underdeveloped export oriented sector in Croatia, the impact of depreciation on competitiveness is limited. Therefore, with respect </w:t>
      </w:r>
      <w:r w:rsidR="004706EF">
        <w:t xml:space="preserve">to </w:t>
      </w:r>
      <w:r w:rsidRPr="009E4FFC">
        <w:t xml:space="preserve">the </w:t>
      </w:r>
      <w:r w:rsidRPr="009E4FFC">
        <w:rPr>
          <w:color w:val="000000"/>
          <w:lang w:eastAsia="hr-HR"/>
        </w:rPr>
        <w:t xml:space="preserve">results of the analysis, together with the empirical characteristics of </w:t>
      </w:r>
      <w:r w:rsidR="004706EF">
        <w:rPr>
          <w:color w:val="000000"/>
          <w:lang w:eastAsia="hr-HR"/>
        </w:rPr>
        <w:t xml:space="preserve">the </w:t>
      </w:r>
      <w:r w:rsidRPr="009E4FFC">
        <w:rPr>
          <w:color w:val="000000"/>
          <w:lang w:eastAsia="hr-HR"/>
        </w:rPr>
        <w:t>Croatian economy</w:t>
      </w:r>
      <w:r w:rsidRPr="009E4FFC">
        <w:t>, it could be concluded that exchange rate de</w:t>
      </w:r>
      <w:r w:rsidR="004706EF">
        <w:t>preciation is not recommended by the</w:t>
      </w:r>
      <w:r w:rsidRPr="009E4FFC">
        <w:t xml:space="preserve"> Croatian monetary authorities. Concerning the structure of</w:t>
      </w:r>
      <w:r w:rsidR="004706EF">
        <w:t xml:space="preserve"> the</w:t>
      </w:r>
      <w:r w:rsidRPr="009E4FFC">
        <w:t xml:space="preserve"> Croatian economy, the current exchang</w:t>
      </w:r>
      <w:r w:rsidR="004706EF">
        <w:t>e rate policy is suitable. C</w:t>
      </w:r>
      <w:r w:rsidRPr="009E4FFC">
        <w:t xml:space="preserve">alculation of </w:t>
      </w:r>
      <w:r w:rsidR="004706EF">
        <w:t xml:space="preserve">the </w:t>
      </w:r>
      <w:r w:rsidRPr="009E4FFC">
        <w:t>equilibrium real exchange rate is very important for monetary authorities of small open economies as its determination is essential in e</w:t>
      </w:r>
      <w:r w:rsidR="004706EF">
        <w:t>stimation of misalignment. S</w:t>
      </w:r>
      <w:r w:rsidRPr="009E4FFC">
        <w:t>ignificant and persistent real exchange misalignment could have important implication</w:t>
      </w:r>
      <w:r w:rsidR="004706EF">
        <w:t>s in small open economies. F</w:t>
      </w:r>
      <w:r w:rsidRPr="009E4FFC">
        <w:t>uture research in this topic will therefore be aimed at expanding the conducted analysis of real exchange rate misalignment to small open economies similar to Croatia regarding the political and economic background.</w:t>
      </w:r>
    </w:p>
    <w:p w:rsidR="00490BAC" w:rsidRPr="00490BAC" w:rsidRDefault="00490BAC" w:rsidP="00490BAC">
      <w:pPr>
        <w:autoSpaceDE w:val="0"/>
        <w:autoSpaceDN w:val="0"/>
        <w:adjustRightInd w:val="0"/>
        <w:jc w:val="both"/>
        <w:rPr>
          <w:b/>
          <w:color w:val="000000"/>
          <w:szCs w:val="28"/>
        </w:rPr>
      </w:pPr>
    </w:p>
    <w:p w:rsidR="00225A4E" w:rsidRPr="00490BAC" w:rsidRDefault="00964BC6" w:rsidP="00490BAC">
      <w:pPr>
        <w:autoSpaceDE w:val="0"/>
        <w:autoSpaceDN w:val="0"/>
        <w:adjustRightInd w:val="0"/>
        <w:jc w:val="both"/>
      </w:pPr>
      <w:r w:rsidRPr="009E4FFC">
        <w:rPr>
          <w:b/>
          <w:color w:val="000000"/>
          <w:sz w:val="28"/>
          <w:szCs w:val="28"/>
        </w:rPr>
        <w:t>Acknowledgment</w:t>
      </w:r>
    </w:p>
    <w:p w:rsidR="00225A4E" w:rsidRPr="00490BAC" w:rsidRDefault="00225A4E" w:rsidP="00490BAC"/>
    <w:p w:rsidR="00225A4E" w:rsidRPr="009E4FFC" w:rsidRDefault="00225A4E" w:rsidP="00225A4E">
      <w:pPr>
        <w:jc w:val="both"/>
        <w:rPr>
          <w:color w:val="000000"/>
        </w:rPr>
      </w:pPr>
      <w:r w:rsidRPr="009E4FFC">
        <w:rPr>
          <w:color w:val="000000"/>
        </w:rPr>
        <w:t xml:space="preserve">This </w:t>
      </w:r>
      <w:r w:rsidR="004706EF">
        <w:rPr>
          <w:color w:val="000000"/>
        </w:rPr>
        <w:t>paper</w:t>
      </w:r>
      <w:r w:rsidRPr="009E4FFC">
        <w:rPr>
          <w:color w:val="000000"/>
        </w:rPr>
        <w:t xml:space="preserve"> has been fully supported by</w:t>
      </w:r>
      <w:r w:rsidR="004706EF">
        <w:rPr>
          <w:color w:val="000000"/>
        </w:rPr>
        <w:t xml:space="preserve"> the</w:t>
      </w:r>
      <w:r w:rsidRPr="009E4FFC">
        <w:rPr>
          <w:color w:val="000000"/>
        </w:rPr>
        <w:t xml:space="preserve"> Croatian Science Foundati</w:t>
      </w:r>
      <w:r w:rsidR="004706EF">
        <w:rPr>
          <w:color w:val="000000"/>
        </w:rPr>
        <w:t>on under the project STRENGTHS N</w:t>
      </w:r>
      <w:r w:rsidRPr="009E4FFC">
        <w:rPr>
          <w:color w:val="000000"/>
        </w:rPr>
        <w:t>o</w:t>
      </w:r>
      <w:r w:rsidR="004706EF">
        <w:rPr>
          <w:color w:val="000000"/>
        </w:rPr>
        <w:t>.</w:t>
      </w:r>
      <w:r w:rsidRPr="009E4FFC">
        <w:rPr>
          <w:color w:val="000000"/>
        </w:rPr>
        <w:t xml:space="preserve"> 9402.</w:t>
      </w:r>
    </w:p>
    <w:p w:rsidR="00654A65" w:rsidRPr="00490BAC" w:rsidRDefault="00654A65" w:rsidP="00490BAC"/>
    <w:p w:rsidR="00225A4E" w:rsidRPr="009E4FFC" w:rsidRDefault="00964BC6" w:rsidP="00225A4E">
      <w:pPr>
        <w:jc w:val="both"/>
        <w:rPr>
          <w:b/>
          <w:sz w:val="28"/>
          <w:szCs w:val="28"/>
        </w:rPr>
      </w:pPr>
      <w:r w:rsidRPr="009E4FFC">
        <w:rPr>
          <w:b/>
          <w:sz w:val="28"/>
          <w:szCs w:val="28"/>
        </w:rPr>
        <w:t>References</w:t>
      </w:r>
    </w:p>
    <w:p w:rsidR="00225A4E" w:rsidRPr="009E4FFC" w:rsidRDefault="00225A4E" w:rsidP="00225A4E">
      <w:pPr>
        <w:jc w:val="both"/>
        <w:rPr>
          <w:b/>
        </w:rPr>
      </w:pPr>
    </w:p>
    <w:p w:rsidR="00225A4E" w:rsidRPr="009E4FFC" w:rsidRDefault="004706EF" w:rsidP="00BE0AB0">
      <w:pPr>
        <w:pStyle w:val="ListParagraph"/>
        <w:numPr>
          <w:ilvl w:val="0"/>
          <w:numId w:val="24"/>
        </w:numPr>
        <w:jc w:val="both"/>
      </w:pPr>
      <w:proofErr w:type="spellStart"/>
      <w:r>
        <w:t>Abida</w:t>
      </w:r>
      <w:proofErr w:type="spellEnd"/>
      <w:r>
        <w:t>,</w:t>
      </w:r>
      <w:r w:rsidR="00225A4E" w:rsidRPr="009E4FFC">
        <w:t xml:space="preserve"> Z. (2011). Real Exchange Rate Misalignment and Economic Growth: An Empirical Study for the Maghreb Countries. International Journal of Economics and Finance, 3 (3), 190–201.</w:t>
      </w:r>
    </w:p>
    <w:p w:rsidR="00225A4E" w:rsidRPr="009E4FFC" w:rsidRDefault="00225A4E" w:rsidP="00BE0AB0">
      <w:pPr>
        <w:pStyle w:val="ListParagraph"/>
        <w:numPr>
          <w:ilvl w:val="0"/>
          <w:numId w:val="24"/>
        </w:numPr>
        <w:jc w:val="both"/>
      </w:pPr>
      <w:r w:rsidRPr="009E4FFC">
        <w:t>Aguirre</w:t>
      </w:r>
      <w:r w:rsidR="004706EF">
        <w:t>,</w:t>
      </w:r>
      <w:r w:rsidRPr="009E4FFC">
        <w:t xml:space="preserve"> A. and </w:t>
      </w:r>
      <w:proofErr w:type="spellStart"/>
      <w:r w:rsidRPr="009E4FFC">
        <w:t>Calderón</w:t>
      </w:r>
      <w:proofErr w:type="spellEnd"/>
      <w:r w:rsidR="004706EF">
        <w:t>,</w:t>
      </w:r>
      <w:r w:rsidRPr="009E4FFC">
        <w:t xml:space="preserve"> C. (2005). Real Exchange Rate Misalignments and Economic Performance. Central Bank of Chile Working Paper, No. 315.</w:t>
      </w:r>
    </w:p>
    <w:p w:rsidR="00225A4E" w:rsidRPr="009E4FFC" w:rsidRDefault="004706EF" w:rsidP="00BE0AB0">
      <w:pPr>
        <w:pStyle w:val="ListParagraph"/>
        <w:numPr>
          <w:ilvl w:val="0"/>
          <w:numId w:val="24"/>
        </w:numPr>
        <w:jc w:val="both"/>
      </w:pPr>
      <w:proofErr w:type="spellStart"/>
      <w:r>
        <w:t>Aliyu</w:t>
      </w:r>
      <w:proofErr w:type="spellEnd"/>
      <w:r>
        <w:t>,</w:t>
      </w:r>
      <w:r w:rsidR="00225A4E" w:rsidRPr="009E4FFC">
        <w:t xml:space="preserve"> S. (2011). Real Exchange Rate Misalignment: An Application of </w:t>
      </w:r>
      <w:proofErr w:type="spellStart"/>
      <w:r w:rsidR="00225A4E" w:rsidRPr="009E4FFC">
        <w:t>Behavioural</w:t>
      </w:r>
      <w:proofErr w:type="spellEnd"/>
      <w:r w:rsidR="00225A4E" w:rsidRPr="009E4FFC">
        <w:t xml:space="preserve"> Equilibrium Exchange Rate (BEER) to Nigeria. Central Bank of Nigeria Occasional Paper, No. 41.</w:t>
      </w:r>
    </w:p>
    <w:p w:rsidR="00225A4E" w:rsidRPr="009E4FFC" w:rsidRDefault="004706EF" w:rsidP="00BE0AB0">
      <w:pPr>
        <w:pStyle w:val="ListParagraph"/>
        <w:numPr>
          <w:ilvl w:val="0"/>
          <w:numId w:val="24"/>
        </w:numPr>
        <w:jc w:val="both"/>
      </w:pPr>
      <w:proofErr w:type="spellStart"/>
      <w:r>
        <w:lastRenderedPageBreak/>
        <w:t>Belullo</w:t>
      </w:r>
      <w:proofErr w:type="spellEnd"/>
      <w:r>
        <w:t>, A. and Broz,</w:t>
      </w:r>
      <w:r w:rsidR="00225A4E" w:rsidRPr="009E4FFC">
        <w:t xml:space="preserve"> T. (2007). Do Fundamentals Explain the </w:t>
      </w:r>
      <w:proofErr w:type="spellStart"/>
      <w:r w:rsidR="00225A4E" w:rsidRPr="009E4FFC">
        <w:t>Behaviour</w:t>
      </w:r>
      <w:proofErr w:type="spellEnd"/>
      <w:r w:rsidR="00225A4E" w:rsidRPr="009E4FFC">
        <w:t xml:space="preserve"> of The Real Effective Exchange Rate in Croatia</w:t>
      </w:r>
      <w:proofErr w:type="gramStart"/>
      <w:r w:rsidR="00225A4E" w:rsidRPr="009E4FFC">
        <w:t>?,</w:t>
      </w:r>
      <w:proofErr w:type="gramEnd"/>
      <w:r w:rsidR="00225A4E" w:rsidRPr="009E4FFC">
        <w:t xml:space="preserve"> Proceedings of the 28th International Conference on </w:t>
      </w:r>
      <w:proofErr w:type="spellStart"/>
      <w:r w:rsidR="00225A4E" w:rsidRPr="009E4FFC">
        <w:t>Organisational</w:t>
      </w:r>
      <w:proofErr w:type="spellEnd"/>
      <w:r w:rsidR="00225A4E" w:rsidRPr="009E4FFC">
        <w:t xml:space="preserve"> Science Development. </w:t>
      </w:r>
      <w:proofErr w:type="spellStart"/>
      <w:r w:rsidR="00225A4E" w:rsidRPr="009E4FFC">
        <w:t>Fakultet</w:t>
      </w:r>
      <w:proofErr w:type="spellEnd"/>
      <w:r w:rsidR="00225A4E" w:rsidRPr="009E4FFC">
        <w:t xml:space="preserve"> </w:t>
      </w:r>
      <w:proofErr w:type="spellStart"/>
      <w:r w:rsidR="00225A4E" w:rsidRPr="009E4FFC">
        <w:t>za</w:t>
      </w:r>
      <w:proofErr w:type="spellEnd"/>
      <w:r w:rsidR="00225A4E" w:rsidRPr="009E4FFC">
        <w:t xml:space="preserve"> </w:t>
      </w:r>
      <w:proofErr w:type="spellStart"/>
      <w:r w:rsidR="00225A4E" w:rsidRPr="009E4FFC">
        <w:t>organizacijske</w:t>
      </w:r>
      <w:proofErr w:type="spellEnd"/>
      <w:r w:rsidR="00225A4E" w:rsidRPr="009E4FFC">
        <w:t xml:space="preserve"> </w:t>
      </w:r>
      <w:proofErr w:type="spellStart"/>
      <w:r w:rsidR="00225A4E" w:rsidRPr="009E4FFC">
        <w:t>vede</w:t>
      </w:r>
      <w:proofErr w:type="spellEnd"/>
      <w:r w:rsidR="00225A4E" w:rsidRPr="009E4FFC">
        <w:t>, Maribor, 109–130.</w:t>
      </w:r>
    </w:p>
    <w:p w:rsidR="00225A4E" w:rsidRPr="009E4FFC" w:rsidRDefault="00225A4E" w:rsidP="00BE0AB0">
      <w:pPr>
        <w:pStyle w:val="ListParagraph"/>
        <w:numPr>
          <w:ilvl w:val="0"/>
          <w:numId w:val="24"/>
        </w:numPr>
        <w:jc w:val="both"/>
      </w:pPr>
      <w:proofErr w:type="spellStart"/>
      <w:r w:rsidRPr="009E4FFC">
        <w:t>Benassy-Quere</w:t>
      </w:r>
      <w:proofErr w:type="spellEnd"/>
      <w:r w:rsidRPr="009E4FFC">
        <w:t>, A., Duran-</w:t>
      </w:r>
      <w:proofErr w:type="spellStart"/>
      <w:r w:rsidRPr="009E4FFC">
        <w:t>Vigneron</w:t>
      </w:r>
      <w:proofErr w:type="spellEnd"/>
      <w:r w:rsidRPr="009E4FFC">
        <w:t xml:space="preserve">, P., </w:t>
      </w:r>
      <w:proofErr w:type="spellStart"/>
      <w:r w:rsidRPr="009E4FFC">
        <w:t>Lahrèche-Révil</w:t>
      </w:r>
      <w:proofErr w:type="spellEnd"/>
      <w:r w:rsidRPr="009E4FFC">
        <w:t>, A. and Mignon, V. (2004). Burden Sharing and Exchange-Rate Misalignments within the Group of Twenty. In Bergsten, C.F. and Williamson, J. (</w:t>
      </w:r>
      <w:proofErr w:type="spellStart"/>
      <w:r w:rsidRPr="009E4FFC">
        <w:t>Eds</w:t>
      </w:r>
      <w:proofErr w:type="spellEnd"/>
      <w:r w:rsidRPr="009E4FFC">
        <w:t>). Dollar Adjustment: How Far? Against What</w:t>
      </w:r>
      <w:proofErr w:type="gramStart"/>
      <w:r w:rsidRPr="009E4FFC">
        <w:t>?.</w:t>
      </w:r>
      <w:proofErr w:type="gramEnd"/>
      <w:r w:rsidRPr="009E4FFC">
        <w:t xml:space="preserve"> Washington D.C.: Institute for International Economics.</w:t>
      </w:r>
    </w:p>
    <w:p w:rsidR="00225A4E" w:rsidRPr="009E4FFC" w:rsidRDefault="00225A4E" w:rsidP="00BE0AB0">
      <w:pPr>
        <w:pStyle w:val="ListParagraph"/>
        <w:numPr>
          <w:ilvl w:val="0"/>
          <w:numId w:val="24"/>
        </w:numPr>
        <w:jc w:val="both"/>
      </w:pPr>
      <w:r w:rsidRPr="009E4FFC">
        <w:t xml:space="preserve">Broz, T. and </w:t>
      </w:r>
      <w:proofErr w:type="spellStart"/>
      <w:r w:rsidRPr="009E4FFC">
        <w:t>Ridzak</w:t>
      </w:r>
      <w:proofErr w:type="spellEnd"/>
      <w:r w:rsidRPr="009E4FFC">
        <w:t xml:space="preserve">, T. (2007). Exchange rate misalignment - a case of Croatia. Global Challenges for Competitiveness: Business and Government Perspective, </w:t>
      </w:r>
      <w:proofErr w:type="spellStart"/>
      <w:r w:rsidRPr="009E4FFC">
        <w:t>Sveučilište</w:t>
      </w:r>
      <w:proofErr w:type="spellEnd"/>
      <w:r w:rsidRPr="009E4FFC">
        <w:t xml:space="preserve"> </w:t>
      </w:r>
      <w:proofErr w:type="spellStart"/>
      <w:r w:rsidRPr="009E4FFC">
        <w:t>Jurja</w:t>
      </w:r>
      <w:proofErr w:type="spellEnd"/>
      <w:r w:rsidRPr="009E4FFC">
        <w:t xml:space="preserve"> </w:t>
      </w:r>
      <w:proofErr w:type="spellStart"/>
      <w:r w:rsidRPr="009E4FFC">
        <w:t>Dobrile</w:t>
      </w:r>
      <w:proofErr w:type="spellEnd"/>
      <w:r w:rsidRPr="009E4FFC">
        <w:t xml:space="preserve"> u Puli,</w:t>
      </w:r>
      <w:r w:rsidR="004706EF">
        <w:t xml:space="preserve"> </w:t>
      </w:r>
      <w:proofErr w:type="spellStart"/>
      <w:r w:rsidR="004706EF">
        <w:t>Odjel</w:t>
      </w:r>
      <w:proofErr w:type="spellEnd"/>
      <w:r w:rsidR="004706EF">
        <w:t xml:space="preserve"> </w:t>
      </w:r>
      <w:proofErr w:type="spellStart"/>
      <w:r w:rsidR="004706EF">
        <w:t>za</w:t>
      </w:r>
      <w:proofErr w:type="spellEnd"/>
      <w:r w:rsidR="004706EF">
        <w:t xml:space="preserve"> </w:t>
      </w:r>
      <w:proofErr w:type="spellStart"/>
      <w:r w:rsidR="004706EF">
        <w:t>ekonomiju</w:t>
      </w:r>
      <w:proofErr w:type="spellEnd"/>
      <w:r w:rsidR="004706EF">
        <w:t xml:space="preserve"> </w:t>
      </w:r>
      <w:proofErr w:type="spellStart"/>
      <w:r w:rsidR="004706EF">
        <w:t>i</w:t>
      </w:r>
      <w:proofErr w:type="spellEnd"/>
      <w:r w:rsidR="004706EF">
        <w:t xml:space="preserve"> </w:t>
      </w:r>
      <w:proofErr w:type="spellStart"/>
      <w:r w:rsidR="004706EF">
        <w:t>turizam</w:t>
      </w:r>
      <w:proofErr w:type="spellEnd"/>
      <w:r w:rsidR="004706EF">
        <w:t xml:space="preserve"> "D</w:t>
      </w:r>
      <w:r w:rsidRPr="009E4FFC">
        <w:t xml:space="preserve">r. </w:t>
      </w:r>
      <w:proofErr w:type="spellStart"/>
      <w:r w:rsidRPr="009E4FFC">
        <w:t>Mijo</w:t>
      </w:r>
      <w:proofErr w:type="spellEnd"/>
      <w:r w:rsidRPr="009E4FFC">
        <w:t xml:space="preserve"> </w:t>
      </w:r>
      <w:proofErr w:type="spellStart"/>
      <w:r w:rsidRPr="009E4FFC">
        <w:t>Mirković</w:t>
      </w:r>
      <w:proofErr w:type="spellEnd"/>
      <w:r w:rsidRPr="009E4FFC">
        <w:t>”, 312–321.</w:t>
      </w:r>
    </w:p>
    <w:p w:rsidR="00225A4E" w:rsidRPr="009E4FFC" w:rsidRDefault="00225A4E" w:rsidP="00BE0AB0">
      <w:pPr>
        <w:pStyle w:val="ListParagraph"/>
        <w:numPr>
          <w:ilvl w:val="0"/>
          <w:numId w:val="24"/>
        </w:numPr>
        <w:jc w:val="both"/>
      </w:pPr>
      <w:r w:rsidRPr="009E4FFC">
        <w:t>Clark, P.B. and MacDonald, R. (1998). Exchange Rates and Economic Fundamentals - A Methodological Comparison of BEERs and FEERs. International Monetary Fund. Working Paper 98/67.</w:t>
      </w:r>
    </w:p>
    <w:p w:rsidR="00225A4E" w:rsidRPr="009E4FFC" w:rsidRDefault="00225A4E" w:rsidP="00BE0AB0">
      <w:pPr>
        <w:pStyle w:val="ListParagraph"/>
        <w:numPr>
          <w:ilvl w:val="0"/>
          <w:numId w:val="24"/>
        </w:numPr>
        <w:jc w:val="both"/>
      </w:pPr>
      <w:r w:rsidRPr="009E4FFC">
        <w:t xml:space="preserve">Croatian National Bank, Statistical Survey, </w:t>
      </w:r>
      <w:r w:rsidRPr="0072625E">
        <w:rPr>
          <w:rFonts w:ascii="Consolas" w:hAnsi="Consolas" w:cs="Consolas"/>
        </w:rPr>
        <w:t>www.hnb.hr</w:t>
      </w:r>
      <w:r w:rsidR="00BB13ED">
        <w:t xml:space="preserve"> [</w:t>
      </w:r>
      <w:proofErr w:type="spellStart"/>
      <w:r w:rsidR="00BB13ED">
        <w:t>Accesssed</w:t>
      </w:r>
      <w:proofErr w:type="spellEnd"/>
      <w:r w:rsidR="00A829EF">
        <w:t xml:space="preserve"> on</w:t>
      </w:r>
      <w:r w:rsidR="00BB13ED">
        <w:t xml:space="preserve"> 15 June 20</w:t>
      </w:r>
      <w:r w:rsidRPr="009E4FFC">
        <w:t>14]</w:t>
      </w:r>
    </w:p>
    <w:p w:rsidR="00225A4E" w:rsidRPr="009E4FFC" w:rsidRDefault="00225A4E" w:rsidP="00BE0AB0">
      <w:pPr>
        <w:pStyle w:val="ListParagraph"/>
        <w:numPr>
          <w:ilvl w:val="0"/>
          <w:numId w:val="24"/>
        </w:numPr>
        <w:jc w:val="both"/>
      </w:pPr>
      <w:proofErr w:type="spellStart"/>
      <w:r w:rsidRPr="009E4FFC">
        <w:t>Daboh</w:t>
      </w:r>
      <w:proofErr w:type="spellEnd"/>
      <w:r w:rsidRPr="009E4FFC">
        <w:t xml:space="preserve">, L. (2007). Real Exchange Rate Misalignment </w:t>
      </w:r>
      <w:proofErr w:type="gramStart"/>
      <w:r w:rsidRPr="009E4FFC">
        <w:t>In</w:t>
      </w:r>
      <w:proofErr w:type="gramEnd"/>
      <w:r w:rsidRPr="009E4FFC">
        <w:t xml:space="preserve"> The West African Monetary Zone. Journal of Monetary and Economic Integration, 10 (2).</w:t>
      </w:r>
    </w:p>
    <w:p w:rsidR="00225A4E" w:rsidRPr="009E4FFC" w:rsidRDefault="00225A4E" w:rsidP="00BE0AB0">
      <w:pPr>
        <w:pStyle w:val="ListParagraph"/>
        <w:numPr>
          <w:ilvl w:val="0"/>
          <w:numId w:val="24"/>
        </w:numPr>
        <w:jc w:val="both"/>
      </w:pPr>
      <w:proofErr w:type="spellStart"/>
      <w:r w:rsidRPr="009E4FFC">
        <w:t>Dufrenot</w:t>
      </w:r>
      <w:proofErr w:type="spellEnd"/>
      <w:r w:rsidRPr="009E4FFC">
        <w:t xml:space="preserve">, G. and </w:t>
      </w:r>
      <w:proofErr w:type="spellStart"/>
      <w:r w:rsidRPr="009E4FFC">
        <w:t>Yehoue</w:t>
      </w:r>
      <w:proofErr w:type="spellEnd"/>
      <w:r w:rsidR="004706EF">
        <w:t xml:space="preserve">, </w:t>
      </w:r>
      <w:r w:rsidR="004706EF" w:rsidRPr="009E4FFC">
        <w:t>E.</w:t>
      </w:r>
      <w:r w:rsidRPr="009E4FFC">
        <w:t xml:space="preserve"> (2005). Real Exchange Rate Misalignment: A Panel </w:t>
      </w:r>
      <w:proofErr w:type="spellStart"/>
      <w:r w:rsidRPr="009E4FFC">
        <w:t>Cointegration</w:t>
      </w:r>
      <w:proofErr w:type="spellEnd"/>
      <w:r w:rsidRPr="009E4FFC">
        <w:t xml:space="preserve"> and Common Factor Analysis. International Monetary Fund. Working Paper 05/164.</w:t>
      </w:r>
    </w:p>
    <w:p w:rsidR="00225A4E" w:rsidRPr="009E4FFC" w:rsidRDefault="00225A4E" w:rsidP="00BE0AB0">
      <w:pPr>
        <w:pStyle w:val="ListParagraph"/>
        <w:numPr>
          <w:ilvl w:val="0"/>
          <w:numId w:val="24"/>
        </w:numPr>
        <w:jc w:val="both"/>
      </w:pPr>
      <w:proofErr w:type="spellStart"/>
      <w:r w:rsidRPr="009E4FFC">
        <w:t>Dumičić</w:t>
      </w:r>
      <w:proofErr w:type="spellEnd"/>
      <w:r w:rsidRPr="009E4FFC">
        <w:t xml:space="preserve">, K., </w:t>
      </w:r>
      <w:proofErr w:type="spellStart"/>
      <w:r w:rsidRPr="009E4FFC">
        <w:t>Palić</w:t>
      </w:r>
      <w:proofErr w:type="spellEnd"/>
      <w:r w:rsidRPr="009E4FFC">
        <w:t xml:space="preserve">, I. and </w:t>
      </w:r>
      <w:proofErr w:type="spellStart"/>
      <w:r w:rsidRPr="009E4FFC">
        <w:t>Šprajaček</w:t>
      </w:r>
      <w:proofErr w:type="spellEnd"/>
      <w:r w:rsidRPr="009E4FFC">
        <w:t xml:space="preserve">, P. (2011). </w:t>
      </w:r>
      <w:proofErr w:type="spellStart"/>
      <w:r w:rsidRPr="009E4FFC">
        <w:t>Procjena</w:t>
      </w:r>
      <w:proofErr w:type="spellEnd"/>
      <w:r w:rsidRPr="009E4FFC">
        <w:t xml:space="preserve"> </w:t>
      </w:r>
      <w:proofErr w:type="spellStart"/>
      <w:r w:rsidRPr="009E4FFC">
        <w:t>učinaka</w:t>
      </w:r>
      <w:proofErr w:type="spellEnd"/>
      <w:r w:rsidRPr="009E4FFC">
        <w:t xml:space="preserve"> </w:t>
      </w:r>
      <w:proofErr w:type="spellStart"/>
      <w:r w:rsidRPr="009E4FFC">
        <w:t>konkurentnosti</w:t>
      </w:r>
      <w:proofErr w:type="spellEnd"/>
      <w:r w:rsidRPr="009E4FFC">
        <w:t xml:space="preserve"> </w:t>
      </w:r>
      <w:proofErr w:type="spellStart"/>
      <w:r w:rsidRPr="009E4FFC">
        <w:t>i</w:t>
      </w:r>
      <w:proofErr w:type="spellEnd"/>
      <w:r w:rsidRPr="009E4FFC">
        <w:t xml:space="preserve"> </w:t>
      </w:r>
      <w:proofErr w:type="spellStart"/>
      <w:r w:rsidRPr="009E4FFC">
        <w:t>bogatstva</w:t>
      </w:r>
      <w:proofErr w:type="spellEnd"/>
      <w:r w:rsidRPr="009E4FFC">
        <w:t xml:space="preserve"> </w:t>
      </w:r>
      <w:proofErr w:type="spellStart"/>
      <w:r w:rsidRPr="009E4FFC">
        <w:t>kao</w:t>
      </w:r>
      <w:proofErr w:type="spellEnd"/>
      <w:r w:rsidRPr="009E4FFC">
        <w:t xml:space="preserve"> </w:t>
      </w:r>
      <w:proofErr w:type="spellStart"/>
      <w:r w:rsidRPr="009E4FFC">
        <w:t>posljedica</w:t>
      </w:r>
      <w:proofErr w:type="spellEnd"/>
      <w:r w:rsidRPr="009E4FFC">
        <w:t xml:space="preserve"> </w:t>
      </w:r>
      <w:proofErr w:type="spellStart"/>
      <w:r w:rsidRPr="009E4FFC">
        <w:t>promjene</w:t>
      </w:r>
      <w:proofErr w:type="spellEnd"/>
      <w:r w:rsidRPr="009E4FFC">
        <w:t xml:space="preserve"> </w:t>
      </w:r>
      <w:proofErr w:type="spellStart"/>
      <w:r w:rsidRPr="009E4FFC">
        <w:t>realnog</w:t>
      </w:r>
      <w:proofErr w:type="spellEnd"/>
      <w:r w:rsidRPr="009E4FFC">
        <w:t xml:space="preserve"> </w:t>
      </w:r>
      <w:proofErr w:type="spellStart"/>
      <w:r w:rsidRPr="009E4FFC">
        <w:t>deviznog</w:t>
      </w:r>
      <w:proofErr w:type="spellEnd"/>
      <w:r w:rsidRPr="009E4FFC">
        <w:t xml:space="preserve"> </w:t>
      </w:r>
      <w:proofErr w:type="spellStart"/>
      <w:r w:rsidRPr="009E4FFC">
        <w:t>tečaja</w:t>
      </w:r>
      <w:proofErr w:type="spellEnd"/>
      <w:r w:rsidRPr="009E4FFC">
        <w:t xml:space="preserve"> </w:t>
      </w:r>
      <w:proofErr w:type="spellStart"/>
      <w:proofErr w:type="gramStart"/>
      <w:r w:rsidRPr="009E4FFC">
        <w:t>na</w:t>
      </w:r>
      <w:proofErr w:type="spellEnd"/>
      <w:proofErr w:type="gramEnd"/>
      <w:r w:rsidRPr="009E4FFC">
        <w:t xml:space="preserve"> </w:t>
      </w:r>
      <w:proofErr w:type="spellStart"/>
      <w:r w:rsidRPr="009E4FFC">
        <w:t>hrvatsko</w:t>
      </w:r>
      <w:proofErr w:type="spellEnd"/>
      <w:r w:rsidRPr="009E4FFC">
        <w:t xml:space="preserve"> </w:t>
      </w:r>
      <w:proofErr w:type="spellStart"/>
      <w:r w:rsidRPr="009E4FFC">
        <w:t>gospodarstvo</w:t>
      </w:r>
      <w:proofErr w:type="spellEnd"/>
      <w:r w:rsidRPr="009E4FFC">
        <w:t xml:space="preserve">. </w:t>
      </w:r>
      <w:proofErr w:type="spellStart"/>
      <w:r w:rsidRPr="009E4FFC">
        <w:t>Zbornik</w:t>
      </w:r>
      <w:proofErr w:type="spellEnd"/>
      <w:r w:rsidRPr="009E4FFC">
        <w:t xml:space="preserve"> </w:t>
      </w:r>
      <w:proofErr w:type="spellStart"/>
      <w:r w:rsidRPr="009E4FFC">
        <w:t>Ekonomskog</w:t>
      </w:r>
      <w:proofErr w:type="spellEnd"/>
      <w:r w:rsidRPr="009E4FFC">
        <w:t xml:space="preserve"> </w:t>
      </w:r>
      <w:proofErr w:type="spellStart"/>
      <w:r w:rsidRPr="009E4FFC">
        <w:t>fakulteta</w:t>
      </w:r>
      <w:proofErr w:type="spellEnd"/>
      <w:r w:rsidRPr="009E4FFC">
        <w:t xml:space="preserve"> u </w:t>
      </w:r>
      <w:proofErr w:type="spellStart"/>
      <w:r w:rsidRPr="009E4FFC">
        <w:t>Zagrebu</w:t>
      </w:r>
      <w:proofErr w:type="spellEnd"/>
      <w:r w:rsidRPr="009E4FFC">
        <w:t xml:space="preserve"> 2/2011, 35–52.</w:t>
      </w:r>
    </w:p>
    <w:p w:rsidR="00225A4E" w:rsidRPr="009E4FFC" w:rsidRDefault="004706EF" w:rsidP="00BE0AB0">
      <w:pPr>
        <w:pStyle w:val="ListParagraph"/>
        <w:numPr>
          <w:ilvl w:val="0"/>
          <w:numId w:val="24"/>
        </w:numPr>
        <w:jc w:val="both"/>
      </w:pPr>
      <w:proofErr w:type="spellStart"/>
      <w:r>
        <w:t>Dumičić</w:t>
      </w:r>
      <w:proofErr w:type="spellEnd"/>
      <w:r>
        <w:t xml:space="preserve">, K. and </w:t>
      </w:r>
      <w:proofErr w:type="spellStart"/>
      <w:r>
        <w:t>Čibarić</w:t>
      </w:r>
      <w:proofErr w:type="spellEnd"/>
      <w:r>
        <w:t>,</w:t>
      </w:r>
      <w:r w:rsidR="00225A4E" w:rsidRPr="009E4FFC">
        <w:t xml:space="preserve"> I. (2010). The Analysis of Household Savings in Republic of Croatia Using </w:t>
      </w:r>
      <w:proofErr w:type="spellStart"/>
      <w:r w:rsidR="00225A4E" w:rsidRPr="009E4FFC">
        <w:t>Cointegration</w:t>
      </w:r>
      <w:proofErr w:type="spellEnd"/>
      <w:r w:rsidR="00225A4E" w:rsidRPr="009E4FFC">
        <w:t xml:space="preserve"> Approach. The Business Review, Cambridge, 15(1), 220–226.</w:t>
      </w:r>
    </w:p>
    <w:p w:rsidR="00225A4E" w:rsidRPr="009E4FFC" w:rsidRDefault="00225A4E" w:rsidP="00BE0AB0">
      <w:pPr>
        <w:pStyle w:val="ListParagraph"/>
        <w:numPr>
          <w:ilvl w:val="0"/>
          <w:numId w:val="24"/>
        </w:numPr>
        <w:jc w:val="both"/>
      </w:pPr>
      <w:r w:rsidRPr="009E4FFC">
        <w:t xml:space="preserve">Easterly, W. (2005). National Policies and Economic Growth: A Reappraisal. In </w:t>
      </w:r>
      <w:proofErr w:type="spellStart"/>
      <w:r w:rsidRPr="009E4FFC">
        <w:t>Aghion</w:t>
      </w:r>
      <w:proofErr w:type="spellEnd"/>
      <w:r w:rsidRPr="009E4FFC">
        <w:t xml:space="preserve">, P. and </w:t>
      </w:r>
      <w:proofErr w:type="spellStart"/>
      <w:r w:rsidRPr="009E4FFC">
        <w:t>Durlauf</w:t>
      </w:r>
      <w:proofErr w:type="spellEnd"/>
      <w:r w:rsidRPr="009E4FFC">
        <w:t>, S. (</w:t>
      </w:r>
      <w:proofErr w:type="spellStart"/>
      <w:r w:rsidRPr="009E4FFC">
        <w:t>Eds</w:t>
      </w:r>
      <w:proofErr w:type="spellEnd"/>
      <w:r w:rsidRPr="009E4FFC">
        <w:t>). Handbook of Economic Growth. Amsterdam: Elsevier.</w:t>
      </w:r>
    </w:p>
    <w:p w:rsidR="00225A4E" w:rsidRPr="009E4FFC" w:rsidRDefault="00225A4E" w:rsidP="00BE0AB0">
      <w:pPr>
        <w:pStyle w:val="ListParagraph"/>
        <w:numPr>
          <w:ilvl w:val="0"/>
          <w:numId w:val="24"/>
        </w:numPr>
        <w:jc w:val="both"/>
      </w:pPr>
      <w:r w:rsidRPr="009E4FFC">
        <w:t>Edwards, S. (1989). Real Exchange Rates, Devaluation, and Adjustment: Exchange Rate Policy in Developing Countries. Cambridge, Massachusetts: MIT Press.</w:t>
      </w:r>
    </w:p>
    <w:p w:rsidR="00225A4E" w:rsidRPr="009E4FFC" w:rsidRDefault="00225A4E" w:rsidP="00BE0AB0">
      <w:pPr>
        <w:pStyle w:val="ListParagraph"/>
        <w:numPr>
          <w:ilvl w:val="0"/>
          <w:numId w:val="24"/>
        </w:numPr>
        <w:jc w:val="both"/>
      </w:pPr>
      <w:r w:rsidRPr="009E4FFC">
        <w:t xml:space="preserve">Edwards, S. and </w:t>
      </w:r>
      <w:proofErr w:type="spellStart"/>
      <w:r w:rsidRPr="009E4FFC">
        <w:t>Savastano</w:t>
      </w:r>
      <w:proofErr w:type="spellEnd"/>
      <w:r w:rsidRPr="009E4FFC">
        <w:t xml:space="preserve">, M.A. (1999). Exchange Rates in Emerging Economies: What Do We Know? What Do We Need to </w:t>
      </w:r>
      <w:r w:rsidRPr="009E4FFC">
        <w:lastRenderedPageBreak/>
        <w:t>Know</w:t>
      </w:r>
      <w:proofErr w:type="gramStart"/>
      <w:r w:rsidRPr="009E4FFC">
        <w:t>?.</w:t>
      </w:r>
      <w:proofErr w:type="gramEnd"/>
      <w:r w:rsidRPr="009E4FFC">
        <w:t xml:space="preserve"> National Bureau of Economic Research.</w:t>
      </w:r>
      <w:r w:rsidR="006A2B68">
        <w:t xml:space="preserve"> </w:t>
      </w:r>
      <w:r w:rsidRPr="009E4FFC">
        <w:t xml:space="preserve">Working Paper No. 7228. </w:t>
      </w:r>
    </w:p>
    <w:p w:rsidR="00225A4E" w:rsidRPr="009E4FFC" w:rsidRDefault="006A2B68" w:rsidP="00BE0AB0">
      <w:pPr>
        <w:pStyle w:val="ListParagraph"/>
        <w:numPr>
          <w:ilvl w:val="0"/>
          <w:numId w:val="24"/>
        </w:numPr>
        <w:jc w:val="both"/>
      </w:pPr>
      <w:r>
        <w:t>Enders,</w:t>
      </w:r>
      <w:r w:rsidR="00225A4E" w:rsidRPr="009E4FFC">
        <w:t xml:space="preserve"> W. (2010). Applied Econometric Time Series. 3rd Ed. London: John Wiley &amp; Sons Inc.</w:t>
      </w:r>
    </w:p>
    <w:p w:rsidR="00225A4E" w:rsidRPr="009E4FFC" w:rsidRDefault="00225A4E" w:rsidP="006A2B68">
      <w:pPr>
        <w:pStyle w:val="ListParagraph"/>
        <w:numPr>
          <w:ilvl w:val="0"/>
          <w:numId w:val="24"/>
        </w:numPr>
      </w:pPr>
      <w:r w:rsidRPr="009E4FFC">
        <w:t>Eurostat, Harmonized Index of Consumer Prices</w:t>
      </w:r>
      <w:r w:rsidR="006A2B68">
        <w:t xml:space="preserve">, </w:t>
      </w:r>
      <w:r w:rsidRPr="006A2B68">
        <w:rPr>
          <w:rFonts w:ascii="Consolas" w:hAnsi="Consolas" w:cs="Consolas"/>
          <w:sz w:val="22"/>
        </w:rPr>
        <w:t>http://epp.eurostat.ec.europa.eu/portal/page/portal/hicp/data/database</w:t>
      </w:r>
      <w:r w:rsidRPr="006A2B68">
        <w:rPr>
          <w:sz w:val="22"/>
        </w:rPr>
        <w:t xml:space="preserve"> </w:t>
      </w:r>
      <w:r w:rsidR="00BB13ED">
        <w:t>[</w:t>
      </w:r>
      <w:proofErr w:type="spellStart"/>
      <w:r w:rsidR="00BB13ED">
        <w:t>Accesssed</w:t>
      </w:r>
      <w:proofErr w:type="spellEnd"/>
      <w:r w:rsidR="00BB13ED">
        <w:t xml:space="preserve"> on 15 September 20</w:t>
      </w:r>
      <w:r w:rsidRPr="009E4FFC">
        <w:t>14]</w:t>
      </w:r>
    </w:p>
    <w:p w:rsidR="00225A4E" w:rsidRPr="009E4FFC" w:rsidRDefault="00225A4E" w:rsidP="00BE0AB0">
      <w:pPr>
        <w:pStyle w:val="ListParagraph"/>
        <w:numPr>
          <w:ilvl w:val="0"/>
          <w:numId w:val="24"/>
        </w:numPr>
        <w:jc w:val="both"/>
      </w:pPr>
      <w:r w:rsidRPr="009E4FFC">
        <w:t xml:space="preserve">Eurostat, National Accounts: Quarterly accounts, GDP and main components-volumes, </w:t>
      </w:r>
      <w:r w:rsidRPr="006A2B68">
        <w:rPr>
          <w:rFonts w:ascii="Consolas" w:hAnsi="Consolas" w:cs="Consolas"/>
          <w:sz w:val="22"/>
        </w:rPr>
        <w:t>http://appsso.eurostat.ec.europa.eu/</w:t>
      </w:r>
      <w:r w:rsidRPr="006A2B68">
        <w:rPr>
          <w:sz w:val="22"/>
        </w:rPr>
        <w:t xml:space="preserve"> </w:t>
      </w:r>
      <w:r w:rsidRPr="009E4FFC">
        <w:t>[</w:t>
      </w:r>
      <w:proofErr w:type="spellStart"/>
      <w:r w:rsidRPr="009E4FFC">
        <w:t>Accesssed</w:t>
      </w:r>
      <w:proofErr w:type="spellEnd"/>
      <w:r w:rsidRPr="009E4FFC">
        <w:t xml:space="preserve"> </w:t>
      </w:r>
      <w:r w:rsidR="00BB13ED">
        <w:t>on 20 August 20</w:t>
      </w:r>
      <w:r w:rsidRPr="009E4FFC">
        <w:t>14]</w:t>
      </w:r>
    </w:p>
    <w:p w:rsidR="00225A4E" w:rsidRPr="009E4FFC" w:rsidRDefault="00225A4E" w:rsidP="00BE0AB0">
      <w:pPr>
        <w:pStyle w:val="ListParagraph"/>
        <w:numPr>
          <w:ilvl w:val="0"/>
          <w:numId w:val="24"/>
        </w:numPr>
        <w:jc w:val="both"/>
      </w:pPr>
      <w:r w:rsidRPr="009E4FFC">
        <w:t>G</w:t>
      </w:r>
      <w:r w:rsidR="006A2B68">
        <w:t xml:space="preserve">omez, V. and </w:t>
      </w:r>
      <w:proofErr w:type="spellStart"/>
      <w:r w:rsidR="006A2B68">
        <w:t>Maravall</w:t>
      </w:r>
      <w:proofErr w:type="spellEnd"/>
      <w:r w:rsidR="006A2B68">
        <w:t>,</w:t>
      </w:r>
      <w:r w:rsidRPr="009E4FFC">
        <w:t xml:space="preserve"> A. (1996). Programs TRAMO and SEATS: Instruction for Users. Banco de </w:t>
      </w:r>
      <w:proofErr w:type="spellStart"/>
      <w:r w:rsidRPr="009E4FFC">
        <w:t>Espana</w:t>
      </w:r>
      <w:proofErr w:type="spellEnd"/>
      <w:r w:rsidRPr="009E4FFC">
        <w:t>. Working Paper No. 9628.</w:t>
      </w:r>
    </w:p>
    <w:p w:rsidR="00225A4E" w:rsidRPr="009E4FFC" w:rsidRDefault="00225A4E" w:rsidP="00BE0AB0">
      <w:pPr>
        <w:pStyle w:val="ListParagraph"/>
        <w:numPr>
          <w:ilvl w:val="0"/>
          <w:numId w:val="24"/>
        </w:numPr>
        <w:jc w:val="both"/>
      </w:pPr>
      <w:r w:rsidRPr="009E4FFC">
        <w:t xml:space="preserve">Haddad, M. and </w:t>
      </w:r>
      <w:proofErr w:type="spellStart"/>
      <w:r w:rsidRPr="009E4FFC">
        <w:t>Pancaro</w:t>
      </w:r>
      <w:proofErr w:type="spellEnd"/>
      <w:r w:rsidRPr="009E4FFC">
        <w:t xml:space="preserve">, C. (2010). Can Real Exchange Rate Undervaluation Boost Exports and Growth in Developing Countries? Yes, But Not for Long. World Bank - Economic Premise, </w:t>
      </w:r>
      <w:r w:rsidR="006A2B68">
        <w:t>No.</w:t>
      </w:r>
      <w:r w:rsidRPr="009E4FFC">
        <w:t xml:space="preserve"> 20, 1–5.</w:t>
      </w:r>
    </w:p>
    <w:p w:rsidR="00225A4E" w:rsidRPr="009E4FFC" w:rsidRDefault="00225A4E" w:rsidP="00BE0AB0">
      <w:pPr>
        <w:pStyle w:val="ListParagraph"/>
        <w:numPr>
          <w:ilvl w:val="0"/>
          <w:numId w:val="24"/>
        </w:numPr>
        <w:jc w:val="both"/>
      </w:pPr>
      <w:proofErr w:type="spellStart"/>
      <w:r w:rsidRPr="009E4FFC">
        <w:t>Hodrick</w:t>
      </w:r>
      <w:proofErr w:type="spellEnd"/>
      <w:r w:rsidRPr="009E4FFC">
        <w:t>, R. and Prescott, E.C. (1997). Postwar U.S. Business Cycles: An Empirical Investigation. Journal of Money, Credit, and Banking, 29(1), 1–16.</w:t>
      </w:r>
    </w:p>
    <w:p w:rsidR="00225A4E" w:rsidRPr="009E4FFC" w:rsidRDefault="006A2B68" w:rsidP="00BE0AB0">
      <w:pPr>
        <w:pStyle w:val="ListParagraph"/>
        <w:numPr>
          <w:ilvl w:val="0"/>
          <w:numId w:val="24"/>
        </w:numPr>
        <w:jc w:val="both"/>
      </w:pPr>
      <w:proofErr w:type="spellStart"/>
      <w:r>
        <w:t>Hossfeld</w:t>
      </w:r>
      <w:proofErr w:type="spellEnd"/>
      <w:r>
        <w:t>,</w:t>
      </w:r>
      <w:r w:rsidR="00225A4E" w:rsidRPr="009E4FFC">
        <w:t xml:space="preserve"> O. (2010). Equilibrium Real Exchange Rates and Real Exchange Rate Misalignments: Time Series vs. Panel Estimates. FIW Working Paper, No. 065.</w:t>
      </w:r>
    </w:p>
    <w:p w:rsidR="00225A4E" w:rsidRPr="009E4FFC" w:rsidRDefault="00225A4E" w:rsidP="006A2B68">
      <w:pPr>
        <w:pStyle w:val="ListParagraph"/>
        <w:numPr>
          <w:ilvl w:val="0"/>
          <w:numId w:val="24"/>
        </w:numPr>
      </w:pPr>
      <w:r w:rsidRPr="009E4FFC">
        <w:t xml:space="preserve">International Monetary Fund (2006). Methodology for </w:t>
      </w:r>
      <w:r w:rsidR="006A2B68">
        <w:t xml:space="preserve">CGER Exchange Rate Assessments. </w:t>
      </w:r>
      <w:r w:rsidRPr="006A2B68">
        <w:rPr>
          <w:rFonts w:ascii="Consolas" w:hAnsi="Consolas" w:cs="Consolas"/>
          <w:sz w:val="22"/>
        </w:rPr>
        <w:t>https://www.imf.org/external/np/pp/eng/2006/110806.pdf</w:t>
      </w:r>
      <w:r w:rsidRPr="006A2B68">
        <w:rPr>
          <w:sz w:val="22"/>
        </w:rPr>
        <w:t xml:space="preserve"> </w:t>
      </w:r>
      <w:r w:rsidRPr="009E4FFC">
        <w:t>[</w:t>
      </w:r>
      <w:proofErr w:type="spellStart"/>
      <w:r w:rsidRPr="009E4FFC">
        <w:t>Accesssed</w:t>
      </w:r>
      <w:proofErr w:type="spellEnd"/>
      <w:r w:rsidRPr="009E4FFC">
        <w:t xml:space="preserve"> </w:t>
      </w:r>
      <w:r w:rsidR="00BB13ED">
        <w:t>on 14 June 20</w:t>
      </w:r>
      <w:r w:rsidRPr="009E4FFC">
        <w:t>14]</w:t>
      </w:r>
    </w:p>
    <w:p w:rsidR="00225A4E" w:rsidRPr="009E4FFC" w:rsidRDefault="00225A4E" w:rsidP="00BE0AB0">
      <w:pPr>
        <w:pStyle w:val="ListParagraph"/>
        <w:numPr>
          <w:ilvl w:val="0"/>
          <w:numId w:val="24"/>
        </w:numPr>
        <w:jc w:val="both"/>
      </w:pPr>
      <w:r w:rsidRPr="009E4FFC">
        <w:t>International Monetary Fund (2014). IMF Country Report, Republic of Croatia. No. 14/124.</w:t>
      </w:r>
    </w:p>
    <w:p w:rsidR="00225A4E" w:rsidRPr="009E4FFC" w:rsidRDefault="00225A4E" w:rsidP="00BE0AB0">
      <w:pPr>
        <w:pStyle w:val="ListParagraph"/>
        <w:numPr>
          <w:ilvl w:val="0"/>
          <w:numId w:val="24"/>
        </w:numPr>
        <w:jc w:val="both"/>
      </w:pPr>
      <w:proofErr w:type="spellStart"/>
      <w:r w:rsidRPr="009E4FFC">
        <w:t>Komarek</w:t>
      </w:r>
      <w:proofErr w:type="spellEnd"/>
      <w:r w:rsidRPr="009E4FFC">
        <w:t xml:space="preserve">, L. and </w:t>
      </w:r>
      <w:proofErr w:type="spellStart"/>
      <w:r w:rsidRPr="009E4FFC">
        <w:t>Melecky</w:t>
      </w:r>
      <w:proofErr w:type="spellEnd"/>
      <w:r w:rsidRPr="009E4FFC">
        <w:t xml:space="preserve">, M. (2005). The </w:t>
      </w:r>
      <w:proofErr w:type="spellStart"/>
      <w:r w:rsidRPr="009E4FFC">
        <w:t>Behavioural</w:t>
      </w:r>
      <w:proofErr w:type="spellEnd"/>
      <w:r w:rsidRPr="009E4FFC">
        <w:t xml:space="preserve"> Equilibrium Exchange Rate of the Czech Koruna. Czech National Bank. Working Paper 5/2005.</w:t>
      </w:r>
    </w:p>
    <w:p w:rsidR="00225A4E" w:rsidRPr="009E4FFC" w:rsidRDefault="00225A4E" w:rsidP="00BE0AB0">
      <w:pPr>
        <w:pStyle w:val="ListParagraph"/>
        <w:numPr>
          <w:ilvl w:val="0"/>
          <w:numId w:val="24"/>
        </w:numPr>
        <w:jc w:val="both"/>
      </w:pPr>
      <w:proofErr w:type="spellStart"/>
      <w:r w:rsidRPr="009E4FFC">
        <w:t>Musyoki</w:t>
      </w:r>
      <w:proofErr w:type="spellEnd"/>
      <w:r w:rsidRPr="009E4FFC">
        <w:t xml:space="preserve">, D., </w:t>
      </w:r>
      <w:proofErr w:type="spellStart"/>
      <w:r w:rsidRPr="009E4FFC">
        <w:t>Pokhariyal</w:t>
      </w:r>
      <w:proofErr w:type="spellEnd"/>
      <w:r w:rsidRPr="009E4FFC">
        <w:t xml:space="preserve">, G.P. and </w:t>
      </w:r>
      <w:proofErr w:type="spellStart"/>
      <w:r w:rsidRPr="009E4FFC">
        <w:t>Pundo</w:t>
      </w:r>
      <w:proofErr w:type="spellEnd"/>
      <w:r w:rsidRPr="009E4FFC">
        <w:t>, M. (2012). Real Exchange Rate Equilibrium and Misalignment in Kenya. Journal of Business Studies Quarterly, 3(4), 24–42.</w:t>
      </w:r>
    </w:p>
    <w:p w:rsidR="00225A4E" w:rsidRPr="009E4FFC" w:rsidRDefault="00225A4E" w:rsidP="00BE0AB0">
      <w:pPr>
        <w:pStyle w:val="ListParagraph"/>
        <w:numPr>
          <w:ilvl w:val="0"/>
          <w:numId w:val="24"/>
        </w:numPr>
        <w:jc w:val="both"/>
      </w:pPr>
      <w:proofErr w:type="spellStart"/>
      <w:r w:rsidRPr="009E4FFC">
        <w:t>Nikić</w:t>
      </w:r>
      <w:proofErr w:type="spellEnd"/>
      <w:r w:rsidRPr="009E4FFC">
        <w:t xml:space="preserve">, G. (2000). </w:t>
      </w:r>
      <w:proofErr w:type="spellStart"/>
      <w:r w:rsidRPr="009E4FFC">
        <w:t>Kontroverze</w:t>
      </w:r>
      <w:proofErr w:type="spellEnd"/>
      <w:r w:rsidRPr="009E4FFC">
        <w:t xml:space="preserve"> </w:t>
      </w:r>
      <w:proofErr w:type="spellStart"/>
      <w:r w:rsidRPr="009E4FFC">
        <w:t>tečajne</w:t>
      </w:r>
      <w:proofErr w:type="spellEnd"/>
      <w:r w:rsidRPr="009E4FFC">
        <w:t xml:space="preserve"> </w:t>
      </w:r>
      <w:proofErr w:type="spellStart"/>
      <w:r w:rsidRPr="009E4FFC">
        <w:t>politike</w:t>
      </w:r>
      <w:proofErr w:type="spellEnd"/>
      <w:r w:rsidRPr="009E4FFC">
        <w:t xml:space="preserve">. </w:t>
      </w:r>
      <w:proofErr w:type="spellStart"/>
      <w:r w:rsidRPr="009E4FFC">
        <w:t>Ekonomski</w:t>
      </w:r>
      <w:proofErr w:type="spellEnd"/>
      <w:r w:rsidRPr="009E4FFC">
        <w:t xml:space="preserve"> </w:t>
      </w:r>
      <w:proofErr w:type="spellStart"/>
      <w:r w:rsidRPr="009E4FFC">
        <w:t>pregled</w:t>
      </w:r>
      <w:proofErr w:type="spellEnd"/>
      <w:r w:rsidRPr="009E4FFC">
        <w:t xml:space="preserve">, 51 (9-10), 1102–1122. </w:t>
      </w:r>
    </w:p>
    <w:p w:rsidR="00225A4E" w:rsidRPr="009E4FFC" w:rsidRDefault="00225A4E" w:rsidP="00BE0AB0">
      <w:pPr>
        <w:pStyle w:val="ListParagraph"/>
        <w:numPr>
          <w:ilvl w:val="0"/>
          <w:numId w:val="24"/>
        </w:numPr>
        <w:jc w:val="both"/>
      </w:pPr>
      <w:proofErr w:type="spellStart"/>
      <w:r w:rsidRPr="009E4FFC">
        <w:t>Rodrik</w:t>
      </w:r>
      <w:proofErr w:type="spellEnd"/>
      <w:r w:rsidRPr="009E4FFC">
        <w:t>, D. (2008). The Real Exchange Rate and Economic Growth. Brookings Papers on Economic Activity. Economic Studies Program, The Brookings Institution, 39(2), 365–439.</w:t>
      </w:r>
    </w:p>
    <w:p w:rsidR="00225A4E" w:rsidRPr="009E4FFC" w:rsidRDefault="00225A4E" w:rsidP="00BE0AB0">
      <w:pPr>
        <w:pStyle w:val="ListParagraph"/>
        <w:numPr>
          <w:ilvl w:val="0"/>
          <w:numId w:val="24"/>
        </w:numPr>
        <w:jc w:val="both"/>
      </w:pPr>
      <w:proofErr w:type="spellStart"/>
      <w:r w:rsidRPr="009E4FFC">
        <w:lastRenderedPageBreak/>
        <w:t>Tomić</w:t>
      </w:r>
      <w:proofErr w:type="spellEnd"/>
      <w:r w:rsidRPr="009E4FFC">
        <w:t xml:space="preserve">, D. (2012). </w:t>
      </w:r>
      <w:proofErr w:type="spellStart"/>
      <w:r w:rsidRPr="009E4FFC">
        <w:t>Utjecaj</w:t>
      </w:r>
      <w:proofErr w:type="spellEnd"/>
      <w:r w:rsidRPr="009E4FFC">
        <w:t xml:space="preserve"> </w:t>
      </w:r>
      <w:proofErr w:type="spellStart"/>
      <w:r w:rsidRPr="009E4FFC">
        <w:t>prihodovnih</w:t>
      </w:r>
      <w:proofErr w:type="spellEnd"/>
      <w:r w:rsidRPr="009E4FFC">
        <w:t xml:space="preserve"> </w:t>
      </w:r>
      <w:proofErr w:type="spellStart"/>
      <w:r w:rsidRPr="009E4FFC">
        <w:t>uvjeta</w:t>
      </w:r>
      <w:proofErr w:type="spellEnd"/>
      <w:r w:rsidRPr="009E4FFC">
        <w:t xml:space="preserve"> </w:t>
      </w:r>
      <w:proofErr w:type="spellStart"/>
      <w:r w:rsidRPr="009E4FFC">
        <w:t>razmjene</w:t>
      </w:r>
      <w:proofErr w:type="spellEnd"/>
      <w:r w:rsidRPr="009E4FFC">
        <w:t xml:space="preserve"> </w:t>
      </w:r>
      <w:proofErr w:type="spellStart"/>
      <w:proofErr w:type="gramStart"/>
      <w:r w:rsidRPr="009E4FFC">
        <w:t>na</w:t>
      </w:r>
      <w:proofErr w:type="spellEnd"/>
      <w:proofErr w:type="gramEnd"/>
      <w:r w:rsidRPr="009E4FFC">
        <w:t xml:space="preserve"> </w:t>
      </w:r>
      <w:proofErr w:type="spellStart"/>
      <w:r w:rsidRPr="009E4FFC">
        <w:t>gospodarsku</w:t>
      </w:r>
      <w:proofErr w:type="spellEnd"/>
      <w:r w:rsidRPr="009E4FFC">
        <w:t xml:space="preserve"> </w:t>
      </w:r>
      <w:proofErr w:type="spellStart"/>
      <w:r w:rsidRPr="009E4FFC">
        <w:t>aktivnost</w:t>
      </w:r>
      <w:proofErr w:type="spellEnd"/>
      <w:r w:rsidRPr="009E4FFC">
        <w:t xml:space="preserve"> </w:t>
      </w:r>
      <w:proofErr w:type="spellStart"/>
      <w:r w:rsidRPr="009E4FFC">
        <w:t>Republike</w:t>
      </w:r>
      <w:proofErr w:type="spellEnd"/>
      <w:r w:rsidRPr="009E4FFC">
        <w:t xml:space="preserve"> </w:t>
      </w:r>
      <w:proofErr w:type="spellStart"/>
      <w:r w:rsidRPr="009E4FFC">
        <w:t>Hrvatske</w:t>
      </w:r>
      <w:proofErr w:type="spellEnd"/>
      <w:r w:rsidRPr="009E4FFC">
        <w:t xml:space="preserve">. </w:t>
      </w:r>
      <w:proofErr w:type="spellStart"/>
      <w:r w:rsidRPr="009E4FFC">
        <w:t>Doktorska</w:t>
      </w:r>
      <w:proofErr w:type="spellEnd"/>
      <w:r w:rsidRPr="009E4FFC">
        <w:t xml:space="preserve"> </w:t>
      </w:r>
      <w:proofErr w:type="spellStart"/>
      <w:r w:rsidRPr="009E4FFC">
        <w:t>disertacija</w:t>
      </w:r>
      <w:proofErr w:type="spellEnd"/>
      <w:r w:rsidRPr="009E4FFC">
        <w:t xml:space="preserve">. Zagreb: </w:t>
      </w:r>
      <w:proofErr w:type="spellStart"/>
      <w:r w:rsidRPr="009E4FFC">
        <w:t>Ekonomski</w:t>
      </w:r>
      <w:proofErr w:type="spellEnd"/>
      <w:r w:rsidRPr="009E4FFC">
        <w:t xml:space="preserve"> </w:t>
      </w:r>
      <w:proofErr w:type="spellStart"/>
      <w:r w:rsidRPr="009E4FFC">
        <w:t>fakultet</w:t>
      </w:r>
      <w:proofErr w:type="spellEnd"/>
      <w:r w:rsidRPr="009E4FFC">
        <w:t>.</w:t>
      </w:r>
    </w:p>
    <w:p w:rsidR="00353105" w:rsidRPr="009E4FFC" w:rsidRDefault="00225A4E" w:rsidP="00BE0AB0">
      <w:pPr>
        <w:pStyle w:val="ListParagraph"/>
        <w:numPr>
          <w:ilvl w:val="0"/>
          <w:numId w:val="24"/>
        </w:numPr>
        <w:jc w:val="both"/>
      </w:pPr>
      <w:r w:rsidRPr="009E4FFC">
        <w:t>Williamson, J. (1994). Estimating Equilibrium Exchange Rates. Peterson Institute Press: Peterson Institute for International Economics, No. 17.</w:t>
      </w:r>
    </w:p>
    <w:sectPr w:rsidR="00353105" w:rsidRPr="009E4FFC" w:rsidSect="005B6E86">
      <w:headerReference w:type="even" r:id="rId28"/>
      <w:headerReference w:type="default" r:id="rId29"/>
      <w:headerReference w:type="first" r:id="rId30"/>
      <w:footerReference w:type="first" r:id="rId31"/>
      <w:pgSz w:w="9979" w:h="14175" w:code="34"/>
      <w:pgMar w:top="1418" w:right="1418" w:bottom="1418" w:left="1418" w:header="709" w:footer="709" w:gutter="0"/>
      <w:lnNumType w:countBy="1"/>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D4E" w:rsidRDefault="007F1D4E">
      <w:r>
        <w:separator/>
      </w:r>
    </w:p>
  </w:endnote>
  <w:endnote w:type="continuationSeparator" w:id="0">
    <w:p w:rsidR="007F1D4E" w:rsidRDefault="007F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17" w:rsidRPr="00FE7BC6" w:rsidRDefault="00285A17" w:rsidP="00E47252">
    <w:pPr>
      <w:pStyle w:val="Footer"/>
      <w:ind w:right="360"/>
      <w:jc w:val="right"/>
      <w:rPr>
        <w:sz w:val="18"/>
        <w:szCs w:val="18"/>
      </w:rPr>
    </w:pPr>
    <w:r w:rsidRPr="006C0348">
      <w:rPr>
        <w:sz w:val="18"/>
        <w:szCs w:val="18"/>
        <w:lang w:val="hr-HR" w:eastAsia="hr-HR"/>
      </w:rPr>
      <w:t>http://www.hdoi.hr/crorr-journal</w:t>
    </w:r>
    <w:r>
      <w:rPr>
        <w:sz w:val="18"/>
        <w:szCs w:val="18"/>
        <w:lang w:val="hr-HR" w:eastAsia="hr-HR"/>
      </w:rPr>
      <w:t xml:space="preserve">  </w:t>
    </w:r>
    <w:r w:rsidR="009777C1">
      <w:rPr>
        <w:sz w:val="18"/>
        <w:szCs w:val="18"/>
        <w:lang w:val="hr-HR" w:eastAsia="hr-HR"/>
      </w:rPr>
      <w:t xml:space="preserve">                      </w:t>
    </w:r>
    <w:r>
      <w:rPr>
        <w:sz w:val="18"/>
        <w:szCs w:val="18"/>
        <w:lang w:val="hr-HR" w:eastAsia="hr-HR"/>
      </w:rPr>
      <w:t>©2014</w:t>
    </w:r>
    <w:r w:rsidRPr="00FE7BC6">
      <w:rPr>
        <w:sz w:val="18"/>
        <w:szCs w:val="18"/>
        <w:lang w:val="hr-HR" w:eastAsia="hr-HR"/>
      </w:rPr>
      <w:t xml:space="preserve"> Croatian Operational Research Society</w:t>
    </w:r>
  </w:p>
  <w:p w:rsidR="00285A17" w:rsidRDefault="00285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D4E" w:rsidRDefault="007F1D4E">
      <w:r>
        <w:separator/>
      </w:r>
    </w:p>
  </w:footnote>
  <w:footnote w:type="continuationSeparator" w:id="0">
    <w:p w:rsidR="007F1D4E" w:rsidRDefault="007F1D4E">
      <w:r>
        <w:continuationSeparator/>
      </w:r>
    </w:p>
  </w:footnote>
  <w:footnote w:id="1">
    <w:p w:rsidR="00934FB4" w:rsidRDefault="00934FB4">
      <w:pPr>
        <w:pStyle w:val="FootnoteText"/>
      </w:pPr>
      <w:r w:rsidRPr="00934FB4">
        <w:rPr>
          <w:rStyle w:val="FootnoteReference"/>
        </w:rPr>
        <w:sym w:font="Symbol" w:char="F02A"/>
      </w:r>
      <w:r>
        <w:t xml:space="preserve"> </w:t>
      </w:r>
      <w:r>
        <w:rPr>
          <w:lang w:val="hr-HR"/>
        </w:rPr>
        <w:t>Corresponding author</w:t>
      </w:r>
    </w:p>
  </w:footnote>
  <w:footnote w:id="2">
    <w:p w:rsidR="00285A17" w:rsidRPr="00FF2A91" w:rsidRDefault="00285A17" w:rsidP="0049160A">
      <w:pPr>
        <w:pStyle w:val="FootnoteText"/>
        <w:jc w:val="both"/>
        <w:rPr>
          <w:lang w:val="en-GB"/>
        </w:rPr>
      </w:pPr>
      <w:r w:rsidRPr="00BD27CA">
        <w:rPr>
          <w:rStyle w:val="FootnoteReference"/>
        </w:rPr>
        <w:footnoteRef/>
      </w:r>
      <w:r>
        <w:t xml:space="preserve"> The f</w:t>
      </w:r>
      <w:r w:rsidRPr="00BD27CA">
        <w:t>ollowing</w:t>
      </w:r>
      <w:r w:rsidRPr="00F81ED0">
        <w:t xml:space="preserve"> variables were also tested as possible fundamentals: </w:t>
      </w:r>
      <w:r w:rsidRPr="00F81ED0">
        <w:rPr>
          <w:szCs w:val="24"/>
          <w:lang w:val="en-GB"/>
        </w:rPr>
        <w:t xml:space="preserve">government consumption as a share of GDP, </w:t>
      </w:r>
      <w:r w:rsidRPr="00FF2A91">
        <w:rPr>
          <w:szCs w:val="24"/>
          <w:lang w:val="en-GB"/>
        </w:rPr>
        <w:t xml:space="preserve">investment as a share of GDP, </w:t>
      </w:r>
      <w:r>
        <w:rPr>
          <w:szCs w:val="24"/>
          <w:lang w:val="en-GB"/>
        </w:rPr>
        <w:t xml:space="preserve">a </w:t>
      </w:r>
      <w:r w:rsidRPr="00FF2A91">
        <w:rPr>
          <w:szCs w:val="24"/>
          <w:lang w:val="en-GB"/>
        </w:rPr>
        <w:t>degree of trade openness and productivity; however, they were either not significant or th</w:t>
      </w:r>
      <w:r>
        <w:rPr>
          <w:szCs w:val="24"/>
          <w:lang w:val="en-GB"/>
        </w:rPr>
        <w:t xml:space="preserve">e vector error correction </w:t>
      </w:r>
      <w:proofErr w:type="spellStart"/>
      <w:r>
        <w:rPr>
          <w:szCs w:val="24"/>
          <w:lang w:val="en-GB"/>
        </w:rPr>
        <w:t>model</w:t>
      </w:r>
      <w:r w:rsidRPr="00FF2A91">
        <w:rPr>
          <w:szCs w:val="24"/>
          <w:lang w:val="en-GB"/>
        </w:rPr>
        <w:t>ing</w:t>
      </w:r>
      <w:proofErr w:type="spellEnd"/>
      <w:r w:rsidRPr="00FF2A91">
        <w:rPr>
          <w:szCs w:val="24"/>
          <w:lang w:val="en-GB"/>
        </w:rPr>
        <w:t xml:space="preserve"> assumptions were not satisfied.</w:t>
      </w:r>
    </w:p>
  </w:footnote>
  <w:footnote w:id="3">
    <w:p w:rsidR="00285A17" w:rsidRPr="00FF2A91" w:rsidRDefault="00285A17" w:rsidP="0049160A">
      <w:pPr>
        <w:pStyle w:val="FootnoteText"/>
        <w:rPr>
          <w:lang w:val="en-GB"/>
        </w:rPr>
      </w:pPr>
      <w:r w:rsidRPr="00FF2A91">
        <w:rPr>
          <w:rStyle w:val="FootnoteReference"/>
          <w:lang w:val="en-GB"/>
        </w:rPr>
        <w:footnoteRef/>
      </w:r>
      <w:r w:rsidRPr="00FF2A91">
        <w:rPr>
          <w:lang w:val="en-GB"/>
        </w:rPr>
        <w:t xml:space="preserve"> Line and seasonal graphs are available </w:t>
      </w:r>
      <w:r>
        <w:rPr>
          <w:lang w:val="en-GB"/>
        </w:rPr>
        <w:t>up</w:t>
      </w:r>
      <w:r w:rsidRPr="00FF2A91">
        <w:rPr>
          <w:lang w:val="en-GB"/>
        </w:rPr>
        <w:t>on request.</w:t>
      </w:r>
    </w:p>
  </w:footnote>
  <w:footnote w:id="4">
    <w:p w:rsidR="00285A17" w:rsidRPr="00FF2A91" w:rsidRDefault="00285A17" w:rsidP="0049160A">
      <w:pPr>
        <w:pStyle w:val="FootnoteText"/>
        <w:rPr>
          <w:lang w:val="en-GB"/>
        </w:rPr>
      </w:pPr>
      <w:r w:rsidRPr="00FF2A91">
        <w:rPr>
          <w:rStyle w:val="FootnoteReference"/>
          <w:lang w:val="en-GB"/>
        </w:rPr>
        <w:footnoteRef/>
      </w:r>
      <w:r w:rsidRPr="00FF2A91">
        <w:rPr>
          <w:lang w:val="en-GB"/>
        </w:rPr>
        <w:t xml:space="preserve"> The results of </w:t>
      </w:r>
      <w:r>
        <w:rPr>
          <w:lang w:val="en-GB"/>
        </w:rPr>
        <w:t xml:space="preserve">the </w:t>
      </w:r>
      <w:r w:rsidRPr="00FF2A91">
        <w:rPr>
          <w:lang w:val="en-GB"/>
        </w:rPr>
        <w:t xml:space="preserve">ADF test conducted in </w:t>
      </w:r>
      <w:proofErr w:type="spellStart"/>
      <w:r w:rsidRPr="00FF2A91">
        <w:rPr>
          <w:lang w:val="en-GB"/>
        </w:rPr>
        <w:t>EViews</w:t>
      </w:r>
      <w:proofErr w:type="spellEnd"/>
      <w:r w:rsidRPr="00FF2A91">
        <w:rPr>
          <w:lang w:val="en-GB"/>
        </w:rPr>
        <w:t xml:space="preserve"> 8 software are available </w:t>
      </w:r>
      <w:r>
        <w:rPr>
          <w:lang w:val="en-GB"/>
        </w:rPr>
        <w:t>up</w:t>
      </w:r>
      <w:r w:rsidRPr="00FF2A91">
        <w:rPr>
          <w:lang w:val="en-GB"/>
        </w:rPr>
        <w:t>on request.</w:t>
      </w:r>
    </w:p>
  </w:footnote>
  <w:footnote w:id="5">
    <w:p w:rsidR="00285A17" w:rsidRPr="00FF2A91" w:rsidRDefault="00285A17" w:rsidP="0049160A">
      <w:pPr>
        <w:pStyle w:val="FootnoteText"/>
        <w:rPr>
          <w:lang w:val="en-GB"/>
        </w:rPr>
      </w:pPr>
      <w:r w:rsidRPr="00FF2A91">
        <w:rPr>
          <w:rStyle w:val="FootnoteReference"/>
          <w:lang w:val="en-GB"/>
        </w:rPr>
        <w:footnoteRef/>
      </w:r>
      <w:r w:rsidRPr="00FF2A91">
        <w:rPr>
          <w:lang w:val="en-GB"/>
        </w:rPr>
        <w:t xml:space="preserve">The results of </w:t>
      </w:r>
      <w:proofErr w:type="spellStart"/>
      <w:r w:rsidRPr="00FF2A91">
        <w:rPr>
          <w:lang w:val="en-GB"/>
        </w:rPr>
        <w:t>cointegration</w:t>
      </w:r>
      <w:proofErr w:type="spellEnd"/>
      <w:r w:rsidRPr="00FF2A91">
        <w:rPr>
          <w:lang w:val="en-GB"/>
        </w:rPr>
        <w:t xml:space="preserve"> analysis conducted with various variables are available </w:t>
      </w:r>
      <w:r>
        <w:rPr>
          <w:lang w:val="en-GB"/>
        </w:rPr>
        <w:t>up</w:t>
      </w:r>
      <w:r w:rsidRPr="00FF2A91">
        <w:rPr>
          <w:lang w:val="en-GB"/>
        </w:rPr>
        <w:t xml:space="preserve">on request. </w:t>
      </w:r>
    </w:p>
  </w:footnote>
  <w:footnote w:id="6">
    <w:p w:rsidR="00285A17" w:rsidRPr="00214964" w:rsidRDefault="00285A17" w:rsidP="0049160A">
      <w:pPr>
        <w:pStyle w:val="FootnoteText"/>
      </w:pPr>
      <w:r>
        <w:rPr>
          <w:rStyle w:val="FootnoteReference"/>
        </w:rPr>
        <w:footnoteRef/>
      </w:r>
      <w:r>
        <w:t xml:space="preserve"> </w:t>
      </w:r>
      <w:r w:rsidRPr="00214964">
        <w:t>The</w:t>
      </w:r>
      <w:r>
        <w:t xml:space="preserve"> calculated roots</w:t>
      </w:r>
      <w:r w:rsidRPr="00214964">
        <w:t xml:space="preserve"> are av</w:t>
      </w:r>
      <w:r>
        <w:t>a</w:t>
      </w:r>
      <w:r w:rsidRPr="00214964">
        <w:t xml:space="preserve">ilable </w:t>
      </w:r>
      <w:r>
        <w:t>up</w:t>
      </w:r>
      <w:r w:rsidRPr="00214964">
        <w:t>on request.</w:t>
      </w:r>
    </w:p>
    <w:p w:rsidR="00285A17" w:rsidRDefault="00285A17" w:rsidP="0049160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17" w:rsidRPr="005273B2" w:rsidRDefault="00285A17" w:rsidP="003D1D07">
    <w:pPr>
      <w:pStyle w:val="Header"/>
      <w:jc w:val="center"/>
      <w:rPr>
        <w:sz w:val="18"/>
        <w:szCs w:val="18"/>
      </w:rPr>
    </w:pPr>
    <w:r>
      <w:rPr>
        <w:sz w:val="18"/>
        <w:szCs w:val="18"/>
      </w:rPr>
      <w:t xml:space="preserve">Irena </w:t>
    </w:r>
    <w:proofErr w:type="spellStart"/>
    <w:r>
      <w:rPr>
        <w:sz w:val="18"/>
        <w:szCs w:val="18"/>
      </w:rPr>
      <w:t>Palić</w:t>
    </w:r>
    <w:proofErr w:type="spellEnd"/>
    <w:r>
      <w:rPr>
        <w:sz w:val="18"/>
        <w:szCs w:val="18"/>
      </w:rPr>
      <w:t xml:space="preserve">, </w:t>
    </w:r>
    <w:proofErr w:type="spellStart"/>
    <w:r>
      <w:rPr>
        <w:sz w:val="18"/>
        <w:szCs w:val="18"/>
      </w:rPr>
      <w:t>Ksenija</w:t>
    </w:r>
    <w:proofErr w:type="spellEnd"/>
    <w:r>
      <w:rPr>
        <w:sz w:val="18"/>
        <w:szCs w:val="18"/>
      </w:rPr>
      <w:t xml:space="preserve"> </w:t>
    </w:r>
    <w:proofErr w:type="spellStart"/>
    <w:r>
      <w:rPr>
        <w:sz w:val="18"/>
        <w:szCs w:val="18"/>
      </w:rPr>
      <w:t>Dumičić</w:t>
    </w:r>
    <w:proofErr w:type="spellEnd"/>
    <w:r>
      <w:rPr>
        <w:sz w:val="18"/>
        <w:szCs w:val="18"/>
      </w:rPr>
      <w:t xml:space="preserve"> and Petra </w:t>
    </w:r>
    <w:proofErr w:type="spellStart"/>
    <w:r>
      <w:rPr>
        <w:sz w:val="18"/>
        <w:szCs w:val="18"/>
      </w:rPr>
      <w:t>Šprajaček</w:t>
    </w:r>
    <w:proofErr w:type="spellEnd"/>
  </w:p>
  <w:p w:rsidR="00285A17" w:rsidRPr="005273B2" w:rsidRDefault="00285A17" w:rsidP="005273B2">
    <w:pPr>
      <w:pStyle w:val="Header"/>
      <w:rPr>
        <w:noProof/>
      </w:rPr>
    </w:pPr>
    <w:r w:rsidRPr="005273B2">
      <w:fldChar w:fldCharType="begin"/>
    </w:r>
    <w:r w:rsidRPr="005273B2">
      <w:instrText xml:space="preserve"> PAGE   \* MERGEFORMAT </w:instrText>
    </w:r>
    <w:r w:rsidRPr="005273B2">
      <w:fldChar w:fldCharType="separate"/>
    </w:r>
    <w:r w:rsidR="005B6E86">
      <w:rPr>
        <w:noProof/>
      </w:rPr>
      <w:t>16</w:t>
    </w:r>
    <w:r w:rsidRPr="005273B2">
      <w:rPr>
        <w:noProof/>
      </w:rPr>
      <w:fldChar w:fldCharType="end"/>
    </w:r>
  </w:p>
  <w:p w:rsidR="00285A17" w:rsidRDefault="00285A17" w:rsidP="00527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17" w:rsidRPr="005273B2" w:rsidRDefault="00285A17" w:rsidP="003D1D07">
    <w:pPr>
      <w:pStyle w:val="Header"/>
      <w:jc w:val="center"/>
      <w:rPr>
        <w:sz w:val="18"/>
        <w:szCs w:val="18"/>
      </w:rPr>
    </w:pPr>
    <w:r>
      <w:rPr>
        <w:sz w:val="18"/>
        <w:szCs w:val="18"/>
      </w:rPr>
      <w:t xml:space="preserve">Measuring Real Exchange Rate Misalignment in Croatia: </w:t>
    </w:r>
    <w:proofErr w:type="spellStart"/>
    <w:r>
      <w:rPr>
        <w:sz w:val="18"/>
        <w:szCs w:val="18"/>
      </w:rPr>
      <w:t>Cointegration</w:t>
    </w:r>
    <w:proofErr w:type="spellEnd"/>
    <w:r>
      <w:rPr>
        <w:sz w:val="18"/>
        <w:szCs w:val="18"/>
      </w:rPr>
      <w:t xml:space="preserve"> Approach</w:t>
    </w:r>
  </w:p>
  <w:p w:rsidR="00285A17" w:rsidRPr="005273B2" w:rsidRDefault="00285A17" w:rsidP="006C0348">
    <w:pPr>
      <w:pStyle w:val="Header"/>
      <w:jc w:val="right"/>
    </w:pPr>
    <w:r w:rsidRPr="005273B2">
      <w:fldChar w:fldCharType="begin"/>
    </w:r>
    <w:r w:rsidRPr="005273B2">
      <w:instrText xml:space="preserve"> PAGE   \* MERGEFORMAT </w:instrText>
    </w:r>
    <w:r w:rsidRPr="005273B2">
      <w:fldChar w:fldCharType="separate"/>
    </w:r>
    <w:r w:rsidR="005B6E86">
      <w:rPr>
        <w:noProof/>
      </w:rPr>
      <w:t>15</w:t>
    </w:r>
    <w:r w:rsidRPr="005273B2">
      <w:rPr>
        <w:noProof/>
      </w:rPr>
      <w:fldChar w:fldCharType="end"/>
    </w:r>
  </w:p>
  <w:p w:rsidR="00285A17" w:rsidRDefault="00285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A17" w:rsidRPr="0041497A" w:rsidRDefault="00285A17" w:rsidP="006C0348">
    <w:pPr>
      <w:pStyle w:val="Header"/>
      <w:rPr>
        <w:sz w:val="20"/>
        <w:szCs w:val="20"/>
      </w:rPr>
    </w:pPr>
    <w:r w:rsidRPr="0041497A">
      <w:rPr>
        <w:sz w:val="20"/>
        <w:szCs w:val="20"/>
      </w:rPr>
      <w:t>Croatian Operational Research Review</w:t>
    </w:r>
  </w:p>
  <w:p w:rsidR="00285A17" w:rsidRPr="0041497A" w:rsidRDefault="00285A17" w:rsidP="006C0348">
    <w:pPr>
      <w:pStyle w:val="Header"/>
      <w:rPr>
        <w:sz w:val="20"/>
        <w:szCs w:val="20"/>
      </w:rPr>
    </w:pPr>
    <w:r>
      <w:rPr>
        <w:sz w:val="20"/>
        <w:szCs w:val="20"/>
      </w:rPr>
      <w:t>CRORR 6 (2014</w:t>
    </w:r>
    <w:r w:rsidRPr="0041497A">
      <w:rPr>
        <w:sz w:val="20"/>
        <w:szCs w:val="20"/>
      </w:rPr>
      <w:t>)</w:t>
    </w:r>
    <w:r w:rsidR="00E47252">
      <w:rPr>
        <w:sz w:val="20"/>
        <w:szCs w:val="20"/>
      </w:rPr>
      <w:t>, 1-16</w:t>
    </w:r>
  </w:p>
  <w:p w:rsidR="00285A17" w:rsidRDefault="00285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F46"/>
    <w:multiLevelType w:val="multilevel"/>
    <w:tmpl w:val="2B188482"/>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2033"/>
        </w:tabs>
        <w:ind w:left="2033" w:hanging="600"/>
      </w:pPr>
      <w:rPr>
        <w:rFonts w:hint="default"/>
      </w:rPr>
    </w:lvl>
    <w:lvl w:ilvl="2">
      <w:start w:val="1"/>
      <w:numFmt w:val="decimal"/>
      <w:lvlText w:val="%1.%2.%3."/>
      <w:lvlJc w:val="left"/>
      <w:pPr>
        <w:tabs>
          <w:tab w:val="num" w:pos="3586"/>
        </w:tabs>
        <w:ind w:left="3586" w:hanging="720"/>
      </w:pPr>
      <w:rPr>
        <w:rFonts w:hint="default"/>
      </w:rPr>
    </w:lvl>
    <w:lvl w:ilvl="3">
      <w:start w:val="1"/>
      <w:numFmt w:val="decimal"/>
      <w:lvlText w:val="%1.%2.%3.%4."/>
      <w:lvlJc w:val="left"/>
      <w:pPr>
        <w:tabs>
          <w:tab w:val="num" w:pos="5019"/>
        </w:tabs>
        <w:ind w:left="5019" w:hanging="720"/>
      </w:pPr>
      <w:rPr>
        <w:rFonts w:hint="default"/>
      </w:rPr>
    </w:lvl>
    <w:lvl w:ilvl="4">
      <w:start w:val="1"/>
      <w:numFmt w:val="decimal"/>
      <w:lvlText w:val="%1.%2.%3.%4.%5."/>
      <w:lvlJc w:val="left"/>
      <w:pPr>
        <w:tabs>
          <w:tab w:val="num" w:pos="6812"/>
        </w:tabs>
        <w:ind w:left="6812" w:hanging="1080"/>
      </w:pPr>
      <w:rPr>
        <w:rFonts w:hint="default"/>
      </w:rPr>
    </w:lvl>
    <w:lvl w:ilvl="5">
      <w:start w:val="1"/>
      <w:numFmt w:val="decimal"/>
      <w:lvlText w:val="%1.%2.%3.%4.%5.%6."/>
      <w:lvlJc w:val="left"/>
      <w:pPr>
        <w:tabs>
          <w:tab w:val="num" w:pos="8245"/>
        </w:tabs>
        <w:ind w:left="8245" w:hanging="1080"/>
      </w:pPr>
      <w:rPr>
        <w:rFonts w:hint="default"/>
      </w:rPr>
    </w:lvl>
    <w:lvl w:ilvl="6">
      <w:start w:val="1"/>
      <w:numFmt w:val="decimal"/>
      <w:lvlText w:val="%1.%2.%3.%4.%5.%6.%7."/>
      <w:lvlJc w:val="left"/>
      <w:pPr>
        <w:tabs>
          <w:tab w:val="num" w:pos="10038"/>
        </w:tabs>
        <w:ind w:left="10038" w:hanging="1440"/>
      </w:pPr>
      <w:rPr>
        <w:rFonts w:hint="default"/>
      </w:rPr>
    </w:lvl>
    <w:lvl w:ilvl="7">
      <w:start w:val="1"/>
      <w:numFmt w:val="decimal"/>
      <w:lvlText w:val="%1.%2.%3.%4.%5.%6.%7.%8."/>
      <w:lvlJc w:val="left"/>
      <w:pPr>
        <w:tabs>
          <w:tab w:val="num" w:pos="11471"/>
        </w:tabs>
        <w:ind w:left="11471" w:hanging="1440"/>
      </w:pPr>
      <w:rPr>
        <w:rFonts w:hint="default"/>
      </w:rPr>
    </w:lvl>
    <w:lvl w:ilvl="8">
      <w:start w:val="1"/>
      <w:numFmt w:val="decimal"/>
      <w:lvlText w:val="%1.%2.%3.%4.%5.%6.%7.%8.%9."/>
      <w:lvlJc w:val="left"/>
      <w:pPr>
        <w:tabs>
          <w:tab w:val="num" w:pos="13264"/>
        </w:tabs>
        <w:ind w:left="13264" w:hanging="1800"/>
      </w:pPr>
      <w:rPr>
        <w:rFonts w:hint="default"/>
      </w:rPr>
    </w:lvl>
  </w:abstractNum>
  <w:abstractNum w:abstractNumId="1">
    <w:nsid w:val="042C2A48"/>
    <w:multiLevelType w:val="multilevel"/>
    <w:tmpl w:val="89702B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4BD666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06D13B21"/>
    <w:multiLevelType w:val="multilevel"/>
    <w:tmpl w:val="67547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05082D"/>
    <w:multiLevelType w:val="multilevel"/>
    <w:tmpl w:val="95EE5B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B63E6"/>
    <w:multiLevelType w:val="multilevel"/>
    <w:tmpl w:val="3FF275BE"/>
    <w:lvl w:ilvl="0">
      <w:start w:val="2"/>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244D99"/>
    <w:multiLevelType w:val="hybridMultilevel"/>
    <w:tmpl w:val="887ECC98"/>
    <w:lvl w:ilvl="0" w:tplc="CEF0586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E097357"/>
    <w:multiLevelType w:val="hybridMultilevel"/>
    <w:tmpl w:val="087847E8"/>
    <w:lvl w:ilvl="0" w:tplc="04090001">
      <w:start w:val="1"/>
      <w:numFmt w:val="bullet"/>
      <w:lvlText w:val=""/>
      <w:lvlJc w:val="left"/>
      <w:pPr>
        <w:tabs>
          <w:tab w:val="num" w:pos="720"/>
        </w:tabs>
        <w:ind w:left="720" w:hanging="360"/>
      </w:pPr>
      <w:rPr>
        <w:rFonts w:ascii="Symbol" w:hAnsi="Symbol" w:cs="Symbol" w:hint="default"/>
      </w:rPr>
    </w:lvl>
    <w:lvl w:ilvl="1" w:tplc="1E949502">
      <w:start w:val="1"/>
      <w:numFmt w:val="bullet"/>
      <w:lvlText w:val=""/>
      <w:lvlJc w:val="left"/>
      <w:pPr>
        <w:tabs>
          <w:tab w:val="num" w:pos="1440"/>
        </w:tabs>
        <w:ind w:left="1440" w:hanging="360"/>
      </w:pPr>
      <w:rPr>
        <w:rFonts w:ascii="Wingdings" w:hAnsi="Wingdings" w:cs="Wingdings"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22C759FC"/>
    <w:multiLevelType w:val="multilevel"/>
    <w:tmpl w:val="1D466C0A"/>
    <w:lvl w:ilvl="0">
      <w:start w:val="1"/>
      <w:numFmt w:val="decimal"/>
      <w:lvlText w:val="%1."/>
      <w:lvlJc w:val="left"/>
      <w:pPr>
        <w:ind w:left="360" w:hanging="360"/>
      </w:pPr>
      <w:rPr>
        <w:rFonts w:hint="default"/>
        <w:b/>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9">
    <w:nsid w:val="34456F9C"/>
    <w:multiLevelType w:val="hybridMultilevel"/>
    <w:tmpl w:val="550C054A"/>
    <w:lvl w:ilvl="0" w:tplc="A20416C8">
      <w:start w:val="1"/>
      <w:numFmt w:val="decimal"/>
      <w:lvlText w:val="[%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E14FCB"/>
    <w:multiLevelType w:val="multilevel"/>
    <w:tmpl w:val="A81CB9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FC1197"/>
    <w:multiLevelType w:val="hybridMultilevel"/>
    <w:tmpl w:val="77AC81D8"/>
    <w:lvl w:ilvl="0" w:tplc="B5203324">
      <w:start w:val="759"/>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39250C6C"/>
    <w:multiLevelType w:val="multilevel"/>
    <w:tmpl w:val="704A2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B17CA"/>
    <w:multiLevelType w:val="hybridMultilevel"/>
    <w:tmpl w:val="4F6AE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7C54FB"/>
    <w:multiLevelType w:val="multilevel"/>
    <w:tmpl w:val="F6049B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7B72F8"/>
    <w:multiLevelType w:val="hybridMultilevel"/>
    <w:tmpl w:val="7436D0F2"/>
    <w:lvl w:ilvl="0" w:tplc="B3AA0684">
      <w:start w:val="776"/>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6212FAB"/>
    <w:multiLevelType w:val="hybridMultilevel"/>
    <w:tmpl w:val="D84C7F5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7">
    <w:nsid w:val="47C17BAB"/>
    <w:multiLevelType w:val="multilevel"/>
    <w:tmpl w:val="2C8C742E"/>
    <w:lvl w:ilvl="0">
      <w:start w:val="2"/>
      <w:numFmt w:val="decimal"/>
      <w:lvlText w:val="%1."/>
      <w:lvlJc w:val="left"/>
      <w:pPr>
        <w:tabs>
          <w:tab w:val="num" w:pos="480"/>
        </w:tabs>
        <w:ind w:left="480" w:hanging="480"/>
      </w:pPr>
      <w:rPr>
        <w:rFonts w:hint="default"/>
      </w:rPr>
    </w:lvl>
    <w:lvl w:ilvl="1">
      <w:start w:val="5"/>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4FE55628"/>
    <w:multiLevelType w:val="multilevel"/>
    <w:tmpl w:val="01100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2D202C8"/>
    <w:multiLevelType w:val="hybridMultilevel"/>
    <w:tmpl w:val="1FF6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084DF7"/>
    <w:multiLevelType w:val="multilevel"/>
    <w:tmpl w:val="6AC2ED8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2F447B"/>
    <w:multiLevelType w:val="multilevel"/>
    <w:tmpl w:val="EA5ED04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347F5D"/>
    <w:multiLevelType w:val="hybridMultilevel"/>
    <w:tmpl w:val="F3185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BAF0AF7"/>
    <w:multiLevelType w:val="multilevel"/>
    <w:tmpl w:val="CF3E2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F15481"/>
    <w:multiLevelType w:val="hybridMultilevel"/>
    <w:tmpl w:val="21AC084E"/>
    <w:lvl w:ilvl="0" w:tplc="0F6E67D8">
      <w:start w:val="1"/>
      <w:numFmt w:val="decimal"/>
      <w:suff w:val="space"/>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nsid w:val="5FA04608"/>
    <w:multiLevelType w:val="multilevel"/>
    <w:tmpl w:val="A67C77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2F7693F"/>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3F5010E"/>
    <w:multiLevelType w:val="hybridMultilevel"/>
    <w:tmpl w:val="632037CE"/>
    <w:lvl w:ilvl="0" w:tplc="22A6A870">
      <w:start w:val="87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66A171CB"/>
    <w:multiLevelType w:val="multilevel"/>
    <w:tmpl w:val="A85A34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C473014"/>
    <w:multiLevelType w:val="multilevel"/>
    <w:tmpl w:val="F22C2F16"/>
    <w:lvl w:ilvl="0">
      <w:start w:val="3"/>
      <w:numFmt w:val="decimal"/>
      <w:lvlText w:val="%1."/>
      <w:lvlJc w:val="left"/>
      <w:pPr>
        <w:ind w:left="360" w:hanging="360"/>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D937E2C"/>
    <w:multiLevelType w:val="hybridMultilevel"/>
    <w:tmpl w:val="892CC9DC"/>
    <w:lvl w:ilvl="0" w:tplc="22DE19E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nsid w:val="6EE7604C"/>
    <w:multiLevelType w:val="multilevel"/>
    <w:tmpl w:val="A67EA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2E4C2E"/>
    <w:multiLevelType w:val="multilevel"/>
    <w:tmpl w:val="529240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32227ED"/>
    <w:multiLevelType w:val="multilevel"/>
    <w:tmpl w:val="B5BC5B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C0473F8"/>
    <w:multiLevelType w:val="hybridMultilevel"/>
    <w:tmpl w:val="C13E00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27"/>
  </w:num>
  <w:num w:numId="4">
    <w:abstractNumId w:val="13"/>
  </w:num>
  <w:num w:numId="5">
    <w:abstractNumId w:val="16"/>
  </w:num>
  <w:num w:numId="6">
    <w:abstractNumId w:val="26"/>
  </w:num>
  <w:num w:numId="7">
    <w:abstractNumId w:val="2"/>
  </w:num>
  <w:num w:numId="8">
    <w:abstractNumId w:val="7"/>
  </w:num>
  <w:num w:numId="9">
    <w:abstractNumId w:val="21"/>
  </w:num>
  <w:num w:numId="10">
    <w:abstractNumId w:val="17"/>
  </w:num>
  <w:num w:numId="11">
    <w:abstractNumId w:val="20"/>
  </w:num>
  <w:num w:numId="12">
    <w:abstractNumId w:val="0"/>
  </w:num>
  <w:num w:numId="13">
    <w:abstractNumId w:val="32"/>
  </w:num>
  <w:num w:numId="14">
    <w:abstractNumId w:val="4"/>
  </w:num>
  <w:num w:numId="15">
    <w:abstractNumId w:val="22"/>
  </w:num>
  <w:num w:numId="16">
    <w:abstractNumId w:val="6"/>
  </w:num>
  <w:num w:numId="17">
    <w:abstractNumId w:val="30"/>
  </w:num>
  <w:num w:numId="18">
    <w:abstractNumId w:val="8"/>
  </w:num>
  <w:num w:numId="19">
    <w:abstractNumId w:val="10"/>
  </w:num>
  <w:num w:numId="20">
    <w:abstractNumId w:val="23"/>
  </w:num>
  <w:num w:numId="21">
    <w:abstractNumId w:val="25"/>
  </w:num>
  <w:num w:numId="22">
    <w:abstractNumId w:val="31"/>
  </w:num>
  <w:num w:numId="23">
    <w:abstractNumId w:val="24"/>
  </w:num>
  <w:num w:numId="24">
    <w:abstractNumId w:val="9"/>
  </w:num>
  <w:num w:numId="25">
    <w:abstractNumId w:val="19"/>
  </w:num>
  <w:num w:numId="26">
    <w:abstractNumId w:val="34"/>
  </w:num>
  <w:num w:numId="27">
    <w:abstractNumId w:val="18"/>
  </w:num>
  <w:num w:numId="28">
    <w:abstractNumId w:val="14"/>
  </w:num>
  <w:num w:numId="29">
    <w:abstractNumId w:val="33"/>
  </w:num>
  <w:num w:numId="30">
    <w:abstractNumId w:val="28"/>
  </w:num>
  <w:num w:numId="31">
    <w:abstractNumId w:val="1"/>
  </w:num>
  <w:num w:numId="32">
    <w:abstractNumId w:val="12"/>
  </w:num>
  <w:num w:numId="33">
    <w:abstractNumId w:val="3"/>
  </w:num>
  <w:num w:numId="34">
    <w:abstractNumId w:val="5"/>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hyphenationZone w:val="425"/>
  <w:doNotHyphenateCaps/>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F2"/>
    <w:rsid w:val="00007028"/>
    <w:rsid w:val="000118D7"/>
    <w:rsid w:val="00021AFE"/>
    <w:rsid w:val="00036595"/>
    <w:rsid w:val="00052110"/>
    <w:rsid w:val="000632EE"/>
    <w:rsid w:val="00071AAD"/>
    <w:rsid w:val="00097B78"/>
    <w:rsid w:val="000A16FB"/>
    <w:rsid w:val="000B6606"/>
    <w:rsid w:val="000D79D7"/>
    <w:rsid w:val="00117960"/>
    <w:rsid w:val="001760F5"/>
    <w:rsid w:val="001A7044"/>
    <w:rsid w:val="001C29F5"/>
    <w:rsid w:val="001C3835"/>
    <w:rsid w:val="001D08B6"/>
    <w:rsid w:val="001D4BFE"/>
    <w:rsid w:val="001E3263"/>
    <w:rsid w:val="00225A4E"/>
    <w:rsid w:val="00265BE8"/>
    <w:rsid w:val="0028472B"/>
    <w:rsid w:val="00285A17"/>
    <w:rsid w:val="002E1F00"/>
    <w:rsid w:val="00301CC1"/>
    <w:rsid w:val="00305EE6"/>
    <w:rsid w:val="00353105"/>
    <w:rsid w:val="003A711B"/>
    <w:rsid w:val="003B36B0"/>
    <w:rsid w:val="003B704F"/>
    <w:rsid w:val="003D1D07"/>
    <w:rsid w:val="003F436F"/>
    <w:rsid w:val="00407164"/>
    <w:rsid w:val="0041497A"/>
    <w:rsid w:val="00417288"/>
    <w:rsid w:val="00426F53"/>
    <w:rsid w:val="00427BD9"/>
    <w:rsid w:val="004706EF"/>
    <w:rsid w:val="00483B10"/>
    <w:rsid w:val="00490BAC"/>
    <w:rsid w:val="0049160A"/>
    <w:rsid w:val="004916D0"/>
    <w:rsid w:val="00492C95"/>
    <w:rsid w:val="004A1772"/>
    <w:rsid w:val="004A66DA"/>
    <w:rsid w:val="004D0990"/>
    <w:rsid w:val="004E6DC3"/>
    <w:rsid w:val="0050479B"/>
    <w:rsid w:val="00516DF8"/>
    <w:rsid w:val="005273B2"/>
    <w:rsid w:val="0055056F"/>
    <w:rsid w:val="00584596"/>
    <w:rsid w:val="005B6E86"/>
    <w:rsid w:val="005D26A0"/>
    <w:rsid w:val="00623455"/>
    <w:rsid w:val="00647D48"/>
    <w:rsid w:val="00654A65"/>
    <w:rsid w:val="00696F04"/>
    <w:rsid w:val="006A2B68"/>
    <w:rsid w:val="006C0348"/>
    <w:rsid w:val="006D6858"/>
    <w:rsid w:val="006F03ED"/>
    <w:rsid w:val="006F10A3"/>
    <w:rsid w:val="007066CC"/>
    <w:rsid w:val="00716344"/>
    <w:rsid w:val="0072625E"/>
    <w:rsid w:val="00746D36"/>
    <w:rsid w:val="0076669B"/>
    <w:rsid w:val="007727DE"/>
    <w:rsid w:val="00781645"/>
    <w:rsid w:val="00795EE5"/>
    <w:rsid w:val="007A7E4C"/>
    <w:rsid w:val="007B0937"/>
    <w:rsid w:val="007C4B15"/>
    <w:rsid w:val="007D6D0B"/>
    <w:rsid w:val="007E350D"/>
    <w:rsid w:val="007F1D4E"/>
    <w:rsid w:val="00837AF8"/>
    <w:rsid w:val="008460EB"/>
    <w:rsid w:val="00852B3E"/>
    <w:rsid w:val="008F2F9E"/>
    <w:rsid w:val="008F497D"/>
    <w:rsid w:val="00915657"/>
    <w:rsid w:val="0092656E"/>
    <w:rsid w:val="00934FB4"/>
    <w:rsid w:val="00946134"/>
    <w:rsid w:val="00964BC6"/>
    <w:rsid w:val="009777C1"/>
    <w:rsid w:val="0098054A"/>
    <w:rsid w:val="00991ADA"/>
    <w:rsid w:val="009A0017"/>
    <w:rsid w:val="009B146C"/>
    <w:rsid w:val="009C67DD"/>
    <w:rsid w:val="009E4FFC"/>
    <w:rsid w:val="00A040FC"/>
    <w:rsid w:val="00A06222"/>
    <w:rsid w:val="00A10C49"/>
    <w:rsid w:val="00A11AD8"/>
    <w:rsid w:val="00A145F7"/>
    <w:rsid w:val="00A339F3"/>
    <w:rsid w:val="00A551A4"/>
    <w:rsid w:val="00A6179B"/>
    <w:rsid w:val="00A706F8"/>
    <w:rsid w:val="00A829EF"/>
    <w:rsid w:val="00AA113E"/>
    <w:rsid w:val="00AE7311"/>
    <w:rsid w:val="00B1752C"/>
    <w:rsid w:val="00B1759E"/>
    <w:rsid w:val="00B25CEA"/>
    <w:rsid w:val="00B262F3"/>
    <w:rsid w:val="00B36A51"/>
    <w:rsid w:val="00B42F6C"/>
    <w:rsid w:val="00B50816"/>
    <w:rsid w:val="00B56AA3"/>
    <w:rsid w:val="00B70621"/>
    <w:rsid w:val="00B71D62"/>
    <w:rsid w:val="00BA6959"/>
    <w:rsid w:val="00BB13ED"/>
    <w:rsid w:val="00BC78CC"/>
    <w:rsid w:val="00BD0B24"/>
    <w:rsid w:val="00BD1B60"/>
    <w:rsid w:val="00BD7DCE"/>
    <w:rsid w:val="00BE0AB0"/>
    <w:rsid w:val="00BE5310"/>
    <w:rsid w:val="00C41F06"/>
    <w:rsid w:val="00C46F7E"/>
    <w:rsid w:val="00C566B7"/>
    <w:rsid w:val="00C576CD"/>
    <w:rsid w:val="00C620CD"/>
    <w:rsid w:val="00C72200"/>
    <w:rsid w:val="00C81192"/>
    <w:rsid w:val="00C84E6D"/>
    <w:rsid w:val="00C949D8"/>
    <w:rsid w:val="00C956C2"/>
    <w:rsid w:val="00CE6038"/>
    <w:rsid w:val="00D5211A"/>
    <w:rsid w:val="00D65D03"/>
    <w:rsid w:val="00D65E8F"/>
    <w:rsid w:val="00D70F79"/>
    <w:rsid w:val="00D96FFA"/>
    <w:rsid w:val="00DB19D9"/>
    <w:rsid w:val="00DB30C2"/>
    <w:rsid w:val="00DC1C9B"/>
    <w:rsid w:val="00DE6945"/>
    <w:rsid w:val="00E216B2"/>
    <w:rsid w:val="00E239E7"/>
    <w:rsid w:val="00E40730"/>
    <w:rsid w:val="00E47252"/>
    <w:rsid w:val="00E708F2"/>
    <w:rsid w:val="00E716CB"/>
    <w:rsid w:val="00F00CBF"/>
    <w:rsid w:val="00F036F0"/>
    <w:rsid w:val="00F22601"/>
    <w:rsid w:val="00F31AA0"/>
    <w:rsid w:val="00F375F4"/>
    <w:rsid w:val="00F509AC"/>
    <w:rsid w:val="00F910AE"/>
    <w:rsid w:val="00FB050F"/>
    <w:rsid w:val="00FB53AA"/>
    <w:rsid w:val="00FC0762"/>
    <w:rsid w:val="00FE21BE"/>
    <w:rsid w:val="00FE7B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link w:val="FootnoteTextChar"/>
    <w:uiPriority w:val="99"/>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link w:val="BodyTextChar"/>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table" w:styleId="MediumList2">
    <w:name w:val="Medium List 2"/>
    <w:basedOn w:val="TableNormal"/>
    <w:uiPriority w:val="66"/>
    <w:rsid w:val="00B5081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noteTextChar">
    <w:name w:val="Footnote Text Char"/>
    <w:basedOn w:val="DefaultParagraphFont"/>
    <w:link w:val="FootnoteText"/>
    <w:uiPriority w:val="99"/>
    <w:semiHidden/>
    <w:rsid w:val="0049160A"/>
    <w:rPr>
      <w:lang w:val="en-US" w:eastAsia="en-US"/>
    </w:rPr>
  </w:style>
  <w:style w:type="character" w:customStyle="1" w:styleId="BodyTextChar">
    <w:name w:val="Body Text Char"/>
    <w:basedOn w:val="DefaultParagraphFont"/>
    <w:link w:val="BodyText"/>
    <w:rsid w:val="0049160A"/>
    <w:rPr>
      <w:b/>
      <w:sz w:val="28"/>
      <w:szCs w:val="24"/>
      <w:lang w:val="en-GB" w:eastAsia="en-US"/>
    </w:rPr>
  </w:style>
  <w:style w:type="paragraph" w:styleId="CommentText">
    <w:name w:val="annotation text"/>
    <w:basedOn w:val="Normal"/>
    <w:link w:val="CommentTextChar"/>
    <w:rsid w:val="00225A4E"/>
    <w:rPr>
      <w:sz w:val="20"/>
      <w:szCs w:val="20"/>
    </w:rPr>
  </w:style>
  <w:style w:type="character" w:customStyle="1" w:styleId="CommentTextChar">
    <w:name w:val="Comment Text Char"/>
    <w:basedOn w:val="DefaultParagraphFont"/>
    <w:link w:val="CommentText"/>
    <w:rsid w:val="00225A4E"/>
    <w:rPr>
      <w:lang w:val="en-US" w:eastAsia="en-US"/>
    </w:rPr>
  </w:style>
  <w:style w:type="paragraph" w:styleId="CommentSubject">
    <w:name w:val="annotation subject"/>
    <w:basedOn w:val="CommentText"/>
    <w:next w:val="CommentText"/>
    <w:link w:val="CommentSubjectChar"/>
    <w:uiPriority w:val="99"/>
    <w:unhideWhenUsed/>
    <w:rsid w:val="00225A4E"/>
    <w:pPr>
      <w:spacing w:after="200"/>
    </w:pPr>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rsid w:val="00225A4E"/>
    <w:rPr>
      <w:rFonts w:asciiTheme="minorHAnsi" w:eastAsiaTheme="minorHAnsi" w:hAnsiTheme="minorHAnsi" w:cstheme="minorBidi"/>
      <w:b/>
      <w:bCs/>
      <w:lang w:val="en-US" w:eastAsia="en-US"/>
    </w:rPr>
  </w:style>
  <w:style w:type="character" w:customStyle="1" w:styleId="citation">
    <w:name w:val="citation"/>
    <w:basedOn w:val="DefaultParagraphFont"/>
    <w:rsid w:val="00225A4E"/>
  </w:style>
  <w:style w:type="character" w:styleId="LineNumber">
    <w:name w:val="line number"/>
    <w:basedOn w:val="DefaultParagraphFont"/>
    <w:rsid w:val="005B6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5EE6"/>
    <w:rPr>
      <w:sz w:val="24"/>
      <w:szCs w:val="24"/>
      <w:lang w:val="en-US" w:eastAsia="en-US"/>
    </w:rPr>
  </w:style>
  <w:style w:type="paragraph" w:styleId="Heading1">
    <w:name w:val="heading 1"/>
    <w:basedOn w:val="Normal"/>
    <w:next w:val="Normal"/>
    <w:qFormat/>
    <w:rsid w:val="00305EE6"/>
    <w:pPr>
      <w:keepNext/>
      <w:jc w:val="center"/>
      <w:outlineLvl w:val="0"/>
    </w:pPr>
    <w:rPr>
      <w:b/>
      <w:bCs/>
      <w:lang w:val="en-GB"/>
    </w:rPr>
  </w:style>
  <w:style w:type="paragraph" w:styleId="Heading2">
    <w:name w:val="heading 2"/>
    <w:basedOn w:val="Normal"/>
    <w:next w:val="Normal"/>
    <w:qFormat/>
    <w:rsid w:val="00305EE6"/>
    <w:pPr>
      <w:keepNext/>
      <w:outlineLvl w:val="1"/>
    </w:pPr>
    <w:rPr>
      <w:b/>
      <w:bCs/>
      <w:lang w:val="en-GB"/>
    </w:rPr>
  </w:style>
  <w:style w:type="paragraph" w:styleId="Heading3">
    <w:name w:val="heading 3"/>
    <w:basedOn w:val="Normal"/>
    <w:next w:val="Normal"/>
    <w:qFormat/>
    <w:rsid w:val="00305EE6"/>
    <w:pPr>
      <w:keepNext/>
      <w:spacing w:before="240"/>
      <w:outlineLvl w:val="2"/>
    </w:pPr>
    <w:rPr>
      <w:rFonts w:cs="Arial"/>
      <w:b/>
      <w:bCs/>
      <w:szCs w:val="26"/>
    </w:rPr>
  </w:style>
  <w:style w:type="paragraph" w:styleId="Heading4">
    <w:name w:val="heading 4"/>
    <w:basedOn w:val="Normal"/>
    <w:next w:val="Normal"/>
    <w:qFormat/>
    <w:rsid w:val="0035310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05EE6"/>
    <w:rPr>
      <w:vertAlign w:val="superscript"/>
    </w:rPr>
  </w:style>
  <w:style w:type="character" w:styleId="Hyperlink">
    <w:name w:val="Hyperlink"/>
    <w:rsid w:val="00305EE6"/>
    <w:rPr>
      <w:color w:val="0000FF"/>
      <w:u w:val="single"/>
    </w:rPr>
  </w:style>
  <w:style w:type="paragraph" w:styleId="FootnoteText">
    <w:name w:val="footnote text"/>
    <w:basedOn w:val="Normal"/>
    <w:link w:val="FootnoteTextChar"/>
    <w:uiPriority w:val="99"/>
    <w:semiHidden/>
    <w:rsid w:val="00305EE6"/>
    <w:rPr>
      <w:sz w:val="20"/>
      <w:szCs w:val="20"/>
    </w:rPr>
  </w:style>
  <w:style w:type="character" w:styleId="PageNumber">
    <w:name w:val="page number"/>
    <w:basedOn w:val="DefaultParagraphFont"/>
    <w:rsid w:val="00305EE6"/>
  </w:style>
  <w:style w:type="paragraph" w:styleId="Footer">
    <w:name w:val="footer"/>
    <w:basedOn w:val="Normal"/>
    <w:rsid w:val="00305EE6"/>
    <w:pPr>
      <w:tabs>
        <w:tab w:val="center" w:pos="4536"/>
        <w:tab w:val="right" w:pos="9072"/>
      </w:tabs>
    </w:pPr>
  </w:style>
  <w:style w:type="paragraph" w:styleId="BodyText">
    <w:name w:val="Body Text"/>
    <w:basedOn w:val="Normal"/>
    <w:link w:val="BodyTextChar"/>
    <w:rsid w:val="00305EE6"/>
    <w:pPr>
      <w:jc w:val="center"/>
    </w:pPr>
    <w:rPr>
      <w:b/>
      <w:sz w:val="28"/>
      <w:lang w:val="en-GB"/>
    </w:rPr>
  </w:style>
  <w:style w:type="paragraph" w:styleId="Header">
    <w:name w:val="header"/>
    <w:basedOn w:val="Normal"/>
    <w:link w:val="HeaderChar"/>
    <w:uiPriority w:val="99"/>
    <w:rsid w:val="00305EE6"/>
    <w:pPr>
      <w:tabs>
        <w:tab w:val="center" w:pos="4536"/>
        <w:tab w:val="right" w:pos="9072"/>
      </w:tabs>
    </w:pPr>
  </w:style>
  <w:style w:type="paragraph" w:styleId="BodyTextIndent">
    <w:name w:val="Body Text Indent"/>
    <w:basedOn w:val="Normal"/>
    <w:rsid w:val="00305EE6"/>
    <w:pPr>
      <w:ind w:left="540" w:hanging="540"/>
    </w:pPr>
    <w:rPr>
      <w:lang w:val="en-GB"/>
    </w:rPr>
  </w:style>
  <w:style w:type="character" w:styleId="FollowedHyperlink">
    <w:name w:val="FollowedHyperlink"/>
    <w:rsid w:val="00305EE6"/>
    <w:rPr>
      <w:color w:val="800080"/>
      <w:u w:val="single"/>
    </w:rPr>
  </w:style>
  <w:style w:type="character" w:styleId="Emphasis">
    <w:name w:val="Emphasis"/>
    <w:uiPriority w:val="20"/>
    <w:qFormat/>
    <w:rsid w:val="00353105"/>
    <w:rPr>
      <w:i/>
      <w:iCs/>
    </w:rPr>
  </w:style>
  <w:style w:type="character" w:customStyle="1" w:styleId="HeaderChar">
    <w:name w:val="Header Char"/>
    <w:link w:val="Header"/>
    <w:uiPriority w:val="99"/>
    <w:rsid w:val="006F03ED"/>
    <w:rPr>
      <w:sz w:val="24"/>
      <w:szCs w:val="24"/>
      <w:lang w:val="en-US" w:eastAsia="en-US"/>
    </w:rPr>
  </w:style>
  <w:style w:type="paragraph" w:styleId="BalloonText">
    <w:name w:val="Balloon Text"/>
    <w:basedOn w:val="Normal"/>
    <w:link w:val="BalloonTextChar"/>
    <w:rsid w:val="006F03ED"/>
    <w:rPr>
      <w:rFonts w:ascii="Tahoma" w:hAnsi="Tahoma" w:cs="Tahoma"/>
      <w:sz w:val="16"/>
      <w:szCs w:val="16"/>
    </w:rPr>
  </w:style>
  <w:style w:type="character" w:customStyle="1" w:styleId="BalloonTextChar">
    <w:name w:val="Balloon Text Char"/>
    <w:link w:val="BalloonText"/>
    <w:rsid w:val="006F03ED"/>
    <w:rPr>
      <w:rFonts w:ascii="Tahoma" w:hAnsi="Tahoma" w:cs="Tahoma"/>
      <w:sz w:val="16"/>
      <w:szCs w:val="16"/>
      <w:lang w:val="en-US" w:eastAsia="en-US"/>
    </w:rPr>
  </w:style>
  <w:style w:type="table" w:styleId="TableGrid">
    <w:name w:val="Table Grid"/>
    <w:basedOn w:val="TableNormal"/>
    <w:rsid w:val="0041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rsid w:val="001C3835"/>
  </w:style>
  <w:style w:type="paragraph" w:styleId="ListParagraph">
    <w:name w:val="List Paragraph"/>
    <w:basedOn w:val="Normal"/>
    <w:uiPriority w:val="34"/>
    <w:qFormat/>
    <w:rsid w:val="0076669B"/>
    <w:pPr>
      <w:ind w:left="708"/>
    </w:pPr>
  </w:style>
  <w:style w:type="character" w:styleId="Strong">
    <w:name w:val="Strong"/>
    <w:uiPriority w:val="22"/>
    <w:qFormat/>
    <w:rsid w:val="005D26A0"/>
    <w:rPr>
      <w:b/>
      <w:bCs/>
    </w:rPr>
  </w:style>
  <w:style w:type="table" w:styleId="MediumList2">
    <w:name w:val="Medium List 2"/>
    <w:basedOn w:val="TableNormal"/>
    <w:uiPriority w:val="66"/>
    <w:rsid w:val="00B50816"/>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otnoteTextChar">
    <w:name w:val="Footnote Text Char"/>
    <w:basedOn w:val="DefaultParagraphFont"/>
    <w:link w:val="FootnoteText"/>
    <w:uiPriority w:val="99"/>
    <w:semiHidden/>
    <w:rsid w:val="0049160A"/>
    <w:rPr>
      <w:lang w:val="en-US" w:eastAsia="en-US"/>
    </w:rPr>
  </w:style>
  <w:style w:type="character" w:customStyle="1" w:styleId="BodyTextChar">
    <w:name w:val="Body Text Char"/>
    <w:basedOn w:val="DefaultParagraphFont"/>
    <w:link w:val="BodyText"/>
    <w:rsid w:val="0049160A"/>
    <w:rPr>
      <w:b/>
      <w:sz w:val="28"/>
      <w:szCs w:val="24"/>
      <w:lang w:val="en-GB" w:eastAsia="en-US"/>
    </w:rPr>
  </w:style>
  <w:style w:type="paragraph" w:styleId="CommentText">
    <w:name w:val="annotation text"/>
    <w:basedOn w:val="Normal"/>
    <w:link w:val="CommentTextChar"/>
    <w:rsid w:val="00225A4E"/>
    <w:rPr>
      <w:sz w:val="20"/>
      <w:szCs w:val="20"/>
    </w:rPr>
  </w:style>
  <w:style w:type="character" w:customStyle="1" w:styleId="CommentTextChar">
    <w:name w:val="Comment Text Char"/>
    <w:basedOn w:val="DefaultParagraphFont"/>
    <w:link w:val="CommentText"/>
    <w:rsid w:val="00225A4E"/>
    <w:rPr>
      <w:lang w:val="en-US" w:eastAsia="en-US"/>
    </w:rPr>
  </w:style>
  <w:style w:type="paragraph" w:styleId="CommentSubject">
    <w:name w:val="annotation subject"/>
    <w:basedOn w:val="CommentText"/>
    <w:next w:val="CommentText"/>
    <w:link w:val="CommentSubjectChar"/>
    <w:uiPriority w:val="99"/>
    <w:unhideWhenUsed/>
    <w:rsid w:val="00225A4E"/>
    <w:pPr>
      <w:spacing w:after="200"/>
    </w:pPr>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rsid w:val="00225A4E"/>
    <w:rPr>
      <w:rFonts w:asciiTheme="minorHAnsi" w:eastAsiaTheme="minorHAnsi" w:hAnsiTheme="minorHAnsi" w:cstheme="minorBidi"/>
      <w:b/>
      <w:bCs/>
      <w:lang w:val="en-US" w:eastAsia="en-US"/>
    </w:rPr>
  </w:style>
  <w:style w:type="character" w:customStyle="1" w:styleId="citation">
    <w:name w:val="citation"/>
    <w:basedOn w:val="DefaultParagraphFont"/>
    <w:rsid w:val="00225A4E"/>
  </w:style>
  <w:style w:type="character" w:styleId="LineNumber">
    <w:name w:val="line number"/>
    <w:basedOn w:val="DefaultParagraphFont"/>
    <w:rsid w:val="005B6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612827">
      <w:bodyDiv w:val="1"/>
      <w:marLeft w:val="0"/>
      <w:marRight w:val="0"/>
      <w:marTop w:val="0"/>
      <w:marBottom w:val="0"/>
      <w:divBdr>
        <w:top w:val="none" w:sz="0" w:space="0" w:color="auto"/>
        <w:left w:val="none" w:sz="0" w:space="0" w:color="auto"/>
        <w:bottom w:val="none" w:sz="0" w:space="0" w:color="auto"/>
        <w:right w:val="none" w:sz="0" w:space="0" w:color="auto"/>
      </w:divBdr>
    </w:div>
    <w:div w:id="121361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ti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palic@efzg.h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10.tif"/><Relationship Id="rId30"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FFD7-8E39-4AFB-8806-1FCDE936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4922</Words>
  <Characters>28062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Prof</vt:lpstr>
    </vt:vector>
  </TitlesOfParts>
  <Company>efst</Company>
  <LinksUpToDate>false</LinksUpToDate>
  <CharactersWithSpaces>32919</CharactersWithSpaces>
  <SharedDoc>false</SharedDoc>
  <HLinks>
    <vt:vector size="6" baseType="variant">
      <vt:variant>
        <vt:i4>3145847</vt:i4>
      </vt:variant>
      <vt:variant>
        <vt:i4>6</vt:i4>
      </vt:variant>
      <vt:variant>
        <vt:i4>0</vt:i4>
      </vt:variant>
      <vt:variant>
        <vt:i4>5</vt:i4>
      </vt:variant>
      <vt:variant>
        <vt:lpwstr>http://www.nber.org/cycles.html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dc:title>
  <dc:creator>djelatnik</dc:creator>
  <cp:lastModifiedBy>Helena</cp:lastModifiedBy>
  <cp:revision>34</cp:revision>
  <cp:lastPrinted>2014-12-10T15:39:00Z</cp:lastPrinted>
  <dcterms:created xsi:type="dcterms:W3CDTF">2014-11-25T18:48:00Z</dcterms:created>
  <dcterms:modified xsi:type="dcterms:W3CDTF">2014-12-11T09:11:00Z</dcterms:modified>
</cp:coreProperties>
</file>