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1DF" w:rsidRDefault="00C1267A" w:rsidP="00DE0069">
      <w:pPr>
        <w:jc w:val="center"/>
        <w:rPr>
          <w:b/>
          <w:bCs/>
          <w:sz w:val="28"/>
          <w:szCs w:val="28"/>
          <w:lang w:val="en-GB"/>
        </w:rPr>
      </w:pPr>
      <w:r>
        <w:rPr>
          <w:b/>
          <w:bCs/>
          <w:sz w:val="28"/>
          <w:szCs w:val="28"/>
          <w:lang w:val="en-GB"/>
        </w:rPr>
        <w:t>Analysis of multiplier</w:t>
      </w:r>
      <w:r w:rsidR="004811DF">
        <w:rPr>
          <w:b/>
          <w:bCs/>
          <w:sz w:val="28"/>
          <w:szCs w:val="28"/>
          <w:lang w:val="en-GB"/>
        </w:rPr>
        <w:t xml:space="preserve"> effects of ICT sector</w:t>
      </w:r>
      <w:r w:rsidR="0093762D">
        <w:rPr>
          <w:b/>
          <w:bCs/>
          <w:sz w:val="28"/>
          <w:szCs w:val="28"/>
          <w:lang w:val="en-GB"/>
        </w:rPr>
        <w:t>s</w:t>
      </w:r>
      <w:r w:rsidR="004811DF">
        <w:rPr>
          <w:b/>
          <w:bCs/>
          <w:sz w:val="28"/>
          <w:szCs w:val="28"/>
          <w:lang w:val="en-GB"/>
        </w:rPr>
        <w:t xml:space="preserve"> - Croatian example</w:t>
      </w:r>
    </w:p>
    <w:p w:rsidR="00FA2158" w:rsidRDefault="00FA2158" w:rsidP="00FA2158">
      <w:pPr>
        <w:jc w:val="center"/>
        <w:rPr>
          <w:b/>
          <w:bCs/>
          <w:sz w:val="28"/>
          <w:szCs w:val="28"/>
          <w:lang w:val="en-GB"/>
        </w:rPr>
      </w:pPr>
      <w:r>
        <w:rPr>
          <w:b/>
          <w:bCs/>
          <w:sz w:val="28"/>
          <w:szCs w:val="28"/>
          <w:lang w:val="en-GB"/>
        </w:rPr>
        <w:t xml:space="preserve">Multiplier effects of ICT sectors </w:t>
      </w:r>
    </w:p>
    <w:p w:rsidR="00FA2158" w:rsidRDefault="00FA2158" w:rsidP="00FA2158">
      <w:pPr>
        <w:jc w:val="center"/>
        <w:rPr>
          <w:b/>
          <w:bCs/>
          <w:sz w:val="28"/>
          <w:szCs w:val="28"/>
          <w:lang w:val="en-GB"/>
        </w:rPr>
      </w:pPr>
      <w:r>
        <w:rPr>
          <w:b/>
          <w:bCs/>
          <w:sz w:val="28"/>
          <w:szCs w:val="28"/>
          <w:lang w:val="en-GB"/>
        </w:rPr>
        <w:t>Analysis of multiplier effects of ICT sectors - Croatian example</w:t>
      </w:r>
    </w:p>
    <w:p w:rsidR="00FA2158" w:rsidRDefault="00FA2158" w:rsidP="00DE0069">
      <w:pPr>
        <w:jc w:val="center"/>
        <w:rPr>
          <w:b/>
          <w:bCs/>
          <w:sz w:val="28"/>
          <w:szCs w:val="28"/>
          <w:lang w:val="en-GB"/>
        </w:rPr>
      </w:pPr>
    </w:p>
    <w:p w:rsidR="00DC1C9B" w:rsidRDefault="00DC1C9B">
      <w:pPr>
        <w:jc w:val="center"/>
        <w:rPr>
          <w:b/>
          <w:bCs/>
          <w:lang w:val="en-GB"/>
        </w:rPr>
      </w:pPr>
    </w:p>
    <w:p w:rsidR="00D5211A" w:rsidRPr="00C81192" w:rsidRDefault="00D5211A" w:rsidP="00D31032">
      <w:pPr>
        <w:spacing w:after="240"/>
        <w:rPr>
          <w:b/>
          <w:bCs/>
          <w:lang w:val="en-GB"/>
        </w:rPr>
      </w:pPr>
      <w:r w:rsidRPr="00C81192">
        <w:rPr>
          <w:b/>
          <w:bCs/>
          <w:lang w:val="en-GB"/>
        </w:rPr>
        <w:t>Abstract</w:t>
      </w:r>
    </w:p>
    <w:p w:rsidR="00D31032" w:rsidRPr="00DC6BAB" w:rsidRDefault="00D31032" w:rsidP="00D31032">
      <w:pPr>
        <w:spacing w:line="360" w:lineRule="auto"/>
        <w:rPr>
          <w:rFonts w:eastAsiaTheme="minorEastAsia"/>
          <w:sz w:val="22"/>
          <w:szCs w:val="22"/>
          <w:lang w:val="en-GB"/>
        </w:rPr>
      </w:pPr>
      <w:r w:rsidRPr="00DC6BAB">
        <w:rPr>
          <w:rFonts w:eastAsiaTheme="minorEastAsia"/>
          <w:sz w:val="22"/>
          <w:szCs w:val="22"/>
          <w:lang w:val="en-GB"/>
        </w:rPr>
        <w:t xml:space="preserve">The impact of </w:t>
      </w:r>
      <w:r w:rsidR="004811DF">
        <w:rPr>
          <w:sz w:val="22"/>
          <w:szCs w:val="22"/>
          <w:lang w:val="en-GB"/>
        </w:rPr>
        <w:t>Information and Communication T</w:t>
      </w:r>
      <w:r w:rsidRPr="00DC6BAB">
        <w:rPr>
          <w:sz w:val="22"/>
          <w:szCs w:val="22"/>
          <w:lang w:val="en-GB"/>
        </w:rPr>
        <w:t>echnology (</w:t>
      </w:r>
      <w:r w:rsidRPr="00DC6BAB">
        <w:rPr>
          <w:rFonts w:eastAsiaTheme="minorEastAsia"/>
          <w:sz w:val="22"/>
          <w:szCs w:val="22"/>
          <w:lang w:val="en-GB"/>
        </w:rPr>
        <w:t>ICT) on economic growth and development has nowadays proven to be s</w:t>
      </w:r>
      <w:r w:rsidR="004811DF">
        <w:rPr>
          <w:rFonts w:eastAsiaTheme="minorEastAsia"/>
          <w:sz w:val="22"/>
          <w:szCs w:val="22"/>
          <w:lang w:val="en-GB"/>
        </w:rPr>
        <w:t>ignificant for almost all</w:t>
      </w:r>
      <w:r w:rsidRPr="00DC6BAB">
        <w:rPr>
          <w:rFonts w:eastAsiaTheme="minorEastAsia"/>
          <w:sz w:val="22"/>
          <w:szCs w:val="22"/>
          <w:lang w:val="en-GB"/>
        </w:rPr>
        <w:t xml:space="preserve"> national economies. In this </w:t>
      </w:r>
      <w:proofErr w:type="gramStart"/>
      <w:r w:rsidRPr="00DC6BAB">
        <w:rPr>
          <w:rFonts w:eastAsiaTheme="minorEastAsia"/>
          <w:sz w:val="22"/>
          <w:szCs w:val="22"/>
          <w:lang w:val="en-GB"/>
        </w:rPr>
        <w:t>paper</w:t>
      </w:r>
      <w:proofErr w:type="gramEnd"/>
      <w:r w:rsidRPr="00DC6BAB">
        <w:rPr>
          <w:rFonts w:eastAsiaTheme="minorEastAsia"/>
          <w:sz w:val="22"/>
          <w:szCs w:val="22"/>
          <w:lang w:val="en-GB"/>
        </w:rPr>
        <w:t xml:space="preserve"> the quantitative analysis confirmed its significance </w:t>
      </w:r>
      <w:r w:rsidR="004811DF">
        <w:rPr>
          <w:rFonts w:eastAsiaTheme="minorEastAsia"/>
          <w:sz w:val="22"/>
          <w:szCs w:val="22"/>
          <w:lang w:val="en-GB"/>
        </w:rPr>
        <w:t xml:space="preserve">by </w:t>
      </w:r>
      <w:r w:rsidRPr="00DC6BAB">
        <w:rPr>
          <w:rFonts w:eastAsiaTheme="minorEastAsia"/>
          <w:sz w:val="22"/>
          <w:szCs w:val="22"/>
          <w:lang w:val="en-GB"/>
        </w:rPr>
        <w:t>using the input-output</w:t>
      </w:r>
      <w:r w:rsidR="00B65D86">
        <w:rPr>
          <w:rFonts w:eastAsiaTheme="minorEastAsia"/>
          <w:sz w:val="22"/>
          <w:szCs w:val="22"/>
          <w:lang w:val="en-GB"/>
        </w:rPr>
        <w:t xml:space="preserve"> (IO)</w:t>
      </w:r>
      <w:r w:rsidRPr="00DC6BAB">
        <w:rPr>
          <w:rFonts w:eastAsiaTheme="minorEastAsia"/>
          <w:sz w:val="22"/>
          <w:szCs w:val="22"/>
          <w:lang w:val="en-GB"/>
        </w:rPr>
        <w:t xml:space="preserve"> method. The direct and indirect effects of the ICT sectors</w:t>
      </w:r>
      <w:r>
        <w:rPr>
          <w:rFonts w:eastAsiaTheme="minorEastAsia"/>
          <w:sz w:val="22"/>
          <w:szCs w:val="22"/>
          <w:lang w:val="en-GB"/>
        </w:rPr>
        <w:t xml:space="preserve"> are analys</w:t>
      </w:r>
      <w:r w:rsidR="004811DF">
        <w:rPr>
          <w:rFonts w:eastAsiaTheme="minorEastAsia"/>
          <w:sz w:val="22"/>
          <w:szCs w:val="22"/>
          <w:lang w:val="en-GB"/>
        </w:rPr>
        <w:t>ed,</w:t>
      </w:r>
      <w:r w:rsidRPr="00DC6BAB">
        <w:rPr>
          <w:rFonts w:eastAsiaTheme="minorEastAsia"/>
          <w:sz w:val="22"/>
          <w:szCs w:val="22"/>
          <w:lang w:val="en-GB"/>
        </w:rPr>
        <w:t xml:space="preserve"> simple output multipliers and simple value added multipliers are calcula</w:t>
      </w:r>
      <w:r w:rsidR="004811DF">
        <w:rPr>
          <w:rFonts w:eastAsiaTheme="minorEastAsia"/>
          <w:sz w:val="22"/>
          <w:szCs w:val="22"/>
          <w:lang w:val="en-GB"/>
        </w:rPr>
        <w:t>ted. The ICT multipliers for Croatian economy in</w:t>
      </w:r>
      <w:r w:rsidRPr="00DC6BAB">
        <w:rPr>
          <w:rFonts w:eastAsiaTheme="minorEastAsia"/>
          <w:sz w:val="22"/>
          <w:szCs w:val="22"/>
          <w:lang w:val="en-GB"/>
        </w:rPr>
        <w:t xml:space="preserve"> 2010</w:t>
      </w:r>
      <w:r w:rsidR="004811DF">
        <w:rPr>
          <w:rFonts w:eastAsiaTheme="minorEastAsia"/>
          <w:sz w:val="22"/>
          <w:szCs w:val="22"/>
          <w:lang w:val="en-GB"/>
        </w:rPr>
        <w:t>, when</w:t>
      </w:r>
      <w:r w:rsidRPr="00DC6BAB">
        <w:rPr>
          <w:rFonts w:eastAsiaTheme="minorEastAsia"/>
          <w:sz w:val="22"/>
          <w:szCs w:val="22"/>
          <w:lang w:val="en-GB"/>
        </w:rPr>
        <w:t xml:space="preserve"> compared to the multipliers for other sectors</w:t>
      </w:r>
      <w:r w:rsidR="004811DF">
        <w:rPr>
          <w:rFonts w:eastAsiaTheme="minorEastAsia"/>
          <w:sz w:val="22"/>
          <w:szCs w:val="22"/>
          <w:lang w:val="en-GB"/>
        </w:rPr>
        <w:t>,</w:t>
      </w:r>
      <w:r w:rsidRPr="00DC6BAB">
        <w:rPr>
          <w:rFonts w:eastAsiaTheme="minorEastAsia"/>
          <w:sz w:val="22"/>
          <w:szCs w:val="22"/>
          <w:lang w:val="en-GB"/>
        </w:rPr>
        <w:t xml:space="preserve"> do not show </w:t>
      </w:r>
      <w:r w:rsidR="004811DF">
        <w:rPr>
          <w:rFonts w:eastAsiaTheme="minorEastAsia"/>
          <w:sz w:val="22"/>
          <w:szCs w:val="22"/>
          <w:lang w:val="en-GB"/>
        </w:rPr>
        <w:t xml:space="preserve">any </w:t>
      </w:r>
      <w:r w:rsidRPr="00DC6BAB">
        <w:rPr>
          <w:rFonts w:eastAsiaTheme="minorEastAsia"/>
          <w:sz w:val="22"/>
          <w:szCs w:val="22"/>
          <w:lang w:val="en-GB"/>
        </w:rPr>
        <w:t xml:space="preserve">significant differences. </w:t>
      </w:r>
      <w:r w:rsidRPr="00345F9A">
        <w:rPr>
          <w:rFonts w:eastAsiaTheme="minorEastAsia"/>
          <w:sz w:val="22"/>
          <w:szCs w:val="22"/>
          <w:lang w:val="en-GB"/>
        </w:rPr>
        <w:t>The greatest value</w:t>
      </w:r>
      <w:r w:rsidR="00345F9A">
        <w:rPr>
          <w:rFonts w:eastAsiaTheme="minorEastAsia"/>
          <w:sz w:val="22"/>
          <w:szCs w:val="22"/>
          <w:lang w:val="en-GB"/>
        </w:rPr>
        <w:t>s</w:t>
      </w:r>
      <w:r w:rsidR="004811DF" w:rsidRPr="00345F9A">
        <w:rPr>
          <w:rFonts w:eastAsiaTheme="minorEastAsia"/>
          <w:sz w:val="22"/>
          <w:szCs w:val="22"/>
          <w:lang w:val="en-GB"/>
        </w:rPr>
        <w:t xml:space="preserve"> </w:t>
      </w:r>
      <w:proofErr w:type="gramStart"/>
      <w:r w:rsidR="004811DF" w:rsidRPr="00345F9A">
        <w:rPr>
          <w:rFonts w:eastAsiaTheme="minorEastAsia"/>
          <w:sz w:val="22"/>
          <w:szCs w:val="22"/>
          <w:lang w:val="en-GB"/>
        </w:rPr>
        <w:t xml:space="preserve">of </w:t>
      </w:r>
      <w:r w:rsidRPr="00345F9A">
        <w:rPr>
          <w:rFonts w:eastAsiaTheme="minorEastAsia"/>
          <w:sz w:val="22"/>
          <w:szCs w:val="22"/>
          <w:lang w:val="en-GB"/>
        </w:rPr>
        <w:t xml:space="preserve"> multiplier</w:t>
      </w:r>
      <w:r w:rsidR="00DA7C0F" w:rsidRPr="00345F9A">
        <w:rPr>
          <w:rFonts w:eastAsiaTheme="minorEastAsia"/>
          <w:sz w:val="22"/>
          <w:szCs w:val="22"/>
          <w:lang w:val="en-GB"/>
        </w:rPr>
        <w:t>s</w:t>
      </w:r>
      <w:proofErr w:type="gramEnd"/>
      <w:r w:rsidR="00DA7C0F" w:rsidRPr="00345F9A">
        <w:rPr>
          <w:rFonts w:eastAsiaTheme="minorEastAsia"/>
          <w:sz w:val="22"/>
          <w:szCs w:val="22"/>
          <w:lang w:val="en-GB"/>
        </w:rPr>
        <w:t xml:space="preserve"> of all ICT sectors</w:t>
      </w:r>
      <w:r w:rsidR="00345F9A">
        <w:rPr>
          <w:rFonts w:eastAsiaTheme="minorEastAsia"/>
          <w:sz w:val="22"/>
          <w:szCs w:val="22"/>
          <w:lang w:val="en-GB"/>
        </w:rPr>
        <w:t xml:space="preserve"> has one of</w:t>
      </w:r>
      <w:r w:rsidR="004811DF" w:rsidRPr="00345F9A">
        <w:rPr>
          <w:rFonts w:eastAsiaTheme="minorEastAsia"/>
          <w:sz w:val="22"/>
          <w:szCs w:val="22"/>
          <w:lang w:val="en-GB"/>
        </w:rPr>
        <w:t xml:space="preserve"> </w:t>
      </w:r>
      <w:r w:rsidRPr="00345F9A">
        <w:rPr>
          <w:rFonts w:eastAsiaTheme="minorEastAsia"/>
          <w:sz w:val="22"/>
          <w:szCs w:val="22"/>
          <w:lang w:val="en-GB"/>
        </w:rPr>
        <w:t>the service ICT sector.</w:t>
      </w:r>
      <w:r w:rsidR="004811DF" w:rsidRPr="00345F9A">
        <w:rPr>
          <w:rFonts w:eastAsiaTheme="minorEastAsia"/>
          <w:sz w:val="22"/>
          <w:szCs w:val="22"/>
          <w:lang w:val="en-GB"/>
        </w:rPr>
        <w:t xml:space="preserve"> After</w:t>
      </w:r>
      <w:r w:rsidRPr="00345F9A">
        <w:rPr>
          <w:rFonts w:eastAsiaTheme="minorEastAsia"/>
          <w:sz w:val="22"/>
          <w:szCs w:val="22"/>
          <w:lang w:val="en-GB"/>
        </w:rPr>
        <w:t xml:space="preserve"> compa</w:t>
      </w:r>
      <w:r w:rsidR="004811DF" w:rsidRPr="00345F9A">
        <w:rPr>
          <w:rFonts w:eastAsiaTheme="minorEastAsia"/>
          <w:sz w:val="22"/>
          <w:szCs w:val="22"/>
          <w:lang w:val="en-GB"/>
        </w:rPr>
        <w:t>ring</w:t>
      </w:r>
      <w:r w:rsidR="004811DF">
        <w:rPr>
          <w:rFonts w:eastAsiaTheme="minorEastAsia"/>
          <w:sz w:val="22"/>
          <w:szCs w:val="22"/>
          <w:lang w:val="en-GB"/>
        </w:rPr>
        <w:t xml:space="preserve"> the ICT multipliers for Croatian economy in</w:t>
      </w:r>
      <w:r w:rsidRPr="00DC6BAB">
        <w:rPr>
          <w:rFonts w:eastAsiaTheme="minorEastAsia"/>
          <w:sz w:val="22"/>
          <w:szCs w:val="22"/>
          <w:lang w:val="en-GB"/>
        </w:rPr>
        <w:t xml:space="preserve"> 2004 and 2010</w:t>
      </w:r>
      <w:r w:rsidR="004811DF">
        <w:rPr>
          <w:rFonts w:eastAsiaTheme="minorEastAsia"/>
          <w:sz w:val="22"/>
          <w:szCs w:val="22"/>
          <w:lang w:val="en-GB"/>
        </w:rPr>
        <w:t>,</w:t>
      </w:r>
      <w:r w:rsidRPr="00DC6BAB">
        <w:rPr>
          <w:rFonts w:eastAsiaTheme="minorEastAsia"/>
          <w:sz w:val="22"/>
          <w:szCs w:val="22"/>
          <w:lang w:val="en-GB"/>
        </w:rPr>
        <w:t xml:space="preserve"> significant changes </w:t>
      </w:r>
      <w:proofErr w:type="gramStart"/>
      <w:r w:rsidRPr="00DC6BAB">
        <w:rPr>
          <w:rFonts w:eastAsiaTheme="minorEastAsia"/>
          <w:sz w:val="22"/>
          <w:szCs w:val="22"/>
          <w:lang w:val="en-GB"/>
        </w:rPr>
        <w:t>are also not observed</w:t>
      </w:r>
      <w:proofErr w:type="gramEnd"/>
      <w:r w:rsidRPr="00DC6BAB">
        <w:rPr>
          <w:rFonts w:eastAsiaTheme="minorEastAsia"/>
          <w:sz w:val="22"/>
          <w:szCs w:val="22"/>
          <w:lang w:val="en-GB"/>
        </w:rPr>
        <w:t xml:space="preserve">. In addition to Croatia, multiplier analysis of the ICT sectors </w:t>
      </w:r>
      <w:proofErr w:type="gramStart"/>
      <w:r w:rsidRPr="00DC6BAB">
        <w:rPr>
          <w:rFonts w:eastAsiaTheme="minorEastAsia"/>
          <w:sz w:val="22"/>
          <w:szCs w:val="22"/>
          <w:lang w:val="en-GB"/>
        </w:rPr>
        <w:t>has been achieved</w:t>
      </w:r>
      <w:proofErr w:type="gramEnd"/>
      <w:r w:rsidRPr="00DC6BAB">
        <w:rPr>
          <w:rFonts w:eastAsiaTheme="minorEastAsia"/>
          <w:sz w:val="22"/>
          <w:szCs w:val="22"/>
          <w:lang w:val="en-GB"/>
        </w:rPr>
        <w:t xml:space="preserve"> for the group of European Union</w:t>
      </w:r>
      <w:r w:rsidR="007E136B">
        <w:rPr>
          <w:rFonts w:eastAsiaTheme="minorEastAsia"/>
          <w:sz w:val="22"/>
          <w:szCs w:val="22"/>
          <w:lang w:val="en-GB"/>
        </w:rPr>
        <w:t xml:space="preserve"> (EU)</w:t>
      </w:r>
      <w:r w:rsidRPr="00DC6BAB">
        <w:rPr>
          <w:rFonts w:eastAsiaTheme="minorEastAsia"/>
          <w:sz w:val="22"/>
          <w:szCs w:val="22"/>
          <w:lang w:val="en-GB"/>
        </w:rPr>
        <w:t xml:space="preserve"> new and long-standing member states. It </w:t>
      </w:r>
      <w:proofErr w:type="gramStart"/>
      <w:r w:rsidRPr="00DC6BAB">
        <w:rPr>
          <w:rFonts w:eastAsiaTheme="minorEastAsia"/>
          <w:sz w:val="22"/>
          <w:szCs w:val="22"/>
          <w:lang w:val="en-GB"/>
        </w:rPr>
        <w:t>is concluded</w:t>
      </w:r>
      <w:proofErr w:type="gramEnd"/>
      <w:r w:rsidRPr="00DC6BAB">
        <w:rPr>
          <w:rFonts w:eastAsiaTheme="minorEastAsia"/>
          <w:sz w:val="22"/>
          <w:szCs w:val="22"/>
          <w:lang w:val="en-GB"/>
        </w:rPr>
        <w:t xml:space="preserve"> that</w:t>
      </w:r>
      <w:r w:rsidR="004811DF">
        <w:rPr>
          <w:rFonts w:eastAsiaTheme="minorEastAsia"/>
          <w:sz w:val="22"/>
          <w:szCs w:val="22"/>
          <w:lang w:val="en-GB"/>
        </w:rPr>
        <w:t>,</w:t>
      </w:r>
      <w:r w:rsidRPr="00DC6BAB">
        <w:rPr>
          <w:rFonts w:eastAsiaTheme="minorEastAsia"/>
          <w:sz w:val="22"/>
          <w:szCs w:val="22"/>
          <w:lang w:val="en-GB"/>
        </w:rPr>
        <w:t xml:space="preserve"> in new member s</w:t>
      </w:r>
      <w:r w:rsidR="00DA7C0F">
        <w:rPr>
          <w:rFonts w:eastAsiaTheme="minorEastAsia"/>
          <w:sz w:val="22"/>
          <w:szCs w:val="22"/>
          <w:lang w:val="en-GB"/>
        </w:rPr>
        <w:t>tates</w:t>
      </w:r>
      <w:r w:rsidR="004811DF">
        <w:rPr>
          <w:rFonts w:eastAsiaTheme="minorEastAsia"/>
          <w:sz w:val="22"/>
          <w:szCs w:val="22"/>
          <w:lang w:val="en-GB"/>
        </w:rPr>
        <w:t>,</w:t>
      </w:r>
      <w:r w:rsidR="00DA7C0F">
        <w:rPr>
          <w:rFonts w:eastAsiaTheme="minorEastAsia"/>
          <w:sz w:val="22"/>
          <w:szCs w:val="22"/>
          <w:lang w:val="en-GB"/>
        </w:rPr>
        <w:t xml:space="preserve"> the implementation and usa</w:t>
      </w:r>
      <w:r w:rsidRPr="00DC6BAB">
        <w:rPr>
          <w:rFonts w:eastAsiaTheme="minorEastAsia"/>
          <w:sz w:val="22"/>
          <w:szCs w:val="22"/>
          <w:lang w:val="en-GB"/>
        </w:rPr>
        <w:t>ge of t</w:t>
      </w:r>
      <w:r w:rsidR="004811DF">
        <w:rPr>
          <w:rFonts w:eastAsiaTheme="minorEastAsia"/>
          <w:sz w:val="22"/>
          <w:szCs w:val="22"/>
          <w:lang w:val="en-GB"/>
        </w:rPr>
        <w:t>he ICT has lower contribution to</w:t>
      </w:r>
      <w:r w:rsidRPr="00DC6BAB">
        <w:rPr>
          <w:rFonts w:eastAsiaTheme="minorEastAsia"/>
          <w:sz w:val="22"/>
          <w:szCs w:val="22"/>
          <w:lang w:val="en-GB"/>
        </w:rPr>
        <w:t xml:space="preserve"> their economic growth and development.</w:t>
      </w:r>
    </w:p>
    <w:p w:rsidR="00D5211A" w:rsidRPr="00D5211A" w:rsidRDefault="00D5211A" w:rsidP="00C956C2">
      <w:pPr>
        <w:jc w:val="center"/>
        <w:rPr>
          <w:b/>
          <w:bCs/>
        </w:rPr>
      </w:pPr>
    </w:p>
    <w:p w:rsidR="00DC1C9B" w:rsidRDefault="00DC1C9B" w:rsidP="00C956C2">
      <w:pPr>
        <w:rPr>
          <w:i/>
          <w:iCs/>
          <w:lang w:val="en-GB"/>
        </w:rPr>
      </w:pPr>
      <w:r w:rsidRPr="00DC1C9B">
        <w:rPr>
          <w:b/>
          <w:bCs/>
          <w:lang w:val="en-GB"/>
        </w:rPr>
        <w:t xml:space="preserve">Keywords: </w:t>
      </w:r>
      <w:r w:rsidRPr="00DC1C9B">
        <w:rPr>
          <w:b/>
          <w:bCs/>
          <w:lang w:val="en-GB"/>
        </w:rPr>
        <w:tab/>
      </w:r>
      <w:r w:rsidR="0032159D">
        <w:rPr>
          <w:i/>
          <w:iCs/>
          <w:lang w:val="en-GB"/>
        </w:rPr>
        <w:t>ICT</w:t>
      </w:r>
      <w:r w:rsidR="00B81A7B">
        <w:rPr>
          <w:i/>
          <w:iCs/>
          <w:lang w:val="en-GB"/>
        </w:rPr>
        <w:t xml:space="preserve"> sectors</w:t>
      </w:r>
      <w:r w:rsidR="00D96FFA">
        <w:rPr>
          <w:i/>
          <w:iCs/>
          <w:lang w:val="en-GB"/>
        </w:rPr>
        <w:t xml:space="preserve">, </w:t>
      </w:r>
      <w:r w:rsidR="0032159D">
        <w:rPr>
          <w:i/>
          <w:iCs/>
          <w:lang w:val="en-GB"/>
        </w:rPr>
        <w:t>input-output analysis</w:t>
      </w:r>
      <w:r w:rsidR="00D96FFA">
        <w:rPr>
          <w:i/>
          <w:iCs/>
          <w:lang w:val="en-GB"/>
        </w:rPr>
        <w:t xml:space="preserve">, </w:t>
      </w:r>
      <w:r w:rsidR="0032159D">
        <w:rPr>
          <w:i/>
          <w:iCs/>
          <w:lang w:val="en-GB"/>
        </w:rPr>
        <w:t>simple multipliers</w:t>
      </w:r>
    </w:p>
    <w:p w:rsidR="001760F5" w:rsidRDefault="001760F5" w:rsidP="00C956C2">
      <w:pPr>
        <w:rPr>
          <w:i/>
          <w:iCs/>
          <w:lang w:val="en-GB"/>
        </w:rPr>
      </w:pPr>
    </w:p>
    <w:p w:rsidR="001760F5" w:rsidRPr="001760F5" w:rsidRDefault="001760F5" w:rsidP="001760F5">
      <w:pPr>
        <w:jc w:val="center"/>
        <w:rPr>
          <w:iCs/>
          <w:lang w:val="en-GB"/>
        </w:rPr>
      </w:pPr>
      <w:r>
        <w:rPr>
          <w:iCs/>
          <w:lang w:val="en-GB"/>
        </w:rPr>
        <w:t xml:space="preserve">Received: xx </w:t>
      </w:r>
      <w:proofErr w:type="spellStart"/>
      <w:r>
        <w:rPr>
          <w:iCs/>
          <w:lang w:val="en-GB"/>
        </w:rPr>
        <w:t>xx</w:t>
      </w:r>
      <w:proofErr w:type="spellEnd"/>
      <w:r>
        <w:rPr>
          <w:iCs/>
          <w:lang w:val="en-GB"/>
        </w:rPr>
        <w:t xml:space="preserve">, 201x; accepted: </w:t>
      </w:r>
      <w:proofErr w:type="spellStart"/>
      <w:r>
        <w:rPr>
          <w:iCs/>
          <w:lang w:val="en-GB"/>
        </w:rPr>
        <w:t>yy</w:t>
      </w:r>
      <w:proofErr w:type="spellEnd"/>
      <w:r>
        <w:rPr>
          <w:iCs/>
          <w:lang w:val="en-GB"/>
        </w:rPr>
        <w:t xml:space="preserve"> </w:t>
      </w:r>
      <w:proofErr w:type="spellStart"/>
      <w:r>
        <w:rPr>
          <w:iCs/>
          <w:lang w:val="en-GB"/>
        </w:rPr>
        <w:t>yy</w:t>
      </w:r>
      <w:proofErr w:type="spellEnd"/>
      <w:r>
        <w:rPr>
          <w:iCs/>
          <w:lang w:val="en-GB"/>
        </w:rPr>
        <w:t xml:space="preserve"> 201x; available online: </w:t>
      </w:r>
      <w:proofErr w:type="spellStart"/>
      <w:r>
        <w:rPr>
          <w:iCs/>
          <w:lang w:val="en-GB"/>
        </w:rPr>
        <w:t>zz</w:t>
      </w:r>
      <w:proofErr w:type="spellEnd"/>
      <w:r>
        <w:rPr>
          <w:iCs/>
          <w:lang w:val="en-GB"/>
        </w:rPr>
        <w:t xml:space="preserve"> </w:t>
      </w:r>
      <w:proofErr w:type="spellStart"/>
      <w:r>
        <w:rPr>
          <w:iCs/>
          <w:lang w:val="en-GB"/>
        </w:rPr>
        <w:t>zz</w:t>
      </w:r>
      <w:proofErr w:type="spellEnd"/>
      <w:r>
        <w:rPr>
          <w:iCs/>
          <w:lang w:val="en-GB"/>
        </w:rPr>
        <w:t>; 201x</w:t>
      </w:r>
    </w:p>
    <w:p w:rsidR="00CE6038" w:rsidRDefault="00CE6038" w:rsidP="00C956C2">
      <w:pPr>
        <w:pBdr>
          <w:bottom w:val="single" w:sz="6" w:space="1" w:color="auto"/>
        </w:pBdr>
        <w:rPr>
          <w:b/>
          <w:bCs/>
          <w:lang w:val="en-GB"/>
        </w:rPr>
      </w:pPr>
    </w:p>
    <w:p w:rsidR="008460EB" w:rsidRDefault="008460EB" w:rsidP="008460EB">
      <w:pPr>
        <w:autoSpaceDE w:val="0"/>
        <w:autoSpaceDN w:val="0"/>
        <w:adjustRightInd w:val="0"/>
        <w:rPr>
          <w:b/>
          <w:color w:val="FF0000"/>
          <w:sz w:val="22"/>
          <w:szCs w:val="22"/>
        </w:rPr>
      </w:pPr>
    </w:p>
    <w:p w:rsidR="00DC1C9B" w:rsidRDefault="00DC1C9B">
      <w:pPr>
        <w:rPr>
          <w:lang w:val="en-GB"/>
        </w:rPr>
      </w:pPr>
    </w:p>
    <w:p w:rsidR="00EA358F" w:rsidRDefault="00CE6038" w:rsidP="00EA358F">
      <w:pPr>
        <w:spacing w:before="0"/>
        <w:rPr>
          <w:b/>
          <w:bCs/>
          <w:sz w:val="28"/>
          <w:szCs w:val="28"/>
          <w:lang w:val="en-GB"/>
        </w:rPr>
      </w:pPr>
      <w:r w:rsidRPr="006D6858">
        <w:rPr>
          <w:b/>
          <w:bCs/>
          <w:sz w:val="28"/>
          <w:szCs w:val="28"/>
          <w:lang w:val="en-GB"/>
        </w:rPr>
        <w:t>1.</w:t>
      </w:r>
      <w:r w:rsidR="004811DF">
        <w:rPr>
          <w:b/>
          <w:bCs/>
          <w:sz w:val="28"/>
          <w:szCs w:val="28"/>
          <w:lang w:val="en-GB"/>
        </w:rPr>
        <w:t xml:space="preserve"> </w:t>
      </w:r>
      <w:r w:rsidR="00C956C2">
        <w:rPr>
          <w:b/>
          <w:bCs/>
          <w:sz w:val="28"/>
          <w:szCs w:val="28"/>
          <w:lang w:val="en-GB"/>
        </w:rPr>
        <w:t>Introduction</w:t>
      </w:r>
    </w:p>
    <w:p w:rsidR="00EA358F" w:rsidRPr="00EA358F" w:rsidRDefault="00EA358F" w:rsidP="00EA358F">
      <w:pPr>
        <w:spacing w:before="0"/>
        <w:rPr>
          <w:b/>
          <w:bCs/>
          <w:lang w:val="en-GB"/>
        </w:rPr>
      </w:pPr>
    </w:p>
    <w:p w:rsidR="006D6858" w:rsidRDefault="004811DF" w:rsidP="0048562F">
      <w:pPr>
        <w:spacing w:before="0"/>
        <w:rPr>
          <w:lang w:val="en-GB"/>
        </w:rPr>
      </w:pPr>
      <w:r>
        <w:rPr>
          <w:lang w:val="en-GB"/>
        </w:rPr>
        <w:t>Information and Communication T</w:t>
      </w:r>
      <w:r w:rsidR="0032159D" w:rsidRPr="00423027">
        <w:rPr>
          <w:lang w:val="en-GB"/>
        </w:rPr>
        <w:t xml:space="preserve">echnology (ICT) has become the most important driver of continued growth and </w:t>
      </w:r>
      <w:r>
        <w:rPr>
          <w:lang w:val="en-GB"/>
        </w:rPr>
        <w:t>development of each economy</w:t>
      </w:r>
      <w:r w:rsidR="00C1267A">
        <w:rPr>
          <w:lang w:val="en-GB"/>
        </w:rPr>
        <w:t>,</w:t>
      </w:r>
      <w:r>
        <w:rPr>
          <w:lang w:val="en-GB"/>
        </w:rPr>
        <w:t xml:space="preserve"> which </w:t>
      </w:r>
      <w:r w:rsidR="0032159D" w:rsidRPr="00423027">
        <w:rPr>
          <w:lang w:val="en-GB"/>
        </w:rPr>
        <w:t>stimulate</w:t>
      </w:r>
      <w:r>
        <w:rPr>
          <w:lang w:val="en-GB"/>
        </w:rPr>
        <w:t>s</w:t>
      </w:r>
      <w:r w:rsidR="0032159D" w:rsidRPr="00423027">
        <w:rPr>
          <w:lang w:val="en-GB"/>
        </w:rPr>
        <w:t xml:space="preserve"> creation of new and more efficient models of organizational structures in the global economy.  ICT </w:t>
      </w:r>
      <w:proofErr w:type="gramStart"/>
      <w:r w:rsidR="0032159D" w:rsidRPr="00423027">
        <w:rPr>
          <w:lang w:val="en-GB"/>
        </w:rPr>
        <w:t>can, among other things, play</w:t>
      </w:r>
      <w:proofErr w:type="gramEnd"/>
      <w:r w:rsidR="0032159D" w:rsidRPr="00423027">
        <w:rPr>
          <w:lang w:val="en-GB"/>
        </w:rPr>
        <w:t xml:space="preserve"> a significant role in globalization of production, as well as in transfer of technologies, enabling constant interaction, regardless of geographical position or time zone via the Internet, mobile communications, digital television an</w:t>
      </w:r>
      <w:r w:rsidR="0048562F">
        <w:rPr>
          <w:lang w:val="en-GB"/>
        </w:rPr>
        <w:t>d e-commerce.</w:t>
      </w:r>
    </w:p>
    <w:p w:rsidR="0048562F" w:rsidRPr="0048562F" w:rsidRDefault="0048562F" w:rsidP="0048562F">
      <w:pPr>
        <w:spacing w:before="0"/>
        <w:rPr>
          <w:sz w:val="22"/>
          <w:szCs w:val="22"/>
          <w:lang w:val="en-GB"/>
        </w:rPr>
      </w:pPr>
    </w:p>
    <w:p w:rsidR="00C956C2" w:rsidRPr="00EA358F" w:rsidRDefault="00B02EBC" w:rsidP="0048562F">
      <w:pPr>
        <w:pStyle w:val="Odlomakpopisa"/>
        <w:numPr>
          <w:ilvl w:val="1"/>
          <w:numId w:val="18"/>
        </w:numPr>
        <w:spacing w:before="0"/>
        <w:ind w:left="357" w:hanging="357"/>
        <w:rPr>
          <w:b/>
          <w:bCs/>
          <w:lang w:val="en-GB"/>
        </w:rPr>
      </w:pPr>
      <w:r w:rsidRPr="00423027">
        <w:rPr>
          <w:b/>
          <w:lang w:val="en-GB"/>
        </w:rPr>
        <w:t>Contribution of ICT to macroeconomic growth and development</w:t>
      </w:r>
    </w:p>
    <w:p w:rsidR="00EA358F" w:rsidRPr="0032159D" w:rsidRDefault="00EA358F" w:rsidP="00EA358F">
      <w:pPr>
        <w:pStyle w:val="Odlomakpopisa"/>
        <w:spacing w:before="0"/>
        <w:ind w:left="357"/>
        <w:rPr>
          <w:b/>
          <w:bCs/>
          <w:lang w:val="en-GB"/>
        </w:rPr>
      </w:pPr>
    </w:p>
    <w:p w:rsidR="00B02EBC" w:rsidRDefault="0032159D" w:rsidP="00EA358F">
      <w:pPr>
        <w:autoSpaceDE w:val="0"/>
        <w:autoSpaceDN w:val="0"/>
        <w:adjustRightInd w:val="0"/>
        <w:rPr>
          <w:lang w:val="hr-HR" w:eastAsia="hr-HR"/>
        </w:rPr>
      </w:pPr>
      <w:r w:rsidRPr="00423027">
        <w:rPr>
          <w:lang w:val="en-GB"/>
        </w:rPr>
        <w:t>The latest research associa</w:t>
      </w:r>
      <w:r w:rsidR="00B65D86">
        <w:rPr>
          <w:lang w:val="en-GB"/>
        </w:rPr>
        <w:t xml:space="preserve">ted with ICT indicates that </w:t>
      </w:r>
      <w:r w:rsidRPr="00423027">
        <w:rPr>
          <w:lang w:val="en-GB"/>
        </w:rPr>
        <w:t xml:space="preserve">dynamics of ICT has indeed become one of the major driving forces for productivity, competitiveness, collaboration, and superposition </w:t>
      </w:r>
      <w:r w:rsidRPr="00423027">
        <w:rPr>
          <w:lang w:val="en-GB"/>
        </w:rPr>
        <w:lastRenderedPageBreak/>
        <w:t xml:space="preserve">of resources on both national and international level </w:t>
      </w:r>
      <w:r w:rsidR="00CA4BEA">
        <w:rPr>
          <w:lang w:val="en-GB"/>
        </w:rPr>
        <w:t>[33], [41]</w:t>
      </w:r>
      <w:r w:rsidRPr="00423027">
        <w:rPr>
          <w:lang w:val="en-GB"/>
        </w:rPr>
        <w:t>. The influence of ICT on productivity, economic growth and total development can be observed through the aspect of investment and utilization of ICT, which contributes to total increase in capital by the employee, higher efficiency, rapid technological progress in production of ICT goods and services</w:t>
      </w:r>
      <w:r w:rsidR="00B65D86">
        <w:rPr>
          <w:lang w:val="en-GB"/>
        </w:rPr>
        <w:t>,</w:t>
      </w:r>
      <w:r w:rsidRPr="00423027">
        <w:rPr>
          <w:lang w:val="en-GB"/>
        </w:rPr>
        <w:t xml:space="preserve"> and faster growth and development of the sole ICT productive sector </w:t>
      </w:r>
      <w:r w:rsidR="00CA4BEA">
        <w:rPr>
          <w:lang w:val="en-GB"/>
        </w:rPr>
        <w:t xml:space="preserve">[1], [35], </w:t>
      </w:r>
      <w:proofErr w:type="gramStart"/>
      <w:r w:rsidR="00CA4BEA">
        <w:rPr>
          <w:lang w:val="en-GB"/>
        </w:rPr>
        <w:t>[</w:t>
      </w:r>
      <w:proofErr w:type="gramEnd"/>
      <w:r w:rsidR="00CA4BEA">
        <w:rPr>
          <w:lang w:val="en-GB"/>
        </w:rPr>
        <w:t>51]</w:t>
      </w:r>
      <w:r w:rsidRPr="00423027">
        <w:rPr>
          <w:lang w:val="en-GB"/>
        </w:rPr>
        <w:t xml:space="preserve">. </w:t>
      </w:r>
      <w:r w:rsidRPr="00345F9A">
        <w:rPr>
          <w:lang w:val="en-GB"/>
        </w:rPr>
        <w:t xml:space="preserve">The significance of goods </w:t>
      </w:r>
      <w:r w:rsidRPr="00423027">
        <w:rPr>
          <w:lang w:val="en-GB"/>
        </w:rPr>
        <w:t xml:space="preserve">of industrial production is decreasing in the leading industrial countries and, instead of it, the importance of production data and information processing is rapidly increasing. Generally speaking, one can presume that, due to transition from industrial to information society on </w:t>
      </w:r>
      <w:proofErr w:type="spellStart"/>
      <w:r w:rsidRPr="00423027">
        <w:rPr>
          <w:lang w:val="en-GB"/>
        </w:rPr>
        <w:t>macroeconomical</w:t>
      </w:r>
      <w:proofErr w:type="spellEnd"/>
      <w:r w:rsidRPr="00423027">
        <w:rPr>
          <w:lang w:val="en-GB"/>
        </w:rPr>
        <w:t xml:space="preserve"> level, the production and consumption of ICT goods and services is significantly increasing</w:t>
      </w:r>
      <w:r w:rsidR="00E53CA6">
        <w:rPr>
          <w:lang w:val="en-GB"/>
        </w:rPr>
        <w:t>,</w:t>
      </w:r>
      <w:r w:rsidRPr="00423027">
        <w:rPr>
          <w:lang w:val="en-GB"/>
        </w:rPr>
        <w:t xml:space="preserve"> which finally positiv</w:t>
      </w:r>
      <w:r w:rsidR="00C1267A">
        <w:rPr>
          <w:lang w:val="en-GB"/>
        </w:rPr>
        <w:t>ely influences</w:t>
      </w:r>
      <w:r w:rsidRPr="00423027">
        <w:rPr>
          <w:lang w:val="en-GB"/>
        </w:rPr>
        <w:t xml:space="preserve"> the growth and development of economy </w:t>
      </w:r>
      <w:r w:rsidR="00CA4BEA">
        <w:rPr>
          <w:lang w:val="en-GB"/>
        </w:rPr>
        <w:t>[9],</w:t>
      </w:r>
      <w:r w:rsidR="002F59A8">
        <w:rPr>
          <w:lang w:val="en-GB"/>
        </w:rPr>
        <w:t xml:space="preserve"> </w:t>
      </w:r>
      <w:r w:rsidR="00CA4BEA">
        <w:rPr>
          <w:lang w:val="en-GB"/>
        </w:rPr>
        <w:t>[27]</w:t>
      </w:r>
      <w:r w:rsidRPr="00423027">
        <w:rPr>
          <w:lang w:val="en-GB"/>
        </w:rPr>
        <w:t>. This was recognized by the United</w:t>
      </w:r>
      <w:r w:rsidR="00C1267A">
        <w:rPr>
          <w:lang w:val="en-GB"/>
        </w:rPr>
        <w:t xml:space="preserve"> States of </w:t>
      </w:r>
      <w:proofErr w:type="gramStart"/>
      <w:r w:rsidR="00C1267A">
        <w:rPr>
          <w:lang w:val="en-GB"/>
        </w:rPr>
        <w:t>America which</w:t>
      </w:r>
      <w:proofErr w:type="gramEnd"/>
      <w:r w:rsidR="00C1267A">
        <w:rPr>
          <w:lang w:val="en-GB"/>
        </w:rPr>
        <w:t xml:space="preserve"> intend</w:t>
      </w:r>
      <w:r w:rsidRPr="00423027">
        <w:rPr>
          <w:lang w:val="en-GB"/>
        </w:rPr>
        <w:t xml:space="preserve"> to invest 7.2 billion dollars in the expansion of ICT and the Internet, as declared in the American Recovery and Reinvestment Act of 2009. Europe has taken a similar </w:t>
      </w:r>
      <w:proofErr w:type="gramStart"/>
      <w:r w:rsidRPr="00423027">
        <w:rPr>
          <w:lang w:val="en-GB"/>
        </w:rPr>
        <w:t>path which is reflected</w:t>
      </w:r>
      <w:proofErr w:type="gramEnd"/>
      <w:r w:rsidRPr="00423027">
        <w:rPr>
          <w:lang w:val="en-GB"/>
        </w:rPr>
        <w:t xml:space="preserve"> in the goals of Digital Agenda: by the year 2020</w:t>
      </w:r>
      <w:r w:rsidR="00C1267A">
        <w:rPr>
          <w:lang w:val="en-GB"/>
        </w:rPr>
        <w:t>,</w:t>
      </w:r>
      <w:r w:rsidRPr="00423027">
        <w:rPr>
          <w:lang w:val="en-GB"/>
        </w:rPr>
        <w:t xml:space="preserve"> at least 50% of Europe's population should have Internet access which will be signific</w:t>
      </w:r>
      <w:r w:rsidR="00B02EBC">
        <w:rPr>
          <w:lang w:val="en-GB"/>
        </w:rPr>
        <w:t>antly stimulate</w:t>
      </w:r>
      <w:r w:rsidR="00B65D86">
        <w:rPr>
          <w:lang w:val="en-GB"/>
        </w:rPr>
        <w:t>d</w:t>
      </w:r>
      <w:r w:rsidR="00B02EBC">
        <w:rPr>
          <w:lang w:val="en-GB"/>
        </w:rPr>
        <w:t xml:space="preserve"> by the projects</w:t>
      </w:r>
      <w:r w:rsidR="00B02EBC" w:rsidRPr="005D26A0">
        <w:rPr>
          <w:lang w:val="hr-HR" w:eastAsia="hr-HR"/>
        </w:rPr>
        <w:t>.</w:t>
      </w:r>
    </w:p>
    <w:p w:rsidR="002F59A8" w:rsidRDefault="0032159D" w:rsidP="00EA358F">
      <w:pPr>
        <w:autoSpaceDE w:val="0"/>
        <w:autoSpaceDN w:val="0"/>
        <w:adjustRightInd w:val="0"/>
        <w:rPr>
          <w:lang w:val="en-GB"/>
        </w:rPr>
      </w:pPr>
      <w:r w:rsidRPr="00423027">
        <w:rPr>
          <w:lang w:val="en-GB"/>
        </w:rPr>
        <w:t xml:space="preserve">Many studies have confirmed that ICT </w:t>
      </w:r>
      <w:proofErr w:type="gramStart"/>
      <w:r w:rsidRPr="00423027">
        <w:rPr>
          <w:lang w:val="en-GB"/>
        </w:rPr>
        <w:t>can also be classified</w:t>
      </w:r>
      <w:proofErr w:type="gramEnd"/>
      <w:r w:rsidRPr="00423027">
        <w:rPr>
          <w:lang w:val="en-GB"/>
        </w:rPr>
        <w:t xml:space="preserve"> as the so-called technologies for general purposes, as ICT is a generic technology because its use expands all productive economic and social systems </w:t>
      </w:r>
      <w:r w:rsidR="00CA4BEA">
        <w:rPr>
          <w:lang w:val="en-GB"/>
        </w:rPr>
        <w:t>[2]</w:t>
      </w:r>
      <w:r w:rsidRPr="00423027">
        <w:rPr>
          <w:lang w:val="en-GB"/>
        </w:rPr>
        <w:t xml:space="preserve">. The main significance of each technology named </w:t>
      </w:r>
      <w:proofErr w:type="gramStart"/>
      <w:r w:rsidRPr="00423027">
        <w:rPr>
          <w:i/>
          <w:lang w:val="en-GB"/>
        </w:rPr>
        <w:t>general purpose</w:t>
      </w:r>
      <w:proofErr w:type="gramEnd"/>
      <w:r w:rsidRPr="00423027">
        <w:rPr>
          <w:i/>
          <w:lang w:val="en-GB"/>
        </w:rPr>
        <w:t xml:space="preserve"> technology</w:t>
      </w:r>
      <w:r w:rsidRPr="00423027">
        <w:rPr>
          <w:lang w:val="en-GB"/>
        </w:rPr>
        <w:t xml:space="preserve"> is that its use leads to fundamental changes in productive processes, </w:t>
      </w:r>
      <w:r w:rsidR="00E53CA6">
        <w:rPr>
          <w:lang w:val="en-GB"/>
        </w:rPr>
        <w:t>while other characteristics are</w:t>
      </w:r>
      <w:r w:rsidRPr="00423027">
        <w:rPr>
          <w:lang w:val="en-GB"/>
        </w:rPr>
        <w:t xml:space="preserve"> fast expansion, technological dynamics and innovative complementarity, which means that productivity in many sectors is increased precisely due to constant progress of ICT technology. The advancement of technologies for general purposes directly reflects on the entire economy in the sense of increased product</w:t>
      </w:r>
      <w:r w:rsidR="00CA4BEA">
        <w:rPr>
          <w:lang w:val="en-GB"/>
        </w:rPr>
        <w:t>ivity [19]</w:t>
      </w:r>
      <w:r w:rsidRPr="00423027">
        <w:rPr>
          <w:lang w:val="en-GB"/>
        </w:rPr>
        <w:t xml:space="preserve">. With regard to these characteristics, ICT is classified in the group of </w:t>
      </w:r>
      <w:proofErr w:type="gramStart"/>
      <w:r w:rsidRPr="00423027">
        <w:rPr>
          <w:i/>
          <w:lang w:val="en-GB"/>
        </w:rPr>
        <w:t>general purpose</w:t>
      </w:r>
      <w:proofErr w:type="gramEnd"/>
      <w:r w:rsidRPr="00423027">
        <w:rPr>
          <w:i/>
          <w:lang w:val="en-GB"/>
        </w:rPr>
        <w:t xml:space="preserve"> technology</w:t>
      </w:r>
      <w:r w:rsidRPr="00423027">
        <w:rPr>
          <w:lang w:val="en-GB"/>
        </w:rPr>
        <w:t xml:space="preserve">, since computers today and all their accompanying equipment are used in nearly all economic and social sectors </w:t>
      </w:r>
      <w:r w:rsidR="00CA4BEA">
        <w:rPr>
          <w:lang w:val="en-GB"/>
        </w:rPr>
        <w:t>[5]</w:t>
      </w:r>
      <w:r w:rsidRPr="00423027">
        <w:rPr>
          <w:lang w:val="en-GB"/>
        </w:rPr>
        <w:t>. The c</w:t>
      </w:r>
      <w:r w:rsidR="00E74489">
        <w:rPr>
          <w:lang w:val="en-GB"/>
        </w:rPr>
        <w:t xml:space="preserve">ontribution of ICT as a </w:t>
      </w:r>
      <w:proofErr w:type="gramStart"/>
      <w:r w:rsidR="00E74489">
        <w:rPr>
          <w:lang w:val="en-GB"/>
        </w:rPr>
        <w:t xml:space="preserve">general </w:t>
      </w:r>
      <w:r w:rsidRPr="00423027">
        <w:rPr>
          <w:lang w:val="en-GB"/>
        </w:rPr>
        <w:t>purpose</w:t>
      </w:r>
      <w:proofErr w:type="gramEnd"/>
      <w:r w:rsidRPr="00423027">
        <w:rPr>
          <w:lang w:val="en-GB"/>
        </w:rPr>
        <w:t xml:space="preserve"> technology was also confirmed by </w:t>
      </w:r>
      <w:proofErr w:type="spellStart"/>
      <w:r w:rsidRPr="00423027">
        <w:rPr>
          <w:lang w:val="en-GB"/>
        </w:rPr>
        <w:t>Jalava</w:t>
      </w:r>
      <w:proofErr w:type="spellEnd"/>
      <w:r w:rsidRPr="00423027">
        <w:rPr>
          <w:lang w:val="en-GB"/>
        </w:rPr>
        <w:t xml:space="preserve"> and </w:t>
      </w:r>
      <w:proofErr w:type="spellStart"/>
      <w:r w:rsidRPr="00423027">
        <w:rPr>
          <w:lang w:val="en-GB"/>
        </w:rPr>
        <w:t>Pohjola</w:t>
      </w:r>
      <w:proofErr w:type="spellEnd"/>
      <w:r w:rsidRPr="00423027">
        <w:rPr>
          <w:lang w:val="en-GB"/>
        </w:rPr>
        <w:t xml:space="preserve"> </w:t>
      </w:r>
      <w:r w:rsidR="00CA4BEA">
        <w:rPr>
          <w:lang w:val="en-GB"/>
        </w:rPr>
        <w:t>[24]</w:t>
      </w:r>
      <w:r w:rsidRPr="00423027">
        <w:rPr>
          <w:lang w:val="en-GB"/>
        </w:rPr>
        <w:t xml:space="preserve"> whose study shows that the ICT contribution to Finland’s GDP between 1990 and 2004 was three times greater than the contribution of electricity from 1920 to 1938.</w:t>
      </w:r>
    </w:p>
    <w:p w:rsidR="00B02EBC" w:rsidRDefault="00B02EBC" w:rsidP="002F59A8">
      <w:pPr>
        <w:autoSpaceDE w:val="0"/>
        <w:autoSpaceDN w:val="0"/>
        <w:adjustRightInd w:val="0"/>
        <w:rPr>
          <w:lang w:val="en-GB"/>
        </w:rPr>
      </w:pPr>
      <w:r>
        <w:rPr>
          <w:lang w:val="en-GB"/>
        </w:rPr>
        <w:t>I</w:t>
      </w:r>
      <w:r w:rsidR="0032159D" w:rsidRPr="00423027">
        <w:rPr>
          <w:lang w:val="en-GB"/>
        </w:rPr>
        <w:t>CT appears to have an even greater impact on the economy</w:t>
      </w:r>
      <w:r w:rsidR="00E859D4">
        <w:rPr>
          <w:lang w:val="en-GB"/>
        </w:rPr>
        <w:t>,</w:t>
      </w:r>
      <w:r w:rsidR="0032159D" w:rsidRPr="00423027">
        <w:rPr>
          <w:lang w:val="en-GB"/>
        </w:rPr>
        <w:t xml:space="preserve"> considering that </w:t>
      </w:r>
      <w:r w:rsidR="00E53CA6">
        <w:rPr>
          <w:lang w:val="en-GB"/>
        </w:rPr>
        <w:t xml:space="preserve">it </w:t>
      </w:r>
      <w:r w:rsidR="0032159D" w:rsidRPr="00423027">
        <w:rPr>
          <w:lang w:val="en-GB"/>
        </w:rPr>
        <w:t>supports many service sectors. This is particularly evident at the present time</w:t>
      </w:r>
      <w:r w:rsidR="00E53CA6">
        <w:rPr>
          <w:lang w:val="en-GB"/>
        </w:rPr>
        <w:t>,</w:t>
      </w:r>
      <w:r w:rsidR="0032159D" w:rsidRPr="00423027">
        <w:rPr>
          <w:lang w:val="en-GB"/>
        </w:rPr>
        <w:t xml:space="preserve"> when new forms of services are gaining importance, such as e-banking, e-commerce, e-learning, e-health, and others services </w:t>
      </w:r>
      <w:r w:rsidR="00CA4BEA">
        <w:rPr>
          <w:lang w:val="en-GB"/>
        </w:rPr>
        <w:t>[15]</w:t>
      </w:r>
      <w:r w:rsidR="0032159D" w:rsidRPr="00423027">
        <w:rPr>
          <w:lang w:val="en-GB"/>
        </w:rPr>
        <w:t xml:space="preserve">, </w:t>
      </w:r>
      <w:r w:rsidR="00CA4BEA">
        <w:rPr>
          <w:lang w:val="en-GB"/>
        </w:rPr>
        <w:t>[45]</w:t>
      </w:r>
      <w:r w:rsidR="0032159D" w:rsidRPr="00423027">
        <w:rPr>
          <w:lang w:val="en-GB"/>
        </w:rPr>
        <w:t xml:space="preserve">. Starting from the </w:t>
      </w:r>
      <w:proofErr w:type="spellStart"/>
      <w:r w:rsidR="0032159D" w:rsidRPr="00423027">
        <w:rPr>
          <w:lang w:val="en-GB"/>
        </w:rPr>
        <w:t>mid 1990s</w:t>
      </w:r>
      <w:proofErr w:type="spellEnd"/>
      <w:r w:rsidR="0032159D" w:rsidRPr="00423027">
        <w:rPr>
          <w:lang w:val="en-GB"/>
        </w:rPr>
        <w:t>, majority of researchers have found a positive correlation between ICT investment and economic performance at each</w:t>
      </w:r>
      <w:r w:rsidR="00E53CA6">
        <w:rPr>
          <w:lang w:val="en-GB"/>
        </w:rPr>
        <w:t xml:space="preserve"> </w:t>
      </w:r>
      <w:r w:rsidR="00716B23" w:rsidRPr="00423027">
        <w:rPr>
          <w:lang w:val="en-GB"/>
        </w:rPr>
        <w:t>aggregation</w:t>
      </w:r>
      <w:r w:rsidR="00716B23">
        <w:rPr>
          <w:lang w:val="en-GB"/>
        </w:rPr>
        <w:t xml:space="preserve"> level </w:t>
      </w:r>
      <w:r w:rsidR="0032159D" w:rsidRPr="00423027">
        <w:rPr>
          <w:lang w:val="en-GB"/>
        </w:rPr>
        <w:t xml:space="preserve">which includes firm, industry, and country </w:t>
      </w:r>
      <w:r w:rsidR="008E6C4C">
        <w:rPr>
          <w:lang w:val="en-GB"/>
        </w:rPr>
        <w:t>[38], [39], [52], [4], [25], [28]</w:t>
      </w:r>
      <w:r w:rsidR="0032159D" w:rsidRPr="00423027">
        <w:rPr>
          <w:lang w:val="en-GB"/>
        </w:rPr>
        <w:t xml:space="preserve">. In the last decade, ICT investment has contributed </w:t>
      </w:r>
      <w:r w:rsidR="0032159D" w:rsidRPr="002F59A8">
        <w:rPr>
          <w:lang w:val="en-GB"/>
        </w:rPr>
        <w:t>between 0.6 and 0.2</w:t>
      </w:r>
      <w:r w:rsidR="0032159D" w:rsidRPr="00423027">
        <w:rPr>
          <w:lang w:val="en-GB"/>
        </w:rPr>
        <w:t xml:space="preserve"> percentage points to GDP a</w:t>
      </w:r>
      <w:r w:rsidR="008E6C4C">
        <w:rPr>
          <w:lang w:val="en-GB"/>
        </w:rPr>
        <w:t>nnual growth in OECD countries [37,</w:t>
      </w:r>
      <w:r w:rsidR="0032159D" w:rsidRPr="00423027">
        <w:rPr>
          <w:lang w:val="en-GB"/>
        </w:rPr>
        <w:t xml:space="preserve"> p. 128</w:t>
      </w:r>
      <w:r w:rsidR="008E6C4C">
        <w:rPr>
          <w:lang w:val="en-GB"/>
        </w:rPr>
        <w:t>]</w:t>
      </w:r>
      <w:r w:rsidR="0032159D" w:rsidRPr="00423027">
        <w:rPr>
          <w:lang w:val="en-GB"/>
        </w:rPr>
        <w:t>. Moreover, studies on macro-level conducted by van Ark as well as other researchers clear</w:t>
      </w:r>
      <w:r w:rsidR="00E74489">
        <w:rPr>
          <w:lang w:val="en-GB"/>
        </w:rPr>
        <w:t xml:space="preserve">ly demonstrate productivity </w:t>
      </w:r>
      <w:proofErr w:type="gramStart"/>
      <w:r w:rsidR="00E74489">
        <w:rPr>
          <w:lang w:val="en-GB"/>
        </w:rPr>
        <w:t xml:space="preserve">gap </w:t>
      </w:r>
      <w:r w:rsidR="0032159D" w:rsidRPr="00423027">
        <w:rPr>
          <w:lang w:val="en-GB"/>
        </w:rPr>
        <w:t>which has</w:t>
      </w:r>
      <w:r w:rsidR="00E53CA6">
        <w:rPr>
          <w:lang w:val="en-GB"/>
        </w:rPr>
        <w:t xml:space="preserve"> grown between Europe and the U</w:t>
      </w:r>
      <w:r w:rsidR="0032159D" w:rsidRPr="00423027">
        <w:rPr>
          <w:lang w:val="en-GB"/>
        </w:rPr>
        <w:t>S</w:t>
      </w:r>
      <w:r w:rsidR="00E53CA6">
        <w:rPr>
          <w:lang w:val="en-GB"/>
        </w:rPr>
        <w:t>A,</w:t>
      </w:r>
      <w:r w:rsidR="0032159D" w:rsidRPr="00423027">
        <w:rPr>
          <w:lang w:val="en-GB"/>
        </w:rPr>
        <w:t xml:space="preserve"> due to a less effective</w:t>
      </w:r>
      <w:proofErr w:type="gramEnd"/>
      <w:r w:rsidR="0032159D" w:rsidRPr="00423027">
        <w:rPr>
          <w:lang w:val="en-GB"/>
        </w:rPr>
        <w:t xml:space="preserve"> and widespread adoption of ICT by European companies </w:t>
      </w:r>
      <w:r w:rsidR="008E6C4C">
        <w:rPr>
          <w:lang w:val="en-GB"/>
        </w:rPr>
        <w:t>[47],</w:t>
      </w:r>
      <w:r w:rsidR="002F59A8">
        <w:rPr>
          <w:lang w:val="en-GB"/>
        </w:rPr>
        <w:t xml:space="preserve"> </w:t>
      </w:r>
      <w:r w:rsidR="008E6C4C">
        <w:rPr>
          <w:lang w:val="en-GB"/>
        </w:rPr>
        <w:t>[</w:t>
      </w:r>
      <w:r w:rsidR="00FB6E7F">
        <w:rPr>
          <w:lang w:val="en-GB"/>
        </w:rPr>
        <w:t>11</w:t>
      </w:r>
      <w:r w:rsidR="008E6C4C">
        <w:rPr>
          <w:lang w:val="en-GB"/>
        </w:rPr>
        <w:t>]</w:t>
      </w:r>
      <w:r w:rsidR="0032159D" w:rsidRPr="00423027">
        <w:rPr>
          <w:lang w:val="en-GB"/>
        </w:rPr>
        <w:t>,</w:t>
      </w:r>
      <w:r w:rsidR="008E6C4C">
        <w:rPr>
          <w:lang w:val="en-GB"/>
        </w:rPr>
        <w:t xml:space="preserve"> [</w:t>
      </w:r>
      <w:r w:rsidR="00FB6E7F">
        <w:rPr>
          <w:lang w:val="en-GB"/>
        </w:rPr>
        <w:t>12</w:t>
      </w:r>
      <w:r w:rsidR="008E6C4C">
        <w:rPr>
          <w:lang w:val="en-GB"/>
        </w:rPr>
        <w:t>],</w:t>
      </w:r>
      <w:r w:rsidR="002F59A8">
        <w:rPr>
          <w:lang w:val="en-GB"/>
        </w:rPr>
        <w:t xml:space="preserve"> </w:t>
      </w:r>
      <w:r w:rsidR="008E6C4C">
        <w:rPr>
          <w:lang w:val="en-GB"/>
        </w:rPr>
        <w:t>[48], [49], [50], [17], [46], [20], [21], [22].</w:t>
      </w:r>
    </w:p>
    <w:p w:rsidR="0048562F" w:rsidRPr="0048562F" w:rsidRDefault="0048562F" w:rsidP="0032159D">
      <w:pPr>
        <w:autoSpaceDE w:val="0"/>
        <w:autoSpaceDN w:val="0"/>
        <w:adjustRightInd w:val="0"/>
        <w:rPr>
          <w:sz w:val="22"/>
          <w:szCs w:val="22"/>
          <w:lang w:val="en-GB"/>
        </w:rPr>
      </w:pPr>
    </w:p>
    <w:p w:rsidR="00B02EBC" w:rsidRPr="00EA358F" w:rsidRDefault="00B02EBC" w:rsidP="00EA358F">
      <w:pPr>
        <w:pStyle w:val="Odlomakpopisa"/>
        <w:numPr>
          <w:ilvl w:val="1"/>
          <w:numId w:val="18"/>
        </w:numPr>
        <w:spacing w:before="0"/>
        <w:ind w:left="357" w:hanging="357"/>
        <w:rPr>
          <w:b/>
          <w:bCs/>
          <w:lang w:val="en-GB"/>
        </w:rPr>
      </w:pPr>
      <w:r w:rsidRPr="00423027">
        <w:rPr>
          <w:b/>
          <w:lang w:val="en-GB"/>
        </w:rPr>
        <w:t>Using IO analysis for determining contribution of ICT to macroeconomic growth and development</w:t>
      </w:r>
    </w:p>
    <w:p w:rsidR="00EA358F" w:rsidRPr="00EA358F" w:rsidRDefault="00EA358F" w:rsidP="00EA358F">
      <w:pPr>
        <w:pStyle w:val="Odlomakpopisa"/>
        <w:spacing w:before="0"/>
        <w:ind w:left="357"/>
        <w:rPr>
          <w:b/>
          <w:bCs/>
          <w:lang w:val="en-GB"/>
        </w:rPr>
      </w:pPr>
    </w:p>
    <w:p w:rsidR="007512D7" w:rsidRDefault="00B02EBC" w:rsidP="00EA358F">
      <w:pPr>
        <w:rPr>
          <w:lang w:val="en-GB"/>
        </w:rPr>
      </w:pPr>
      <w:r w:rsidRPr="00423027">
        <w:rPr>
          <w:lang w:val="en-GB"/>
        </w:rPr>
        <w:t>Many studies indicated in the previous s</w:t>
      </w:r>
      <w:r w:rsidR="00E53CA6">
        <w:rPr>
          <w:lang w:val="en-GB"/>
        </w:rPr>
        <w:t>ections</w:t>
      </w:r>
      <w:r w:rsidRPr="00423027">
        <w:rPr>
          <w:lang w:val="en-GB"/>
        </w:rPr>
        <w:t xml:space="preserve"> clearly show that the expansion of ICT and the Internet contributes to positive results, both on a micro and macro level. This section provides </w:t>
      </w:r>
      <w:r w:rsidRPr="00423027">
        <w:rPr>
          <w:lang w:val="en-GB"/>
        </w:rPr>
        <w:lastRenderedPageBreak/>
        <w:t xml:space="preserve">an overview of relevant research related to the use of </w:t>
      </w:r>
      <w:r w:rsidR="00716B23">
        <w:rPr>
          <w:lang w:val="en-GB"/>
        </w:rPr>
        <w:t xml:space="preserve">IO </w:t>
      </w:r>
      <w:r w:rsidRPr="00423027">
        <w:rPr>
          <w:lang w:val="en-GB"/>
        </w:rPr>
        <w:t>analysis in order to determine whether and to what extent inte</w:t>
      </w:r>
      <w:r w:rsidR="00E74489">
        <w:rPr>
          <w:lang w:val="en-GB"/>
        </w:rPr>
        <w:t xml:space="preserve">nsive investment and use of ICT </w:t>
      </w:r>
      <w:r w:rsidRPr="00423027">
        <w:rPr>
          <w:lang w:val="en-GB"/>
        </w:rPr>
        <w:t xml:space="preserve">can generate the desired results of national economies that have recognized their role in growth and development. Thus </w:t>
      </w:r>
      <w:proofErr w:type="spellStart"/>
      <w:r w:rsidRPr="00423027">
        <w:rPr>
          <w:lang w:val="en-GB"/>
        </w:rPr>
        <w:t>Bazzazan</w:t>
      </w:r>
      <w:proofErr w:type="spellEnd"/>
      <w:r w:rsidRPr="00423027">
        <w:rPr>
          <w:lang w:val="en-GB"/>
        </w:rPr>
        <w:t xml:space="preserve"> </w:t>
      </w:r>
      <w:r w:rsidR="008E6C4C">
        <w:rPr>
          <w:lang w:val="en-GB"/>
        </w:rPr>
        <w:t>[3]</w:t>
      </w:r>
      <w:r w:rsidR="00E859D4">
        <w:rPr>
          <w:lang w:val="en-GB"/>
        </w:rPr>
        <w:t>,</w:t>
      </w:r>
      <w:r w:rsidR="008E6C4C">
        <w:rPr>
          <w:lang w:val="en-GB"/>
        </w:rPr>
        <w:t xml:space="preserve"> </w:t>
      </w:r>
      <w:r w:rsidRPr="00423027">
        <w:rPr>
          <w:lang w:val="en-GB"/>
        </w:rPr>
        <w:t xml:space="preserve">by using hypothetical extraction method in the </w:t>
      </w:r>
      <w:r w:rsidR="00716B23" w:rsidRPr="00716B23">
        <w:rPr>
          <w:lang w:val="en-GB"/>
        </w:rPr>
        <w:t xml:space="preserve">IO </w:t>
      </w:r>
      <w:r w:rsidRPr="00423027">
        <w:rPr>
          <w:lang w:val="en-GB"/>
        </w:rPr>
        <w:t>f</w:t>
      </w:r>
      <w:r w:rsidR="00E859D4">
        <w:rPr>
          <w:lang w:val="en-GB"/>
        </w:rPr>
        <w:t>ramework</w:t>
      </w:r>
      <w:r w:rsidRPr="00423027">
        <w:rPr>
          <w:lang w:val="en-GB"/>
        </w:rPr>
        <w:t xml:space="preserve"> based on the aggregated six-sector </w:t>
      </w:r>
      <w:r w:rsidR="00716B23">
        <w:rPr>
          <w:lang w:val="en-GB"/>
        </w:rPr>
        <w:t xml:space="preserve">IO </w:t>
      </w:r>
      <w:r w:rsidRPr="00423027">
        <w:rPr>
          <w:lang w:val="en-GB"/>
        </w:rPr>
        <w:t>table in 2001 in which ICT is a main sector, provides an analysis of economic importance of ICT in Iran at the national level. Th</w:t>
      </w:r>
      <w:r w:rsidR="00DA7C0F">
        <w:rPr>
          <w:lang w:val="en-GB"/>
        </w:rPr>
        <w:t>e results of analysis show that</w:t>
      </w:r>
      <w:r w:rsidR="00042FCD">
        <w:rPr>
          <w:lang w:val="en-GB"/>
        </w:rPr>
        <w:t>,</w:t>
      </w:r>
      <w:r w:rsidRPr="00423027">
        <w:rPr>
          <w:lang w:val="en-GB"/>
        </w:rPr>
        <w:t xml:space="preserve"> from </w:t>
      </w:r>
      <w:r w:rsidR="00042FCD">
        <w:rPr>
          <w:lang w:val="en-GB"/>
        </w:rPr>
        <w:t xml:space="preserve">the </w:t>
      </w:r>
      <w:r w:rsidRPr="00423027">
        <w:rPr>
          <w:lang w:val="en-GB"/>
        </w:rPr>
        <w:t>demand side</w:t>
      </w:r>
      <w:r w:rsidR="00042FCD">
        <w:rPr>
          <w:lang w:val="en-GB"/>
        </w:rPr>
        <w:t>,</w:t>
      </w:r>
      <w:r w:rsidRPr="00423027">
        <w:rPr>
          <w:lang w:val="en-GB"/>
        </w:rPr>
        <w:t xml:space="preserve"> ICT sector is placed in the fourth rank among six sectors with the economic importance of 8.6</w:t>
      </w:r>
      <w:r w:rsidR="00DA7C0F">
        <w:rPr>
          <w:lang w:val="en-GB"/>
        </w:rPr>
        <w:t xml:space="preserve"> percent</w:t>
      </w:r>
      <w:r w:rsidRPr="00423027">
        <w:rPr>
          <w:lang w:val="en-GB"/>
        </w:rPr>
        <w:t xml:space="preserve"> total output and from supply side </w:t>
      </w:r>
      <w:r w:rsidR="00042FCD">
        <w:rPr>
          <w:lang w:val="en-GB"/>
        </w:rPr>
        <w:t xml:space="preserve">it </w:t>
      </w:r>
      <w:r w:rsidRPr="00423027">
        <w:rPr>
          <w:lang w:val="en-GB"/>
        </w:rPr>
        <w:t xml:space="preserve">is </w:t>
      </w:r>
      <w:r w:rsidR="00DA7C0F">
        <w:rPr>
          <w:lang w:val="en-GB"/>
        </w:rPr>
        <w:t xml:space="preserve">also placed in the fourth rank </w:t>
      </w:r>
      <w:r w:rsidRPr="00423027">
        <w:rPr>
          <w:lang w:val="en-GB"/>
        </w:rPr>
        <w:t>with 9.5</w:t>
      </w:r>
      <w:r w:rsidR="00DA7C0F">
        <w:rPr>
          <w:lang w:val="en-GB"/>
        </w:rPr>
        <w:t xml:space="preserve"> percent</w:t>
      </w:r>
      <w:r w:rsidRPr="00423027">
        <w:rPr>
          <w:lang w:val="en-GB"/>
        </w:rPr>
        <w:t xml:space="preserve"> of total output. Similar positive results of impact of expansion and use of ICT on economi</w:t>
      </w:r>
      <w:r w:rsidR="00E859D4">
        <w:rPr>
          <w:lang w:val="en-GB"/>
        </w:rPr>
        <w:t xml:space="preserve">c growth </w:t>
      </w:r>
      <w:proofErr w:type="gramStart"/>
      <w:r w:rsidR="00E859D4">
        <w:rPr>
          <w:lang w:val="en-GB"/>
        </w:rPr>
        <w:t>is also</w:t>
      </w:r>
      <w:proofErr w:type="gramEnd"/>
      <w:r w:rsidR="00E859D4">
        <w:rPr>
          <w:lang w:val="en-GB"/>
        </w:rPr>
        <w:t xml:space="preserve"> shown</w:t>
      </w:r>
      <w:r w:rsidRPr="00423027">
        <w:rPr>
          <w:lang w:val="en-GB"/>
        </w:rPr>
        <w:t xml:space="preserve"> </w:t>
      </w:r>
      <w:r w:rsidR="00E859D4">
        <w:rPr>
          <w:lang w:val="en-GB"/>
        </w:rPr>
        <w:t xml:space="preserve">in </w:t>
      </w:r>
      <w:r w:rsidR="00042FCD">
        <w:rPr>
          <w:lang w:val="en-GB"/>
        </w:rPr>
        <w:t xml:space="preserve">the </w:t>
      </w:r>
      <w:r w:rsidRPr="00423027">
        <w:rPr>
          <w:lang w:val="en-GB"/>
        </w:rPr>
        <w:t xml:space="preserve">analysis that was conducted for the economy of Italy by Di Carlo and </w:t>
      </w:r>
      <w:proofErr w:type="spellStart"/>
      <w:r w:rsidRPr="00423027">
        <w:rPr>
          <w:lang w:val="en-GB"/>
        </w:rPr>
        <w:t>Santarelli</w:t>
      </w:r>
      <w:proofErr w:type="spellEnd"/>
      <w:r w:rsidR="00FB6E7F">
        <w:rPr>
          <w:lang w:val="en-GB"/>
        </w:rPr>
        <w:t xml:space="preserve"> [14]</w:t>
      </w:r>
      <w:r w:rsidR="00042FCD">
        <w:rPr>
          <w:lang w:val="en-GB"/>
        </w:rPr>
        <w:t>. T</w:t>
      </w:r>
      <w:r w:rsidRPr="00423027">
        <w:rPr>
          <w:lang w:val="en-GB"/>
        </w:rPr>
        <w:t xml:space="preserve">he aim of their work was evaluation </w:t>
      </w:r>
      <w:r w:rsidR="00042FCD">
        <w:rPr>
          <w:lang w:val="en-GB"/>
        </w:rPr>
        <w:t xml:space="preserve">of </w:t>
      </w:r>
      <w:r w:rsidRPr="00423027">
        <w:rPr>
          <w:lang w:val="en-GB"/>
        </w:rPr>
        <w:t>the impact on the Italian national econom</w:t>
      </w:r>
      <w:r w:rsidR="00042FCD">
        <w:rPr>
          <w:lang w:val="en-GB"/>
        </w:rPr>
        <w:t xml:space="preserve">y of investment in ICT by </w:t>
      </w:r>
      <w:proofErr w:type="spellStart"/>
      <w:r w:rsidR="00042FCD">
        <w:rPr>
          <w:lang w:val="en-GB"/>
        </w:rPr>
        <w:t>analyz</w:t>
      </w:r>
      <w:r w:rsidRPr="00423027">
        <w:rPr>
          <w:lang w:val="en-GB"/>
        </w:rPr>
        <w:t>ing</w:t>
      </w:r>
      <w:proofErr w:type="spellEnd"/>
      <w:r w:rsidRPr="00423027">
        <w:rPr>
          <w:lang w:val="en-GB"/>
        </w:rPr>
        <w:t xml:space="preserve"> production and demand multipliers calculated </w:t>
      </w:r>
      <w:r w:rsidR="00042FCD">
        <w:rPr>
          <w:lang w:val="en-GB"/>
        </w:rPr>
        <w:t xml:space="preserve">by </w:t>
      </w:r>
      <w:r w:rsidRPr="00423027">
        <w:rPr>
          <w:lang w:val="en-GB"/>
        </w:rPr>
        <w:t xml:space="preserve">using </w:t>
      </w:r>
      <w:r w:rsidR="00716B23">
        <w:rPr>
          <w:lang w:val="en-GB"/>
        </w:rPr>
        <w:t xml:space="preserve">IO </w:t>
      </w:r>
      <w:r w:rsidRPr="00423027">
        <w:rPr>
          <w:lang w:val="en-GB"/>
        </w:rPr>
        <w:t>matrices released by ISTAT for the years 19</w:t>
      </w:r>
      <w:r>
        <w:rPr>
          <w:lang w:val="en-GB"/>
        </w:rPr>
        <w:t>95, 2000, 2005. The results have</w:t>
      </w:r>
      <w:r w:rsidRPr="00423027">
        <w:rPr>
          <w:lang w:val="en-GB"/>
        </w:rPr>
        <w:t xml:space="preserve"> shown that ICT has a greater multiplicative effect on the productive system than </w:t>
      </w:r>
      <w:r w:rsidR="00042FCD">
        <w:rPr>
          <w:lang w:val="en-GB"/>
        </w:rPr>
        <w:t xml:space="preserve">the </w:t>
      </w:r>
      <w:r w:rsidRPr="00423027">
        <w:rPr>
          <w:lang w:val="en-GB"/>
        </w:rPr>
        <w:t xml:space="preserve">non-ICT sectors and, thus, is a key sector for economic growth. </w:t>
      </w:r>
    </w:p>
    <w:p w:rsidR="008B39C9" w:rsidRDefault="008B39C9" w:rsidP="00B02EBC">
      <w:pPr>
        <w:rPr>
          <w:lang w:val="en-GB"/>
        </w:rPr>
      </w:pPr>
      <w:r w:rsidRPr="008B39C9">
        <w:rPr>
          <w:lang w:val="en-GB"/>
        </w:rPr>
        <w:t xml:space="preserve">The impact of ICT on a global world level </w:t>
      </w:r>
      <w:proofErr w:type="gramStart"/>
      <w:r w:rsidRPr="008B39C9">
        <w:rPr>
          <w:lang w:val="en-GB"/>
        </w:rPr>
        <w:t xml:space="preserve">was attempted to be </w:t>
      </w:r>
      <w:proofErr w:type="spellStart"/>
      <w:r w:rsidRPr="008B39C9">
        <w:rPr>
          <w:lang w:val="en-GB"/>
        </w:rPr>
        <w:t>analyzed</w:t>
      </w:r>
      <w:proofErr w:type="spellEnd"/>
      <w:proofErr w:type="gramEnd"/>
      <w:r w:rsidRPr="008B39C9">
        <w:rPr>
          <w:lang w:val="en-GB"/>
        </w:rPr>
        <w:t xml:space="preserve"> by Mattioli and </w:t>
      </w:r>
      <w:proofErr w:type="spellStart"/>
      <w:r w:rsidRPr="008B39C9">
        <w:rPr>
          <w:lang w:val="en-GB"/>
        </w:rPr>
        <w:t>Lamonica</w:t>
      </w:r>
      <w:proofErr w:type="spellEnd"/>
      <w:r w:rsidRPr="008B39C9">
        <w:rPr>
          <w:lang w:val="en-GB"/>
        </w:rPr>
        <w:t xml:space="preserve"> [31]. In their research, the authors by using the World Input Output Table for the period from 1995 to </w:t>
      </w:r>
      <w:proofErr w:type="gramStart"/>
      <w:r w:rsidRPr="008B39C9">
        <w:rPr>
          <w:lang w:val="en-GB"/>
        </w:rPr>
        <w:t>2009,</w:t>
      </w:r>
      <w:proofErr w:type="gramEnd"/>
      <w:r w:rsidRPr="008B39C9">
        <w:rPr>
          <w:lang w:val="en-GB"/>
        </w:rPr>
        <w:t xml:space="preserve"> measured the relations of the ICT sector to the other productive sectors for the 27 European countries and 13 other major countries which are classified as the highest industrialized countries in the world. For data analysis, Rasmussen forward and backward linkage indices </w:t>
      </w:r>
      <w:proofErr w:type="gramStart"/>
      <w:r w:rsidRPr="008B39C9">
        <w:rPr>
          <w:lang w:val="en-GB"/>
        </w:rPr>
        <w:t>have been used</w:t>
      </w:r>
      <w:proofErr w:type="gramEnd"/>
      <w:r w:rsidRPr="008B39C9">
        <w:rPr>
          <w:lang w:val="en-GB"/>
        </w:rPr>
        <w:t xml:space="preserve">. The study was confirmed that ICT sector has multiplier effect on the other </w:t>
      </w:r>
      <w:proofErr w:type="gramStart"/>
      <w:r w:rsidRPr="008B39C9">
        <w:rPr>
          <w:lang w:val="en-GB"/>
        </w:rPr>
        <w:t>sectors which</w:t>
      </w:r>
      <w:proofErr w:type="gramEnd"/>
      <w:r w:rsidRPr="008B39C9">
        <w:rPr>
          <w:lang w:val="en-GB"/>
        </w:rPr>
        <w:t xml:space="preserve"> leads to the conclusion, as well as many previous studies, that ICT sector plays a significant role in the economic systems in the highest developed countries. </w:t>
      </w:r>
    </w:p>
    <w:p w:rsidR="000375CA" w:rsidRDefault="00B02EBC" w:rsidP="00B02EBC">
      <w:pPr>
        <w:rPr>
          <w:lang w:val="en-GB"/>
        </w:rPr>
      </w:pPr>
      <w:r w:rsidRPr="00423027">
        <w:rPr>
          <w:lang w:val="en-GB"/>
        </w:rPr>
        <w:t>On the other hand, there are research</w:t>
      </w:r>
      <w:r w:rsidR="0060490E">
        <w:rPr>
          <w:lang w:val="en-GB"/>
        </w:rPr>
        <w:t>es</w:t>
      </w:r>
      <w:r w:rsidRPr="00423027">
        <w:rPr>
          <w:lang w:val="en-GB"/>
        </w:rPr>
        <w:t xml:space="preserve"> whose results</w:t>
      </w:r>
      <w:r w:rsidR="00771533">
        <w:rPr>
          <w:lang w:val="en-GB"/>
        </w:rPr>
        <w:t>,</w:t>
      </w:r>
      <w:r w:rsidRPr="00423027">
        <w:rPr>
          <w:lang w:val="en-GB"/>
        </w:rPr>
        <w:t xml:space="preserve"> especially for developed countries</w:t>
      </w:r>
      <w:r w:rsidR="00771533">
        <w:rPr>
          <w:lang w:val="en-GB"/>
        </w:rPr>
        <w:t>,</w:t>
      </w:r>
      <w:r w:rsidRPr="00423027">
        <w:rPr>
          <w:lang w:val="en-GB"/>
        </w:rPr>
        <w:t xml:space="preserve"> show not such positive</w:t>
      </w:r>
      <w:r w:rsidR="00DA7C0F">
        <w:rPr>
          <w:lang w:val="en-GB"/>
        </w:rPr>
        <w:t>,</w:t>
      </w:r>
      <w:r w:rsidRPr="00423027">
        <w:rPr>
          <w:lang w:val="en-GB"/>
        </w:rPr>
        <w:t xml:space="preserve"> but negative or stagnant results of expansion of ICT </w:t>
      </w:r>
      <w:r w:rsidR="00771533">
        <w:rPr>
          <w:lang w:val="en-GB"/>
        </w:rPr>
        <w:t>according</w:t>
      </w:r>
      <w:r w:rsidRPr="00423027">
        <w:rPr>
          <w:lang w:val="en-GB"/>
        </w:rPr>
        <w:t xml:space="preserve"> </w:t>
      </w:r>
      <w:r w:rsidR="00E859D4">
        <w:rPr>
          <w:lang w:val="en-GB"/>
        </w:rPr>
        <w:t xml:space="preserve">to </w:t>
      </w:r>
      <w:r w:rsidRPr="00423027">
        <w:rPr>
          <w:lang w:val="en-GB"/>
        </w:rPr>
        <w:t>gr</w:t>
      </w:r>
      <w:r w:rsidR="000375CA">
        <w:rPr>
          <w:lang w:val="en-GB"/>
        </w:rPr>
        <w:t>owth indicators of development.</w:t>
      </w:r>
    </w:p>
    <w:p w:rsidR="008B39C9" w:rsidRDefault="00B02EBC" w:rsidP="00B02EBC">
      <w:pPr>
        <w:rPr>
          <w:lang w:val="en-GB"/>
        </w:rPr>
      </w:pPr>
      <w:r w:rsidRPr="00423027">
        <w:rPr>
          <w:lang w:val="en-GB"/>
        </w:rPr>
        <w:t>S</w:t>
      </w:r>
      <w:r w:rsidR="0060490E">
        <w:rPr>
          <w:lang w:val="en-GB"/>
        </w:rPr>
        <w:t xml:space="preserve">tudy conducted by </w:t>
      </w:r>
      <w:proofErr w:type="spellStart"/>
      <w:r w:rsidR="0060490E">
        <w:rPr>
          <w:lang w:val="en-GB"/>
        </w:rPr>
        <w:t>Rohman</w:t>
      </w:r>
      <w:proofErr w:type="spellEnd"/>
      <w:r w:rsidR="0060490E">
        <w:rPr>
          <w:lang w:val="en-GB"/>
        </w:rPr>
        <w:t xml:space="preserve"> </w:t>
      </w:r>
      <w:r w:rsidR="00FB6E7F">
        <w:rPr>
          <w:lang w:val="en-GB"/>
        </w:rPr>
        <w:t xml:space="preserve">and </w:t>
      </w:r>
      <w:proofErr w:type="spellStart"/>
      <w:r w:rsidR="00FB6E7F">
        <w:rPr>
          <w:lang w:val="en-GB"/>
        </w:rPr>
        <w:t>Bohlin</w:t>
      </w:r>
      <w:proofErr w:type="spellEnd"/>
      <w:r w:rsidR="00FB6E7F">
        <w:rPr>
          <w:lang w:val="en-GB"/>
        </w:rPr>
        <w:t xml:space="preserve"> [43]</w:t>
      </w:r>
      <w:r w:rsidR="00476C66">
        <w:rPr>
          <w:lang w:val="en-GB"/>
        </w:rPr>
        <w:t xml:space="preserve"> aims </w:t>
      </w:r>
      <w:r w:rsidRPr="00423027">
        <w:rPr>
          <w:lang w:val="en-GB"/>
        </w:rPr>
        <w:t xml:space="preserve">investigating the contribution of the ICT sectors in driving economic performance in the European economies with a sectoral approach using the </w:t>
      </w:r>
      <w:r w:rsidR="00476C66">
        <w:rPr>
          <w:lang w:val="en-GB"/>
        </w:rPr>
        <w:t>IO</w:t>
      </w:r>
      <w:r w:rsidRPr="00423027">
        <w:rPr>
          <w:lang w:val="en-GB"/>
        </w:rPr>
        <w:t xml:space="preserve"> methodology. </w:t>
      </w:r>
      <w:r w:rsidR="008B39C9" w:rsidRPr="008B39C9">
        <w:rPr>
          <w:lang w:val="en-GB"/>
        </w:rPr>
        <w:t xml:space="preserve">The authors, by using the decomposition analysis have confirmed for some countries (e.g. Germany and Spain) that the growth of ICT sectors’ output declined in the period 2000-2005 compared to the period 1995-2000. The study also explains that, at country level, the ICT sectors through time have lost the advantage of export and technological change effects and that the smaller impact of technological change effects </w:t>
      </w:r>
      <w:proofErr w:type="gramStart"/>
      <w:r w:rsidR="008B39C9" w:rsidRPr="008B39C9">
        <w:rPr>
          <w:lang w:val="en-GB"/>
        </w:rPr>
        <w:t>is derived</w:t>
      </w:r>
      <w:proofErr w:type="gramEnd"/>
      <w:r w:rsidR="008B39C9" w:rsidRPr="008B39C9">
        <w:rPr>
          <w:lang w:val="en-GB"/>
        </w:rPr>
        <w:t xml:space="preserve"> from lack of integration among ICT and other sectors on the production side. On the other hand, for France the same analysis showed that the technological change effect remains stable. </w:t>
      </w:r>
    </w:p>
    <w:p w:rsidR="008B39C9" w:rsidRDefault="008B39C9" w:rsidP="00B02EBC">
      <w:pPr>
        <w:rPr>
          <w:lang w:val="en-GB"/>
        </w:rPr>
      </w:pPr>
      <w:r w:rsidRPr="008B39C9">
        <w:rPr>
          <w:lang w:val="en-GB"/>
        </w:rPr>
        <w:t xml:space="preserve">Similar results </w:t>
      </w:r>
      <w:proofErr w:type="gramStart"/>
      <w:r w:rsidRPr="008B39C9">
        <w:rPr>
          <w:lang w:val="en-GB"/>
        </w:rPr>
        <w:t>were also shown</w:t>
      </w:r>
      <w:proofErr w:type="gramEnd"/>
      <w:r w:rsidRPr="008B39C9">
        <w:rPr>
          <w:lang w:val="en-GB"/>
        </w:rPr>
        <w:t xml:space="preserve"> by the decomposition analysis conducted by </w:t>
      </w:r>
      <w:proofErr w:type="spellStart"/>
      <w:r w:rsidRPr="008B39C9">
        <w:rPr>
          <w:lang w:val="en-GB"/>
        </w:rPr>
        <w:t>Rohman</w:t>
      </w:r>
      <w:proofErr w:type="spellEnd"/>
      <w:r w:rsidRPr="008B39C9">
        <w:rPr>
          <w:lang w:val="en-GB"/>
        </w:rPr>
        <w:t xml:space="preserve"> [44] for 10 European economies. </w:t>
      </w:r>
      <w:proofErr w:type="gramStart"/>
      <w:r w:rsidRPr="008B39C9">
        <w:rPr>
          <w:lang w:val="en-GB"/>
        </w:rPr>
        <w:t>The data analysis show the same results as the previous studies that the multiplier effect of the ICT sectors on the rest of the economy decreased during the period 2000–2005, in comparison with the period 1995–2000 and finally that decline in the output of the ICT sectors is connected to the loss of export advantages and technical change gains in the sectors.</w:t>
      </w:r>
      <w:proofErr w:type="gramEnd"/>
      <w:r w:rsidRPr="008B39C9">
        <w:rPr>
          <w:lang w:val="en-GB"/>
        </w:rPr>
        <w:t xml:space="preserve"> </w:t>
      </w:r>
    </w:p>
    <w:p w:rsidR="000375CA" w:rsidRDefault="008B39C9" w:rsidP="00B02EBC">
      <w:pPr>
        <w:rPr>
          <w:lang w:val="en-GB"/>
        </w:rPr>
      </w:pPr>
      <w:r w:rsidRPr="00D55E6D">
        <w:rPr>
          <w:lang w:val="en-GB"/>
        </w:rPr>
        <w:t xml:space="preserve">Many </w:t>
      </w:r>
      <w:proofErr w:type="gramStart"/>
      <w:r w:rsidRPr="00D55E6D">
        <w:rPr>
          <w:lang w:val="en-GB"/>
        </w:rPr>
        <w:t>research</w:t>
      </w:r>
      <w:proofErr w:type="gramEnd"/>
      <w:r w:rsidRPr="00D55E6D">
        <w:rPr>
          <w:lang w:val="en-GB"/>
        </w:rPr>
        <w:t xml:space="preserve"> </w:t>
      </w:r>
      <w:r w:rsidR="00B02EBC" w:rsidRPr="00D55E6D">
        <w:rPr>
          <w:lang w:val="en-GB"/>
        </w:rPr>
        <w:t xml:space="preserve">of European </w:t>
      </w:r>
      <w:r w:rsidRPr="008B39C9">
        <w:rPr>
          <w:lang w:val="en-GB"/>
        </w:rPr>
        <w:t>economies</w:t>
      </w:r>
      <w:r w:rsidR="00D55E6D">
        <w:rPr>
          <w:lang w:val="en-GB"/>
        </w:rPr>
        <w:t xml:space="preserve"> on the </w:t>
      </w:r>
      <w:r w:rsidR="00D55E6D" w:rsidRPr="00D55E6D">
        <w:rPr>
          <w:lang w:val="en-GB"/>
        </w:rPr>
        <w:t>regional</w:t>
      </w:r>
      <w:r w:rsidR="00D55E6D">
        <w:rPr>
          <w:lang w:val="en-GB"/>
        </w:rPr>
        <w:t xml:space="preserve"> level</w:t>
      </w:r>
      <w:r w:rsidR="00B02EBC" w:rsidRPr="00D55E6D">
        <w:rPr>
          <w:lang w:val="en-GB"/>
        </w:rPr>
        <w:t xml:space="preserve"> also </w:t>
      </w:r>
      <w:r w:rsidRPr="008B39C9">
        <w:rPr>
          <w:lang w:val="en-GB"/>
        </w:rPr>
        <w:t>show</w:t>
      </w:r>
      <w:r>
        <w:rPr>
          <w:lang w:val="en-GB"/>
        </w:rPr>
        <w:t xml:space="preserve"> </w:t>
      </w:r>
      <w:r w:rsidRPr="008B39C9">
        <w:rPr>
          <w:lang w:val="en-GB"/>
        </w:rPr>
        <w:t>sl</w:t>
      </w:r>
      <w:r w:rsidR="00D55E6D">
        <w:rPr>
          <w:lang w:val="en-GB"/>
        </w:rPr>
        <w:t>ow</w:t>
      </w:r>
      <w:r w:rsidR="00B02EBC" w:rsidRPr="00D55E6D">
        <w:rPr>
          <w:lang w:val="en-GB"/>
        </w:rPr>
        <w:t xml:space="preserve"> co</w:t>
      </w:r>
      <w:r w:rsidR="00E859D4" w:rsidRPr="00D55E6D">
        <w:rPr>
          <w:lang w:val="en-GB"/>
        </w:rPr>
        <w:t xml:space="preserve">ntribution of the ICT sectors </w:t>
      </w:r>
      <w:r w:rsidR="00D55E6D">
        <w:rPr>
          <w:lang w:val="en-GB"/>
        </w:rPr>
        <w:t xml:space="preserve">on </w:t>
      </w:r>
      <w:r w:rsidR="00B02EBC" w:rsidRPr="00D55E6D">
        <w:rPr>
          <w:lang w:val="en-GB"/>
        </w:rPr>
        <w:t>economic growth</w:t>
      </w:r>
      <w:r w:rsidR="00D55E6D" w:rsidRPr="00D55E6D">
        <w:rPr>
          <w:lang w:val="en-GB"/>
        </w:rPr>
        <w:t xml:space="preserve"> and development</w:t>
      </w:r>
      <w:r w:rsidR="00B02EBC" w:rsidRPr="00D55E6D">
        <w:rPr>
          <w:lang w:val="en-GB"/>
        </w:rPr>
        <w:t xml:space="preserve">. </w:t>
      </w:r>
      <w:proofErr w:type="gramStart"/>
      <w:r w:rsidR="00B02EBC" w:rsidRPr="00F5557F">
        <w:rPr>
          <w:lang w:val="en-GB"/>
        </w:rPr>
        <w:t xml:space="preserve">Also decomposition analysis using </w:t>
      </w:r>
      <w:r w:rsidR="00476C66" w:rsidRPr="00F5557F">
        <w:rPr>
          <w:lang w:val="en-GB"/>
        </w:rPr>
        <w:t xml:space="preserve">IO </w:t>
      </w:r>
      <w:r w:rsidR="00B02EBC" w:rsidRPr="00F5557F">
        <w:rPr>
          <w:lang w:val="en-GB"/>
        </w:rPr>
        <w:t xml:space="preserve">tables performed by </w:t>
      </w:r>
      <w:proofErr w:type="spellStart"/>
      <w:r w:rsidR="00B02EBC" w:rsidRPr="00F5557F">
        <w:rPr>
          <w:lang w:val="en-GB"/>
        </w:rPr>
        <w:t>Zuhdi</w:t>
      </w:r>
      <w:proofErr w:type="spellEnd"/>
      <w:r w:rsidR="00B02EBC" w:rsidRPr="00F5557F">
        <w:rPr>
          <w:lang w:val="en-GB"/>
        </w:rPr>
        <w:t xml:space="preserve"> et al. </w:t>
      </w:r>
      <w:r w:rsidR="000D1891" w:rsidRPr="00F5557F">
        <w:rPr>
          <w:lang w:val="en-GB"/>
        </w:rPr>
        <w:t>[54]</w:t>
      </w:r>
      <w:r w:rsidR="00F5557F" w:rsidRPr="00F5557F">
        <w:rPr>
          <w:lang w:val="en-GB"/>
        </w:rPr>
        <w:t>,</w:t>
      </w:r>
      <w:r w:rsidR="00B02EBC" w:rsidRPr="00F5557F">
        <w:rPr>
          <w:lang w:val="en-GB"/>
        </w:rPr>
        <w:t xml:space="preserve"> in relation to Indonesia for the period from 1990 to 2005, and Japan for the period 1995 and 2005 with purpose to </w:t>
      </w:r>
      <w:proofErr w:type="spellStart"/>
      <w:r w:rsidR="00B02EBC" w:rsidRPr="00F5557F">
        <w:rPr>
          <w:lang w:val="en-GB"/>
        </w:rPr>
        <w:t>analyze</w:t>
      </w:r>
      <w:proofErr w:type="spellEnd"/>
      <w:r w:rsidR="00B02EBC" w:rsidRPr="00F5557F">
        <w:rPr>
          <w:lang w:val="en-GB"/>
        </w:rPr>
        <w:t xml:space="preserve">, from a macro perspective, the role of </w:t>
      </w:r>
      <w:r w:rsidR="00654FD8" w:rsidRPr="00F5557F">
        <w:rPr>
          <w:lang w:val="en-GB"/>
        </w:rPr>
        <w:t>ICT</w:t>
      </w:r>
      <w:r w:rsidR="00B02EBC" w:rsidRPr="00F5557F">
        <w:rPr>
          <w:lang w:val="en-GB"/>
        </w:rPr>
        <w:t xml:space="preserve"> sectors in contributing to structural changes in t</w:t>
      </w:r>
      <w:r w:rsidR="00DA7C0F" w:rsidRPr="00F5557F">
        <w:rPr>
          <w:lang w:val="en-GB"/>
        </w:rPr>
        <w:t xml:space="preserve">he national economies indicate </w:t>
      </w:r>
      <w:r w:rsidR="00B02EBC" w:rsidRPr="00F5557F">
        <w:rPr>
          <w:lang w:val="en-GB"/>
        </w:rPr>
        <w:t xml:space="preserve">that ICT </w:t>
      </w:r>
      <w:r w:rsidR="00B02EBC" w:rsidRPr="00F5557F">
        <w:rPr>
          <w:lang w:val="en-GB"/>
        </w:rPr>
        <w:lastRenderedPageBreak/>
        <w:t>sectors played an importa</w:t>
      </w:r>
      <w:r w:rsidR="00A2503D">
        <w:rPr>
          <w:lang w:val="en-GB"/>
        </w:rPr>
        <w:t>nt role in the changes in Japan’</w:t>
      </w:r>
      <w:r w:rsidR="00B02EBC" w:rsidRPr="00F5557F">
        <w:rPr>
          <w:lang w:val="en-GB"/>
        </w:rPr>
        <w:t>s economy, but did not have a significant influence on structural changes in the economy of Indonesia.</w:t>
      </w:r>
      <w:proofErr w:type="gramEnd"/>
      <w:r w:rsidR="00B02EBC" w:rsidRPr="00F5557F">
        <w:rPr>
          <w:lang w:val="en-GB"/>
        </w:rPr>
        <w:t xml:space="preserve"> </w:t>
      </w:r>
      <w:r w:rsidR="00B02EBC" w:rsidRPr="00423027">
        <w:rPr>
          <w:lang w:val="en-GB"/>
        </w:rPr>
        <w:t xml:space="preserve">In further </w:t>
      </w:r>
      <w:proofErr w:type="gramStart"/>
      <w:r w:rsidR="00B02EBC" w:rsidRPr="00423027">
        <w:rPr>
          <w:lang w:val="en-GB"/>
        </w:rPr>
        <w:t>research</w:t>
      </w:r>
      <w:proofErr w:type="gramEnd"/>
      <w:r w:rsidR="00B02EBC" w:rsidRPr="00423027">
        <w:rPr>
          <w:lang w:val="en-GB"/>
        </w:rPr>
        <w:t xml:space="preserve"> </w:t>
      </w:r>
      <w:proofErr w:type="spellStart"/>
      <w:r w:rsidR="00B02EBC" w:rsidRPr="00423027">
        <w:rPr>
          <w:lang w:val="en-GB"/>
        </w:rPr>
        <w:t>Zuhdi</w:t>
      </w:r>
      <w:proofErr w:type="spellEnd"/>
      <w:r w:rsidR="000D1891">
        <w:rPr>
          <w:lang w:val="en-GB"/>
        </w:rPr>
        <w:t xml:space="preserve"> [55]</w:t>
      </w:r>
      <w:r w:rsidR="00B02EBC" w:rsidRPr="00423027">
        <w:rPr>
          <w:lang w:val="en-GB"/>
        </w:rPr>
        <w:t xml:space="preserve"> wanted to get another perspective related to the role of </w:t>
      </w:r>
      <w:r w:rsidR="00501CA7">
        <w:rPr>
          <w:lang w:val="en-GB"/>
        </w:rPr>
        <w:t>ICT</w:t>
      </w:r>
      <w:r w:rsidR="00B02EBC" w:rsidRPr="00423027">
        <w:rPr>
          <w:lang w:val="en-GB"/>
        </w:rPr>
        <w:t xml:space="preserve"> sectors in national economy of Indonesia by employing </w:t>
      </w:r>
      <w:r w:rsidR="00501CA7">
        <w:rPr>
          <w:lang w:val="en-GB"/>
        </w:rPr>
        <w:t>IO</w:t>
      </w:r>
      <w:r w:rsidR="00B02EBC" w:rsidRPr="00423027">
        <w:rPr>
          <w:lang w:val="en-GB"/>
        </w:rPr>
        <w:t xml:space="preserve"> analysis as a tool of analysis for a period of </w:t>
      </w:r>
      <w:r w:rsidR="000D1891">
        <w:rPr>
          <w:lang w:val="en-GB"/>
        </w:rPr>
        <w:t xml:space="preserve">1990-2005. In this </w:t>
      </w:r>
      <w:proofErr w:type="gramStart"/>
      <w:r w:rsidR="000D1891">
        <w:rPr>
          <w:lang w:val="en-GB"/>
        </w:rPr>
        <w:t>study</w:t>
      </w:r>
      <w:proofErr w:type="gramEnd"/>
      <w:r w:rsidR="000D1891">
        <w:rPr>
          <w:lang w:val="en-GB"/>
        </w:rPr>
        <w:t xml:space="preserve"> </w:t>
      </w:r>
      <w:proofErr w:type="spellStart"/>
      <w:r w:rsidR="000D1891">
        <w:rPr>
          <w:lang w:val="en-GB"/>
        </w:rPr>
        <w:t>Zuhdi</w:t>
      </w:r>
      <w:proofErr w:type="spellEnd"/>
      <w:r w:rsidR="00B02EBC" w:rsidRPr="00423027">
        <w:rPr>
          <w:lang w:val="en-GB"/>
        </w:rPr>
        <w:t xml:space="preserve"> use</w:t>
      </w:r>
      <w:r w:rsidR="00F5557F">
        <w:rPr>
          <w:lang w:val="en-GB"/>
        </w:rPr>
        <w:t>d</w:t>
      </w:r>
      <w:r w:rsidR="00B02EBC" w:rsidRPr="00423027">
        <w:rPr>
          <w:lang w:val="en-GB"/>
        </w:rPr>
        <w:t xml:space="preserve"> simple output multipliers method in order to achieve the purpose. </w:t>
      </w:r>
      <w:r w:rsidR="00F5557F">
        <w:rPr>
          <w:lang w:val="en-GB"/>
        </w:rPr>
        <w:t xml:space="preserve">Comparison with previous study </w:t>
      </w:r>
      <w:proofErr w:type="gramStart"/>
      <w:r w:rsidR="00F5557F">
        <w:rPr>
          <w:lang w:val="en-GB"/>
        </w:rPr>
        <w:t>wa</w:t>
      </w:r>
      <w:r w:rsidR="00B02EBC" w:rsidRPr="00423027">
        <w:rPr>
          <w:lang w:val="en-GB"/>
        </w:rPr>
        <w:t>s conducted</w:t>
      </w:r>
      <w:proofErr w:type="gramEnd"/>
      <w:r w:rsidR="00B02EBC" w:rsidRPr="00423027">
        <w:rPr>
          <w:lang w:val="en-GB"/>
        </w:rPr>
        <w:t xml:space="preserve"> in order to get the objective of this study. Previous study, using Structural Decomposition Analysis (SDA), showed that ICT sectors did not have an important role in Indonesian national economy in </w:t>
      </w:r>
      <w:r w:rsidR="00F5557F">
        <w:rPr>
          <w:lang w:val="en-GB"/>
        </w:rPr>
        <w:t>the above</w:t>
      </w:r>
      <w:r w:rsidR="00B02EBC" w:rsidRPr="00423027">
        <w:rPr>
          <w:lang w:val="en-GB"/>
        </w:rPr>
        <w:t xml:space="preserve"> period. The similar results also appear in this study. In other words, from this study, another perspective related to the role of these sectors in Indonesian natio</w:t>
      </w:r>
      <w:r w:rsidR="00F5557F">
        <w:rPr>
          <w:lang w:val="en-GB"/>
        </w:rPr>
        <w:t xml:space="preserve">nal economy in analysis period </w:t>
      </w:r>
      <w:proofErr w:type="gramStart"/>
      <w:r w:rsidR="00F5557F">
        <w:rPr>
          <w:lang w:val="en-GB"/>
        </w:rPr>
        <w:t>wa</w:t>
      </w:r>
      <w:r w:rsidR="000375CA">
        <w:rPr>
          <w:lang w:val="en-GB"/>
        </w:rPr>
        <w:t>s not found</w:t>
      </w:r>
      <w:proofErr w:type="gramEnd"/>
      <w:r w:rsidR="000375CA">
        <w:rPr>
          <w:lang w:val="en-GB"/>
        </w:rPr>
        <w:t>.</w:t>
      </w:r>
    </w:p>
    <w:p w:rsidR="00697334" w:rsidRDefault="00B02EBC" w:rsidP="00B02EBC">
      <w:pPr>
        <w:rPr>
          <w:lang w:val="en-GB"/>
        </w:rPr>
      </w:pPr>
      <w:r w:rsidRPr="00423027">
        <w:rPr>
          <w:lang w:val="en-GB"/>
        </w:rPr>
        <w:t xml:space="preserve">The same author </w:t>
      </w:r>
      <w:proofErr w:type="spellStart"/>
      <w:r w:rsidR="00F5557F">
        <w:rPr>
          <w:lang w:val="en-GB"/>
        </w:rPr>
        <w:t>analyz</w:t>
      </w:r>
      <w:r w:rsidR="000D1891">
        <w:rPr>
          <w:lang w:val="en-GB"/>
        </w:rPr>
        <w:t>e</w:t>
      </w:r>
      <w:proofErr w:type="spellEnd"/>
      <w:r w:rsidR="000D1891">
        <w:rPr>
          <w:lang w:val="en-GB"/>
        </w:rPr>
        <w:t xml:space="preserve"> in [56]</w:t>
      </w:r>
      <w:r w:rsidRPr="00423027">
        <w:rPr>
          <w:lang w:val="en-GB"/>
        </w:rPr>
        <w:t xml:space="preserve"> the impacts of final demand changes on total output of Indonesian </w:t>
      </w:r>
      <w:r w:rsidR="00126F48">
        <w:rPr>
          <w:lang w:val="en-GB"/>
        </w:rPr>
        <w:t>ICT</w:t>
      </w:r>
      <w:r w:rsidR="00F5557F">
        <w:rPr>
          <w:lang w:val="en-GB"/>
        </w:rPr>
        <w:t xml:space="preserve"> sectors in which </w:t>
      </w:r>
      <w:r w:rsidR="00126F48">
        <w:rPr>
          <w:lang w:val="en-GB"/>
        </w:rPr>
        <w:t>IO</w:t>
      </w:r>
      <w:r w:rsidRPr="00423027">
        <w:rPr>
          <w:lang w:val="en-GB"/>
        </w:rPr>
        <w:t xml:space="preserve"> analysis </w:t>
      </w:r>
      <w:r w:rsidR="00F5557F">
        <w:rPr>
          <w:lang w:val="en-GB"/>
        </w:rPr>
        <w:t xml:space="preserve">was employed </w:t>
      </w:r>
      <w:r w:rsidRPr="00423027">
        <w:rPr>
          <w:lang w:val="en-GB"/>
        </w:rPr>
        <w:t>as a tool of analysis in a way that</w:t>
      </w:r>
      <w:r w:rsidR="00F5557F">
        <w:rPr>
          <w:lang w:val="en-GB"/>
        </w:rPr>
        <w:t xml:space="preserve"> demand-pull IO quantity model wa</w:t>
      </w:r>
      <w:r w:rsidRPr="00423027">
        <w:rPr>
          <w:lang w:val="en-GB"/>
        </w:rPr>
        <w:t xml:space="preserve">s applied in order to achieve the objective. “Whole sector change” and “pure change” conditions </w:t>
      </w:r>
      <w:proofErr w:type="gramStart"/>
      <w:r w:rsidRPr="00423027">
        <w:rPr>
          <w:lang w:val="en-GB"/>
        </w:rPr>
        <w:t>are considered</w:t>
      </w:r>
      <w:proofErr w:type="gramEnd"/>
      <w:r w:rsidRPr="00423027">
        <w:rPr>
          <w:lang w:val="en-GB"/>
        </w:rPr>
        <w:t xml:space="preserve"> in this study. The results of calculation show that, in both conditions</w:t>
      </w:r>
      <w:r w:rsidR="00F5557F">
        <w:rPr>
          <w:lang w:val="en-GB"/>
        </w:rPr>
        <w:t>, the biggest positive impact on</w:t>
      </w:r>
      <w:r w:rsidRPr="00423027">
        <w:rPr>
          <w:lang w:val="en-GB"/>
        </w:rPr>
        <w:t xml:space="preserve"> the total output of the sectors is given by the change of </w:t>
      </w:r>
      <w:proofErr w:type="gramStart"/>
      <w:r w:rsidRPr="00423027">
        <w:rPr>
          <w:lang w:val="en-GB"/>
        </w:rPr>
        <w:t>households</w:t>
      </w:r>
      <w:proofErr w:type="gramEnd"/>
      <w:r w:rsidRPr="00423027">
        <w:rPr>
          <w:lang w:val="en-GB"/>
        </w:rPr>
        <w:t xml:space="preserve"> consumption</w:t>
      </w:r>
      <w:r w:rsidR="00E859D4">
        <w:rPr>
          <w:lang w:val="en-GB"/>
        </w:rPr>
        <w:t>,</w:t>
      </w:r>
      <w:r w:rsidRPr="00423027">
        <w:rPr>
          <w:lang w:val="en-GB"/>
        </w:rPr>
        <w:t xml:space="preserve"> while the change of import has a negative impact. One of the recommendations suggested from this study is to construct import restriction policy for ICT products. </w:t>
      </w:r>
    </w:p>
    <w:p w:rsidR="00EA358F" w:rsidRDefault="00B02EBC" w:rsidP="00B02EBC">
      <w:pPr>
        <w:rPr>
          <w:lang w:val="en-GB"/>
        </w:rPr>
      </w:pPr>
      <w:proofErr w:type="gramStart"/>
      <w:r w:rsidRPr="00423027">
        <w:rPr>
          <w:lang w:val="en-GB"/>
        </w:rPr>
        <w:t xml:space="preserve">A similar study was </w:t>
      </w:r>
      <w:r w:rsidR="00DA7C0F">
        <w:rPr>
          <w:lang w:val="en-GB"/>
        </w:rPr>
        <w:t xml:space="preserve">also </w:t>
      </w:r>
      <w:r w:rsidRPr="00423027">
        <w:rPr>
          <w:lang w:val="en-GB"/>
        </w:rPr>
        <w:t xml:space="preserve">conducted </w:t>
      </w:r>
      <w:r w:rsidR="00E859D4">
        <w:rPr>
          <w:lang w:val="en-GB"/>
        </w:rPr>
        <w:t xml:space="preserve">by </w:t>
      </w:r>
      <w:proofErr w:type="spellStart"/>
      <w:r w:rsidRPr="00423027">
        <w:rPr>
          <w:lang w:val="en-GB"/>
        </w:rPr>
        <w:t>Zuhdi</w:t>
      </w:r>
      <w:proofErr w:type="spellEnd"/>
      <w:proofErr w:type="gramEnd"/>
      <w:r w:rsidRPr="00423027">
        <w:rPr>
          <w:lang w:val="en-GB"/>
        </w:rPr>
        <w:t xml:space="preserve"> and </w:t>
      </w:r>
      <w:proofErr w:type="spellStart"/>
      <w:r w:rsidRPr="00423027">
        <w:rPr>
          <w:lang w:val="en-GB"/>
        </w:rPr>
        <w:t>Prasetyo</w:t>
      </w:r>
      <w:proofErr w:type="spellEnd"/>
      <w:r w:rsidRPr="00423027">
        <w:rPr>
          <w:lang w:val="en-GB"/>
        </w:rPr>
        <w:t xml:space="preserve"> </w:t>
      </w:r>
      <w:r w:rsidR="000D1891">
        <w:rPr>
          <w:lang w:val="en-GB"/>
        </w:rPr>
        <w:t>[57]</w:t>
      </w:r>
      <w:r w:rsidRPr="00423027">
        <w:rPr>
          <w:lang w:val="en-GB"/>
        </w:rPr>
        <w:t xml:space="preserve"> for Japan's economy</w:t>
      </w:r>
      <w:r w:rsidR="00E859D4">
        <w:rPr>
          <w:lang w:val="en-GB"/>
        </w:rPr>
        <w:t xml:space="preserve"> based on IO table for 2005</w:t>
      </w:r>
      <w:r w:rsidRPr="00423027">
        <w:rPr>
          <w:lang w:val="en-GB"/>
        </w:rPr>
        <w:t>.</w:t>
      </w:r>
      <w:r w:rsidR="0060490E">
        <w:rPr>
          <w:lang w:val="en-GB"/>
        </w:rPr>
        <w:t xml:space="preserve"> The purpose of this study was</w:t>
      </w:r>
      <w:r w:rsidRPr="00423027">
        <w:rPr>
          <w:lang w:val="en-GB"/>
        </w:rPr>
        <w:t xml:space="preserve"> to </w:t>
      </w:r>
      <w:r w:rsidR="00A2503D">
        <w:rPr>
          <w:lang w:val="en-GB"/>
        </w:rPr>
        <w:t>analyse</w:t>
      </w:r>
      <w:r w:rsidRPr="00423027">
        <w:rPr>
          <w:lang w:val="en-GB"/>
        </w:rPr>
        <w:t xml:space="preserve"> the dynamics of total output of Japanese </w:t>
      </w:r>
      <w:r w:rsidR="002546A8">
        <w:rPr>
          <w:lang w:val="en-GB"/>
        </w:rPr>
        <w:t>ICT</w:t>
      </w:r>
      <w:r w:rsidRPr="00423027">
        <w:rPr>
          <w:lang w:val="en-GB"/>
        </w:rPr>
        <w:t xml:space="preserve"> sectors caused by final demand changes. This study also employs </w:t>
      </w:r>
      <w:r w:rsidR="002546A8" w:rsidRPr="00423027">
        <w:rPr>
          <w:lang w:val="en-GB"/>
        </w:rPr>
        <w:t xml:space="preserve">IO </w:t>
      </w:r>
      <w:r w:rsidRPr="00423027">
        <w:rPr>
          <w:lang w:val="en-GB"/>
        </w:rPr>
        <w:t xml:space="preserve">analysis, an approach in </w:t>
      </w:r>
      <w:proofErr w:type="spellStart"/>
      <w:r w:rsidR="00F5557F">
        <w:rPr>
          <w:lang w:val="en-GB"/>
        </w:rPr>
        <w:t>analyz</w:t>
      </w:r>
      <w:r w:rsidR="002546A8" w:rsidRPr="00423027">
        <w:rPr>
          <w:lang w:val="en-GB"/>
        </w:rPr>
        <w:t>ing</w:t>
      </w:r>
      <w:proofErr w:type="spellEnd"/>
      <w:r w:rsidRPr="00423027">
        <w:rPr>
          <w:lang w:val="en-GB"/>
        </w:rPr>
        <w:t xml:space="preserve"> the interdependence of industries in an economy, as a tool of analysis. The </w:t>
      </w:r>
      <w:proofErr w:type="gramStart"/>
      <w:r w:rsidRPr="00423027">
        <w:rPr>
          <w:lang w:val="en-GB"/>
        </w:rPr>
        <w:t>final results</w:t>
      </w:r>
      <w:proofErr w:type="gramEnd"/>
      <w:r w:rsidRPr="00423027">
        <w:rPr>
          <w:lang w:val="en-GB"/>
        </w:rPr>
        <w:t xml:space="preserve"> show that Japanese ICT sectors have similar pattern. Authors from this study suggested that </w:t>
      </w:r>
      <w:r w:rsidR="00F5557F">
        <w:rPr>
          <w:lang w:val="en-GB"/>
        </w:rPr>
        <w:t xml:space="preserve">it </w:t>
      </w:r>
      <w:r w:rsidRPr="00423027">
        <w:rPr>
          <w:lang w:val="en-GB"/>
        </w:rPr>
        <w:t>is necessary: (1) to enhance the export activity related to ICT sectors, (2) to restrict the import activity regarding ICT products, and (3) to capture more ICT domestic market.</w:t>
      </w:r>
    </w:p>
    <w:p w:rsidR="000D554A" w:rsidRPr="000D554A" w:rsidRDefault="000D554A" w:rsidP="000D554A">
      <w:pPr>
        <w:rPr>
          <w:lang w:val="en-GB"/>
        </w:rPr>
      </w:pPr>
      <w:r w:rsidRPr="000D554A">
        <w:rPr>
          <w:lang w:val="en-GB"/>
        </w:rPr>
        <w:t xml:space="preserve">Looking from the perspective of developed and developing countries, an interesting study </w:t>
      </w:r>
      <w:proofErr w:type="gramStart"/>
      <w:r w:rsidRPr="000D554A">
        <w:rPr>
          <w:lang w:val="en-GB"/>
        </w:rPr>
        <w:t>was conducted</w:t>
      </w:r>
      <w:proofErr w:type="gramEnd"/>
      <w:r w:rsidRPr="000D554A">
        <w:rPr>
          <w:lang w:val="en-GB"/>
        </w:rPr>
        <w:t xml:space="preserve"> by </w:t>
      </w:r>
      <w:proofErr w:type="spellStart"/>
      <w:r w:rsidRPr="000D554A">
        <w:rPr>
          <w:lang w:val="en-GB"/>
        </w:rPr>
        <w:t>Irawan</w:t>
      </w:r>
      <w:proofErr w:type="spellEnd"/>
      <w:r w:rsidRPr="000D554A">
        <w:rPr>
          <w:lang w:val="en-GB"/>
        </w:rPr>
        <w:t xml:space="preserve"> [23]. The author used comparative analysis based on IO Table for 2005 from four ASEAN Member States, Indonesia, Singapore, Malaysia and Thailand. From the results of conducted analysis can be concluded that in national economies size and structure of ICT sector is important, that the influence of ICT on growth and development depend on the frequency of ICT usage and finally, that countries which are more developed benefit much more from ICT than </w:t>
      </w:r>
      <w:proofErr w:type="gramStart"/>
      <w:r w:rsidRPr="000D554A">
        <w:rPr>
          <w:lang w:val="en-GB"/>
        </w:rPr>
        <w:t>countries which</w:t>
      </w:r>
      <w:proofErr w:type="gramEnd"/>
      <w:r w:rsidRPr="000D554A">
        <w:rPr>
          <w:lang w:val="en-GB"/>
        </w:rPr>
        <w:t xml:space="preserve"> are less developed.</w:t>
      </w:r>
    </w:p>
    <w:p w:rsidR="00697334" w:rsidRDefault="00F5557F" w:rsidP="00EA358F">
      <w:pPr>
        <w:rPr>
          <w:lang w:val="en-GB"/>
        </w:rPr>
      </w:pPr>
      <w:r>
        <w:rPr>
          <w:lang w:val="en-GB"/>
        </w:rPr>
        <w:t>Reviews of</w:t>
      </w:r>
      <w:r w:rsidR="00B02EBC" w:rsidRPr="00423027">
        <w:rPr>
          <w:lang w:val="en-GB"/>
        </w:rPr>
        <w:t xml:space="preserve"> relevant literature related to the Croatian economy using the </w:t>
      </w:r>
      <w:r w:rsidR="002546A8" w:rsidRPr="00423027">
        <w:rPr>
          <w:lang w:val="en-GB"/>
        </w:rPr>
        <w:t xml:space="preserve">IO </w:t>
      </w:r>
      <w:r w:rsidR="00B02EBC" w:rsidRPr="00423027">
        <w:rPr>
          <w:lang w:val="en-GB"/>
        </w:rPr>
        <w:t>methodology</w:t>
      </w:r>
      <w:r>
        <w:rPr>
          <w:lang w:val="en-GB"/>
        </w:rPr>
        <w:t>,</w:t>
      </w:r>
      <w:r w:rsidR="00B02EBC" w:rsidRPr="00423027">
        <w:rPr>
          <w:lang w:val="en-GB"/>
        </w:rPr>
        <w:t xml:space="preserve"> the impacts of forestry and wood industry, export </w:t>
      </w:r>
      <w:r>
        <w:rPr>
          <w:lang w:val="en-GB"/>
        </w:rPr>
        <w:t xml:space="preserve">in </w:t>
      </w:r>
      <w:r w:rsidR="00B02EBC" w:rsidRPr="00423027">
        <w:rPr>
          <w:lang w:val="en-GB"/>
        </w:rPr>
        <w:t xml:space="preserve">the food industry and the textile industry are </w:t>
      </w:r>
      <w:r>
        <w:rPr>
          <w:lang w:val="en-GB"/>
        </w:rPr>
        <w:t>studi</w:t>
      </w:r>
      <w:r w:rsidR="002546A8" w:rsidRPr="00423027">
        <w:rPr>
          <w:lang w:val="en-GB"/>
        </w:rPr>
        <w:t>ed</w:t>
      </w:r>
      <w:r w:rsidR="00B02EBC" w:rsidRPr="00423027">
        <w:rPr>
          <w:lang w:val="en-GB"/>
        </w:rPr>
        <w:t xml:space="preserve">. In all those </w:t>
      </w:r>
      <w:proofErr w:type="gramStart"/>
      <w:r w:rsidR="00B02EBC" w:rsidRPr="00423027">
        <w:rPr>
          <w:lang w:val="en-GB"/>
        </w:rPr>
        <w:t>papers</w:t>
      </w:r>
      <w:proofErr w:type="gramEnd"/>
      <w:r w:rsidR="00B02EBC" w:rsidRPr="00423027">
        <w:rPr>
          <w:lang w:val="en-GB"/>
        </w:rPr>
        <w:t xml:space="preserve"> the 2004 </w:t>
      </w:r>
      <w:r w:rsidR="002546A8" w:rsidRPr="00423027">
        <w:rPr>
          <w:lang w:val="en-GB"/>
        </w:rPr>
        <w:t xml:space="preserve">IO </w:t>
      </w:r>
      <w:r w:rsidR="00B02EBC" w:rsidRPr="00423027">
        <w:rPr>
          <w:lang w:val="en-GB"/>
        </w:rPr>
        <w:t>ta</w:t>
      </w:r>
      <w:r>
        <w:rPr>
          <w:lang w:val="en-GB"/>
        </w:rPr>
        <w:t>ble of Croatia was employed as</w:t>
      </w:r>
      <w:r w:rsidR="00B02EBC" w:rsidRPr="00423027">
        <w:rPr>
          <w:lang w:val="en-GB"/>
        </w:rPr>
        <w:t xml:space="preserve"> reference data.</w:t>
      </w:r>
    </w:p>
    <w:p w:rsidR="00B02EBC" w:rsidRPr="00423027" w:rsidRDefault="00B02EBC" w:rsidP="00EA358F">
      <w:pPr>
        <w:rPr>
          <w:lang w:val="en-GB"/>
        </w:rPr>
      </w:pPr>
      <w:r w:rsidRPr="00423027">
        <w:rPr>
          <w:lang w:val="en-GB"/>
        </w:rPr>
        <w:t xml:space="preserve">Authors </w:t>
      </w:r>
      <w:proofErr w:type="spellStart"/>
      <w:r w:rsidR="005A3341">
        <w:rPr>
          <w:lang w:val="en-GB"/>
        </w:rPr>
        <w:t>Lovrinčević</w:t>
      </w:r>
      <w:proofErr w:type="spellEnd"/>
      <w:r w:rsidR="005A3341">
        <w:rPr>
          <w:lang w:val="en-GB"/>
        </w:rPr>
        <w:t xml:space="preserve"> and </w:t>
      </w:r>
      <w:proofErr w:type="spellStart"/>
      <w:r w:rsidR="005A3341">
        <w:rPr>
          <w:lang w:val="en-GB"/>
        </w:rPr>
        <w:t>Mikulić</w:t>
      </w:r>
      <w:proofErr w:type="spellEnd"/>
      <w:r w:rsidR="005A3341">
        <w:rPr>
          <w:lang w:val="en-GB"/>
        </w:rPr>
        <w:t xml:space="preserve"> in [29</w:t>
      </w:r>
      <w:r w:rsidRPr="00423027">
        <w:rPr>
          <w:lang w:val="en-GB"/>
        </w:rPr>
        <w:t xml:space="preserve">] quantified the importance of the forestry and wood industry in Croatia </w:t>
      </w:r>
      <w:r w:rsidR="00F5557F">
        <w:rPr>
          <w:lang w:val="en-GB"/>
        </w:rPr>
        <w:t xml:space="preserve">by </w:t>
      </w:r>
      <w:r w:rsidRPr="00423027">
        <w:rPr>
          <w:lang w:val="en-GB"/>
        </w:rPr>
        <w:t xml:space="preserve">using the </w:t>
      </w:r>
      <w:r w:rsidR="002546A8" w:rsidRPr="00423027">
        <w:rPr>
          <w:lang w:val="en-GB"/>
        </w:rPr>
        <w:t xml:space="preserve">IO </w:t>
      </w:r>
      <w:r w:rsidRPr="00423027">
        <w:rPr>
          <w:lang w:val="en-GB"/>
        </w:rPr>
        <w:t>analysis. Obtained data showed that multiplier effects of forestry and wood industry were significant. The calculated multipliers indicated high values, especially the output multiplier in section 20 – Wood product, which was also the highest multiplier among all other industri</w:t>
      </w:r>
      <w:r w:rsidR="005A3341">
        <w:rPr>
          <w:lang w:val="en-GB"/>
        </w:rPr>
        <w:t xml:space="preserve">es. </w:t>
      </w:r>
      <w:r w:rsidR="002546A8" w:rsidRPr="00423027">
        <w:rPr>
          <w:lang w:val="en-GB"/>
        </w:rPr>
        <w:t xml:space="preserve">IO </w:t>
      </w:r>
      <w:r w:rsidR="005A3341">
        <w:rPr>
          <w:lang w:val="en-GB"/>
        </w:rPr>
        <w:t xml:space="preserve">model </w:t>
      </w:r>
      <w:proofErr w:type="gramStart"/>
      <w:r w:rsidR="005A3341">
        <w:rPr>
          <w:lang w:val="en-GB"/>
        </w:rPr>
        <w:t>was in [8</w:t>
      </w:r>
      <w:r w:rsidRPr="00423027">
        <w:rPr>
          <w:lang w:val="en-GB"/>
        </w:rPr>
        <w:t>] used</w:t>
      </w:r>
      <w:proofErr w:type="gramEnd"/>
      <w:r w:rsidRPr="00423027">
        <w:rPr>
          <w:lang w:val="en-GB"/>
        </w:rPr>
        <w:t xml:space="preserve"> as one of the main methods to obtain new findings about the state and position of the export of Croatian food industry and its effects on national economy. Type I multipliers and type II multipliers of the gross output, value added and employment were calculated. Multipliers values indicated the strategic importance of food sector for domestic industry. The results also showed that the export of food industry </w:t>
      </w:r>
      <w:r w:rsidRPr="00423027">
        <w:rPr>
          <w:lang w:val="en-GB"/>
        </w:rPr>
        <w:lastRenderedPageBreak/>
        <w:t>had the highest multiplicative effects on agricultural produ</w:t>
      </w:r>
      <w:r w:rsidR="005A3341">
        <w:rPr>
          <w:lang w:val="en-GB"/>
        </w:rPr>
        <w:t>ction and trade. In the paper [7</w:t>
      </w:r>
      <w:r w:rsidRPr="00423027">
        <w:rPr>
          <w:lang w:val="en-GB"/>
        </w:rPr>
        <w:t>]</w:t>
      </w:r>
      <w:r w:rsidR="00F5557F">
        <w:rPr>
          <w:lang w:val="en-GB"/>
        </w:rPr>
        <w:t>,</w:t>
      </w:r>
      <w:r w:rsidRPr="00423027">
        <w:rPr>
          <w:lang w:val="en-GB"/>
        </w:rPr>
        <w:t xml:space="preserve"> authors</w:t>
      </w:r>
      <w:r w:rsidR="005A3341">
        <w:rPr>
          <w:lang w:val="en-GB"/>
        </w:rPr>
        <w:t xml:space="preserve"> </w:t>
      </w:r>
      <w:proofErr w:type="spellStart"/>
      <w:r w:rsidR="005A3341">
        <w:rPr>
          <w:lang w:val="en-GB"/>
        </w:rPr>
        <w:t>Buturac</w:t>
      </w:r>
      <w:proofErr w:type="spellEnd"/>
      <w:r w:rsidR="005A3341">
        <w:rPr>
          <w:lang w:val="en-GB"/>
        </w:rPr>
        <w:t xml:space="preserve"> et al.</w:t>
      </w:r>
      <w:r w:rsidRPr="00423027">
        <w:rPr>
          <w:lang w:val="en-GB"/>
        </w:rPr>
        <w:t xml:space="preserve"> measured the overall importance of textile industry for the Croatian economy in terms of gross output, value added and employment applying </w:t>
      </w:r>
      <w:r w:rsidR="003C40B1">
        <w:rPr>
          <w:lang w:val="en-GB"/>
        </w:rPr>
        <w:t xml:space="preserve">IO </w:t>
      </w:r>
      <w:r w:rsidRPr="00423027">
        <w:rPr>
          <w:lang w:val="en-GB"/>
        </w:rPr>
        <w:t>analysis. Obtained output and value added multipliers for textile industry were low, while the change in final demand had the strongest direct effect on employment. Multipliers for Croatian economy were relative</w:t>
      </w:r>
      <w:r w:rsidR="00F5557F">
        <w:rPr>
          <w:lang w:val="en-GB"/>
        </w:rPr>
        <w:t>ly</w:t>
      </w:r>
      <w:r w:rsidRPr="00423027">
        <w:rPr>
          <w:lang w:val="en-GB"/>
        </w:rPr>
        <w:t xml:space="preserve"> low </w:t>
      </w:r>
      <w:r w:rsidR="00F5557F">
        <w:rPr>
          <w:lang w:val="en-GB"/>
        </w:rPr>
        <w:t xml:space="preserve">in </w:t>
      </w:r>
      <w:r w:rsidRPr="00423027">
        <w:rPr>
          <w:lang w:val="en-GB"/>
        </w:rPr>
        <w:t>reflecting the nature of servi</w:t>
      </w:r>
      <w:r w:rsidR="00F5557F">
        <w:rPr>
          <w:lang w:val="en-GB"/>
        </w:rPr>
        <w:t>ce based economy and losing the</w:t>
      </w:r>
      <w:r w:rsidRPr="00423027">
        <w:rPr>
          <w:lang w:val="en-GB"/>
        </w:rPr>
        <w:t xml:space="preserve"> competitive position in manufacturing industry.</w:t>
      </w:r>
    </w:p>
    <w:p w:rsidR="009A5CAF" w:rsidRDefault="00B02EBC" w:rsidP="0060490E">
      <w:pPr>
        <w:rPr>
          <w:lang w:val="en-GB"/>
        </w:rPr>
      </w:pPr>
      <w:r w:rsidRPr="00423027">
        <w:rPr>
          <w:lang w:val="en-GB"/>
        </w:rPr>
        <w:t xml:space="preserve">With the same motivation as the previous researchers, authors of this article wanted to </w:t>
      </w:r>
      <w:proofErr w:type="spellStart"/>
      <w:r w:rsidR="00134EA1">
        <w:rPr>
          <w:lang w:val="en-GB"/>
        </w:rPr>
        <w:t>analyz</w:t>
      </w:r>
      <w:r w:rsidR="0060490E" w:rsidRPr="00423027">
        <w:rPr>
          <w:lang w:val="en-GB"/>
        </w:rPr>
        <w:t>e</w:t>
      </w:r>
      <w:proofErr w:type="spellEnd"/>
      <w:r w:rsidRPr="00423027">
        <w:rPr>
          <w:lang w:val="en-GB"/>
        </w:rPr>
        <w:t xml:space="preserve"> the impact of the expansion of ICT </w:t>
      </w:r>
      <w:r w:rsidR="00134EA1">
        <w:rPr>
          <w:lang w:val="en-GB"/>
        </w:rPr>
        <w:t xml:space="preserve">by </w:t>
      </w:r>
      <w:r w:rsidRPr="00423027">
        <w:rPr>
          <w:lang w:val="en-GB"/>
        </w:rPr>
        <w:t>using IO table for the Croatian economy for the year 2004 and 2010</w:t>
      </w:r>
      <w:r w:rsidR="00134EA1">
        <w:rPr>
          <w:lang w:val="en-GB"/>
        </w:rPr>
        <w:t>,</w:t>
      </w:r>
      <w:r w:rsidRPr="00423027">
        <w:rPr>
          <w:lang w:val="en-GB"/>
        </w:rPr>
        <w:t xml:space="preserve"> because to date no similar studies have been published that would investigate issues regarding Croatian ICT sector</w:t>
      </w:r>
      <w:r w:rsidR="003C40B1">
        <w:rPr>
          <w:lang w:val="en-GB"/>
        </w:rPr>
        <w:t>s</w:t>
      </w:r>
      <w:r w:rsidRPr="00423027">
        <w:rPr>
          <w:lang w:val="en-GB"/>
        </w:rPr>
        <w:t xml:space="preserve"> by using the </w:t>
      </w:r>
      <w:r w:rsidR="000D6697" w:rsidRPr="00423027">
        <w:rPr>
          <w:lang w:val="en-GB"/>
        </w:rPr>
        <w:t xml:space="preserve">IO </w:t>
      </w:r>
      <w:r w:rsidRPr="00423027">
        <w:rPr>
          <w:lang w:val="en-GB"/>
        </w:rPr>
        <w:t>methodology. The following chapters provide an explanat</w:t>
      </w:r>
      <w:r w:rsidR="00134EA1">
        <w:rPr>
          <w:lang w:val="en-GB"/>
        </w:rPr>
        <w:t>ion of the methodology and present</w:t>
      </w:r>
      <w:r w:rsidRPr="00423027">
        <w:rPr>
          <w:lang w:val="en-GB"/>
        </w:rPr>
        <w:t xml:space="preserve"> research results, conclusions and recommendations based on the obtained results.</w:t>
      </w:r>
    </w:p>
    <w:p w:rsidR="0048562F" w:rsidRPr="0048562F" w:rsidRDefault="0048562F" w:rsidP="0048562F">
      <w:pPr>
        <w:spacing w:before="0"/>
        <w:rPr>
          <w:sz w:val="22"/>
          <w:szCs w:val="22"/>
          <w:lang w:val="en-GB"/>
        </w:rPr>
      </w:pPr>
    </w:p>
    <w:p w:rsidR="0048562F" w:rsidRPr="00697334" w:rsidRDefault="00EA358F" w:rsidP="0048562F">
      <w:pPr>
        <w:pStyle w:val="Odlomakpopisa"/>
        <w:numPr>
          <w:ilvl w:val="1"/>
          <w:numId w:val="18"/>
        </w:numPr>
        <w:spacing w:before="0"/>
        <w:ind w:left="357" w:hanging="357"/>
        <w:rPr>
          <w:b/>
          <w:bCs/>
          <w:lang w:val="en-GB"/>
        </w:rPr>
      </w:pPr>
      <w:r w:rsidRPr="00423027">
        <w:rPr>
          <w:b/>
          <w:lang w:val="en-GB"/>
        </w:rPr>
        <w:t>ICT sector definition and classification</w:t>
      </w:r>
    </w:p>
    <w:p w:rsidR="00697334" w:rsidRPr="000D13B9" w:rsidRDefault="00697334" w:rsidP="00697334">
      <w:pPr>
        <w:pStyle w:val="Odlomakpopisa"/>
        <w:spacing w:before="0"/>
        <w:ind w:left="357"/>
        <w:rPr>
          <w:b/>
          <w:bCs/>
          <w:lang w:val="en-GB"/>
        </w:rPr>
      </w:pPr>
    </w:p>
    <w:p w:rsidR="0060490E" w:rsidRDefault="0048562F" w:rsidP="0048562F">
      <w:pPr>
        <w:rPr>
          <w:rFonts w:eastAsiaTheme="minorEastAsia"/>
          <w:lang w:val="en-GB"/>
        </w:rPr>
      </w:pPr>
      <w:r w:rsidRPr="00423027">
        <w:rPr>
          <w:lang w:val="en-GB"/>
        </w:rPr>
        <w:t xml:space="preserve">Many definitions and classifications of the ICT sector come across during a reviewing of relevant literature. </w:t>
      </w:r>
      <w:proofErr w:type="gramStart"/>
      <w:r w:rsidRPr="00423027">
        <w:rPr>
          <w:lang w:val="en-GB"/>
        </w:rPr>
        <w:t>As the main data sources for the analysis of the impact of ICT on growth and development of the national economy</w:t>
      </w:r>
      <w:r w:rsidR="00134EA1">
        <w:rPr>
          <w:lang w:val="en-GB"/>
        </w:rPr>
        <w:t>,</w:t>
      </w:r>
      <w:r w:rsidRPr="00423027">
        <w:rPr>
          <w:lang w:val="en-GB"/>
        </w:rPr>
        <w:t xml:space="preserve"> symmetric </w:t>
      </w:r>
      <w:r w:rsidR="00785D17" w:rsidRPr="00423027">
        <w:rPr>
          <w:lang w:val="en-GB"/>
        </w:rPr>
        <w:t xml:space="preserve">IO </w:t>
      </w:r>
      <w:r w:rsidRPr="00423027">
        <w:rPr>
          <w:lang w:val="en-GB"/>
        </w:rPr>
        <w:t>tables for 2004 and 2010 of the Croatian Bureau of Stat</w:t>
      </w:r>
      <w:r w:rsidR="005A3341">
        <w:rPr>
          <w:lang w:val="en-GB"/>
        </w:rPr>
        <w:t xml:space="preserve">istics and Eurostat </w:t>
      </w:r>
      <w:r w:rsidR="001F299B">
        <w:rPr>
          <w:lang w:val="en-GB"/>
        </w:rPr>
        <w:t>[10]</w:t>
      </w:r>
      <w:r w:rsidR="001F299B" w:rsidRPr="00423027">
        <w:rPr>
          <w:lang w:val="en-GB"/>
        </w:rPr>
        <w:t xml:space="preserve">, </w:t>
      </w:r>
      <w:r w:rsidR="001F299B">
        <w:rPr>
          <w:lang w:val="en-GB"/>
        </w:rPr>
        <w:t>[</w:t>
      </w:r>
      <w:r w:rsidR="001F299B" w:rsidRPr="00423027">
        <w:rPr>
          <w:lang w:val="en-GB"/>
        </w:rPr>
        <w:t>16]</w:t>
      </w:r>
      <w:r w:rsidR="00134EA1">
        <w:rPr>
          <w:lang w:val="en-GB"/>
        </w:rPr>
        <w:t xml:space="preserve"> </w:t>
      </w:r>
      <w:r w:rsidR="005A3341">
        <w:rPr>
          <w:lang w:val="en-GB"/>
        </w:rPr>
        <w:t>are used</w:t>
      </w:r>
      <w:r w:rsidR="001F299B">
        <w:rPr>
          <w:lang w:val="en-GB"/>
        </w:rPr>
        <w:t>,</w:t>
      </w:r>
      <w:r w:rsidRPr="00423027">
        <w:rPr>
          <w:lang w:val="en-GB"/>
        </w:rPr>
        <w:t xml:space="preserve"> i</w:t>
      </w:r>
      <w:r w:rsidRPr="00423027">
        <w:rPr>
          <w:rFonts w:eastAsiaTheme="minorEastAsia"/>
          <w:lang w:val="en-GB"/>
        </w:rPr>
        <w:t xml:space="preserve">t is important to notice that symmetric </w:t>
      </w:r>
      <w:r w:rsidR="00785D17" w:rsidRPr="00423027">
        <w:rPr>
          <w:lang w:val="en-GB"/>
        </w:rPr>
        <w:t xml:space="preserve">IO </w:t>
      </w:r>
      <w:r w:rsidRPr="00423027">
        <w:rPr>
          <w:rFonts w:eastAsiaTheme="minorEastAsia"/>
          <w:lang w:val="en-GB"/>
        </w:rPr>
        <w:t>tables for the year 2004 and 2010 are not designed according to the same methodology and classification.</w:t>
      </w:r>
      <w:proofErr w:type="gramEnd"/>
      <w:r w:rsidRPr="00423027">
        <w:rPr>
          <w:rFonts w:eastAsiaTheme="minorEastAsia"/>
          <w:lang w:val="en-GB"/>
        </w:rPr>
        <w:t xml:space="preserve"> Symmetric </w:t>
      </w:r>
      <w:r w:rsidR="00785D17" w:rsidRPr="00423027">
        <w:rPr>
          <w:lang w:val="en-GB"/>
        </w:rPr>
        <w:t xml:space="preserve">IO </w:t>
      </w:r>
      <w:r w:rsidRPr="00423027">
        <w:rPr>
          <w:rFonts w:eastAsiaTheme="minorEastAsia"/>
          <w:lang w:val="en-GB"/>
        </w:rPr>
        <w:t xml:space="preserve">tables for the year 2010 </w:t>
      </w:r>
      <w:proofErr w:type="gramStart"/>
      <w:r w:rsidRPr="00423027">
        <w:rPr>
          <w:rFonts w:eastAsiaTheme="minorEastAsia"/>
          <w:lang w:val="en-GB"/>
        </w:rPr>
        <w:t>are prepared</w:t>
      </w:r>
      <w:proofErr w:type="gramEnd"/>
      <w:r w:rsidRPr="00423027">
        <w:rPr>
          <w:rFonts w:eastAsiaTheme="minorEastAsia"/>
          <w:lang w:val="en-GB"/>
        </w:rPr>
        <w:t xml:space="preserve"> according to the National Classification of Activities 2007</w:t>
      </w:r>
      <w:r w:rsidR="00134EA1">
        <w:rPr>
          <w:rFonts w:eastAsiaTheme="minorEastAsia"/>
          <w:lang w:val="en-GB"/>
        </w:rPr>
        <w:t>,</w:t>
      </w:r>
      <w:r w:rsidRPr="00423027">
        <w:rPr>
          <w:rFonts w:eastAsiaTheme="minorEastAsia"/>
          <w:lang w:val="en-GB"/>
        </w:rPr>
        <w:t xml:space="preserve"> which corresponds in its content and structure to the Statistical Classification of Economic Activities in the European Community, NACE Rev. 2. This classification differs in structure from the National Classification of Activities 2002 (NKD 2002)</w:t>
      </w:r>
      <w:r w:rsidR="00134EA1">
        <w:rPr>
          <w:rFonts w:eastAsiaTheme="minorEastAsia"/>
          <w:lang w:val="en-GB"/>
        </w:rPr>
        <w:t>,</w:t>
      </w:r>
      <w:r w:rsidRPr="00423027">
        <w:rPr>
          <w:rFonts w:eastAsiaTheme="minorEastAsia"/>
          <w:lang w:val="en-GB"/>
        </w:rPr>
        <w:t xml:space="preserve"> according to which the symmetric </w:t>
      </w:r>
      <w:r w:rsidR="00785D17" w:rsidRPr="00423027">
        <w:rPr>
          <w:lang w:val="en-GB"/>
        </w:rPr>
        <w:t xml:space="preserve">IO </w:t>
      </w:r>
      <w:r w:rsidRPr="00423027">
        <w:rPr>
          <w:rFonts w:eastAsiaTheme="minorEastAsia"/>
          <w:lang w:val="en-GB"/>
        </w:rPr>
        <w:t>tables for the year 2004 are prepared. National Classification of Activities 2002 corresponds in its content and structure to the NACE Rev. 1.1.</w:t>
      </w:r>
    </w:p>
    <w:p w:rsidR="00697334" w:rsidRDefault="0048562F" w:rsidP="0060490E">
      <w:pPr>
        <w:autoSpaceDE w:val="0"/>
        <w:autoSpaceDN w:val="0"/>
        <w:adjustRightInd w:val="0"/>
        <w:rPr>
          <w:lang w:val="en-GB"/>
        </w:rPr>
      </w:pPr>
      <w:r w:rsidRPr="00423027">
        <w:rPr>
          <w:lang w:val="en-GB"/>
        </w:rPr>
        <w:t>For analysis purposes in this paper the definition that is used to identify ICT economic activi</w:t>
      </w:r>
      <w:r w:rsidR="001F299B">
        <w:rPr>
          <w:lang w:val="en-GB"/>
        </w:rPr>
        <w:t>ties is [13, p</w:t>
      </w:r>
      <w:r w:rsidRPr="00423027">
        <w:rPr>
          <w:lang w:val="en-GB"/>
        </w:rPr>
        <w:t xml:space="preserve">. 278]: “The production (goods and services) of a candidate industry must primarily be intended to </w:t>
      </w:r>
      <w:r w:rsidR="00785D17" w:rsidRPr="00423027">
        <w:rPr>
          <w:lang w:val="en-GB"/>
        </w:rPr>
        <w:t>fulfil</w:t>
      </w:r>
      <w:r w:rsidRPr="00423027">
        <w:rPr>
          <w:lang w:val="en-GB"/>
        </w:rPr>
        <w:t xml:space="preserve"> or enable the function of information processing and communication by electronic means, including transmission and display”. The used ICT definition provides a statistical basis that measures the part of economic activity that </w:t>
      </w:r>
      <w:proofErr w:type="gramStart"/>
      <w:r w:rsidRPr="00423027">
        <w:rPr>
          <w:lang w:val="en-GB"/>
        </w:rPr>
        <w:t>is generated</w:t>
      </w:r>
      <w:proofErr w:type="gramEnd"/>
      <w:r w:rsidRPr="00423027">
        <w:rPr>
          <w:lang w:val="en-GB"/>
        </w:rPr>
        <w:t xml:space="preserve"> by the production of ICT goods and services and is comparable at the international level. There are three main groups of ICT activities: manufacturing industries, ICT trade industries and ICT services industries. </w:t>
      </w:r>
      <w:proofErr w:type="gramStart"/>
      <w:r w:rsidRPr="00423027">
        <w:rPr>
          <w:lang w:val="en-GB"/>
        </w:rPr>
        <w:t>Those groups include the following productive sectors according to the National Classification</w:t>
      </w:r>
      <w:r w:rsidR="00DA7C0F">
        <w:rPr>
          <w:lang w:val="en-GB"/>
        </w:rPr>
        <w:t xml:space="preserve"> of Activities 2007 (NKD 2007) i</w:t>
      </w:r>
      <w:r w:rsidRPr="00423027">
        <w:rPr>
          <w:lang w:val="en-GB"/>
        </w:rPr>
        <w:t xml:space="preserve">n the symmetric </w:t>
      </w:r>
      <w:r w:rsidR="00785D17" w:rsidRPr="00423027">
        <w:rPr>
          <w:lang w:val="en-GB"/>
        </w:rPr>
        <w:t xml:space="preserve">IO </w:t>
      </w:r>
      <w:r w:rsidRPr="00423027">
        <w:rPr>
          <w:lang w:val="en-GB"/>
        </w:rPr>
        <w:t>table for 2010: CPA_C26 - Computer, electronic and optical products; CPA_G46 - Wholesale trade services, except of motor vehicles and motorcycles; CPA_J58 - Publishing services; CPA_J61 - Telecommunications services; CPA_J62_J63 - Computer programming, consultancy and related services, information services; CPA_S95 - Repair services of computers and personal and household g</w:t>
      </w:r>
      <w:r w:rsidR="001F299B">
        <w:rPr>
          <w:lang w:val="en-GB"/>
        </w:rPr>
        <w:t>oods.</w:t>
      </w:r>
      <w:proofErr w:type="gramEnd"/>
      <w:r w:rsidR="001F299B">
        <w:rPr>
          <w:lang w:val="en-GB"/>
        </w:rPr>
        <w:t xml:space="preserve"> </w:t>
      </w:r>
    </w:p>
    <w:p w:rsidR="00697334" w:rsidRDefault="001F299B" w:rsidP="0060490E">
      <w:pPr>
        <w:autoSpaceDE w:val="0"/>
        <w:autoSpaceDN w:val="0"/>
        <w:adjustRightInd w:val="0"/>
        <w:rPr>
          <w:lang w:val="en-GB"/>
        </w:rPr>
      </w:pPr>
      <w:r>
        <w:rPr>
          <w:lang w:val="en-GB"/>
        </w:rPr>
        <w:t>By the OECD definition [36, p. 11 and p</w:t>
      </w:r>
      <w:r w:rsidR="0048562F" w:rsidRPr="00423027">
        <w:rPr>
          <w:lang w:val="en-GB"/>
        </w:rPr>
        <w:t>. 17]: “ICT products must primarily be intended to fulfil or enable the function of information processing and communication by electronic means, including transmission and display. C</w:t>
      </w:r>
      <w:r w:rsidR="00134EA1">
        <w:rPr>
          <w:lang w:val="en-GB"/>
        </w:rPr>
        <w:t>ontent corresponds to an organiz</w:t>
      </w:r>
      <w:r w:rsidR="0048562F" w:rsidRPr="00423027">
        <w:rPr>
          <w:lang w:val="en-GB"/>
        </w:rPr>
        <w:t xml:space="preserve">ed message intended for human beings published in mass communication media and related media activities. The value of such a product to the consumer does not lie in its tangible qualities but in its information, </w:t>
      </w:r>
      <w:r w:rsidR="0048562F" w:rsidRPr="00423027">
        <w:rPr>
          <w:lang w:val="en-GB"/>
        </w:rPr>
        <w:lastRenderedPageBreak/>
        <w:t>educational, cultural or entertainment content.</w:t>
      </w:r>
      <w:proofErr w:type="gramStart"/>
      <w:r w:rsidR="0048562F" w:rsidRPr="00423027">
        <w:rPr>
          <w:lang w:val="en-GB"/>
        </w:rPr>
        <w:t>”,</w:t>
      </w:r>
      <w:proofErr w:type="gramEnd"/>
      <w:r w:rsidR="0048562F" w:rsidRPr="00423027">
        <w:rPr>
          <w:lang w:val="en-GB"/>
        </w:rPr>
        <w:t xml:space="preserve"> ICT secto</w:t>
      </w:r>
      <w:r w:rsidR="00134EA1">
        <w:rPr>
          <w:lang w:val="en-GB"/>
        </w:rPr>
        <w:t>r consisted of two large groups:</w:t>
      </w:r>
      <w:r w:rsidR="0048562F" w:rsidRPr="00423027">
        <w:rPr>
          <w:lang w:val="en-GB"/>
        </w:rPr>
        <w:t xml:space="preserve"> ICT products and Content and media products. Based on this definition, in the symmetric </w:t>
      </w:r>
      <w:r w:rsidR="00785D17" w:rsidRPr="00423027">
        <w:rPr>
          <w:lang w:val="en-GB"/>
        </w:rPr>
        <w:t xml:space="preserve">IO </w:t>
      </w:r>
      <w:r w:rsidR="00DA7C0F">
        <w:rPr>
          <w:lang w:val="en-GB"/>
        </w:rPr>
        <w:t>table</w:t>
      </w:r>
      <w:r w:rsidR="0048562F" w:rsidRPr="00423027">
        <w:rPr>
          <w:lang w:val="en-GB"/>
        </w:rPr>
        <w:t xml:space="preserve"> for the year 2004</w:t>
      </w:r>
      <w:r w:rsidR="0048562F">
        <w:rPr>
          <w:lang w:val="en-GB"/>
        </w:rPr>
        <w:t>,</w:t>
      </w:r>
      <w:r w:rsidR="0048562F" w:rsidRPr="00423027">
        <w:rPr>
          <w:lang w:val="en-GB"/>
        </w:rPr>
        <w:t xml:space="preserve"> ICT sectors have be</w:t>
      </w:r>
      <w:r>
        <w:rPr>
          <w:lang w:val="en-GB"/>
        </w:rPr>
        <w:t>en detected and according to [30</w:t>
      </w:r>
      <w:r w:rsidR="0048562F" w:rsidRPr="00423027">
        <w:rPr>
          <w:lang w:val="en-GB"/>
        </w:rPr>
        <w:t xml:space="preserve">] separated those sectors that correspond to the </w:t>
      </w:r>
      <w:proofErr w:type="gramStart"/>
      <w:r w:rsidR="0048562F" w:rsidRPr="00423027">
        <w:rPr>
          <w:lang w:val="en-GB"/>
        </w:rPr>
        <w:t>above mentioned</w:t>
      </w:r>
      <w:proofErr w:type="gramEnd"/>
      <w:r w:rsidR="0048562F" w:rsidRPr="00423027">
        <w:rPr>
          <w:lang w:val="en-GB"/>
        </w:rPr>
        <w:t xml:space="preserve"> manufacturing, trade and services ICT sectors.</w:t>
      </w:r>
      <w:r w:rsidR="0048562F">
        <w:rPr>
          <w:lang w:val="en-GB"/>
        </w:rPr>
        <w:t xml:space="preserve"> </w:t>
      </w:r>
    </w:p>
    <w:p w:rsidR="0048562F" w:rsidRDefault="0048562F" w:rsidP="0060490E">
      <w:pPr>
        <w:autoSpaceDE w:val="0"/>
        <w:autoSpaceDN w:val="0"/>
        <w:adjustRightInd w:val="0"/>
        <w:rPr>
          <w:lang w:eastAsia="hr-HR"/>
        </w:rPr>
      </w:pPr>
      <w:proofErr w:type="gramStart"/>
      <w:r>
        <w:rPr>
          <w:lang w:val="en-GB"/>
        </w:rPr>
        <w:t xml:space="preserve">Thus, the </w:t>
      </w:r>
      <w:r w:rsidRPr="00C26F06">
        <w:rPr>
          <w:lang w:val="en-GB"/>
        </w:rPr>
        <w:t xml:space="preserve">sector CPA_C26 - Computer, electronic and optical products corresponds to the sectors 30 - </w:t>
      </w:r>
      <w:r w:rsidRPr="00C26F06">
        <w:rPr>
          <w:lang w:eastAsia="hr-HR"/>
        </w:rPr>
        <w:t xml:space="preserve">Office machinery and computers and 32 - Radio, television and communication equipment and apparatus, sector </w:t>
      </w:r>
      <w:r w:rsidRPr="00C26F06">
        <w:rPr>
          <w:lang w:val="en-GB"/>
        </w:rPr>
        <w:t xml:space="preserve">CPA_G46 - Wholesale trade services, except of motor vehicles and motorcycles corresponds to the sector 51 - </w:t>
      </w:r>
      <w:r w:rsidRPr="00C26F06">
        <w:rPr>
          <w:lang w:eastAsia="hr-HR"/>
        </w:rPr>
        <w:t xml:space="preserve">Wholesale trade and commission trade services, except of motor vehicles and motorcycles, sector </w:t>
      </w:r>
      <w:r w:rsidRPr="00C26F06">
        <w:rPr>
          <w:lang w:val="en-GB"/>
        </w:rPr>
        <w:t xml:space="preserve">CPA_J61 - Telecommunications services corresponds to the sector 64 - </w:t>
      </w:r>
      <w:r w:rsidRPr="00C26F06">
        <w:rPr>
          <w:lang w:eastAsia="hr-HR"/>
        </w:rPr>
        <w:t xml:space="preserve">Post and telecommunication services, while the sectors </w:t>
      </w:r>
      <w:r w:rsidRPr="00C26F06">
        <w:rPr>
          <w:lang w:val="en-GB"/>
        </w:rPr>
        <w:t xml:space="preserve">CPA_J58 - Publishing services, CPA_J62_J63 - Computer programming, consultancy and related services, information services and CPA_S95 - Repair services of computers and personal and household goods correspond to the sector 72 - </w:t>
      </w:r>
      <w:r w:rsidRPr="00C26F06">
        <w:rPr>
          <w:lang w:eastAsia="hr-HR"/>
        </w:rPr>
        <w:t>Computer and related services.</w:t>
      </w:r>
      <w:proofErr w:type="gramEnd"/>
    </w:p>
    <w:p w:rsidR="0048562F" w:rsidRPr="0048562F" w:rsidRDefault="0048562F" w:rsidP="0048562F">
      <w:pPr>
        <w:autoSpaceDE w:val="0"/>
        <w:autoSpaceDN w:val="0"/>
        <w:adjustRightInd w:val="0"/>
        <w:spacing w:before="0"/>
        <w:rPr>
          <w:sz w:val="22"/>
          <w:szCs w:val="22"/>
          <w:lang w:eastAsia="hr-HR"/>
        </w:rPr>
      </w:pPr>
    </w:p>
    <w:p w:rsidR="0048562F" w:rsidRDefault="0048562F" w:rsidP="0048562F">
      <w:pPr>
        <w:autoSpaceDE w:val="0"/>
        <w:autoSpaceDN w:val="0"/>
        <w:adjustRightInd w:val="0"/>
        <w:spacing w:before="0"/>
        <w:rPr>
          <w:b/>
          <w:sz w:val="28"/>
          <w:szCs w:val="28"/>
          <w:lang w:val="hr-HR" w:eastAsia="hr-HR"/>
        </w:rPr>
      </w:pPr>
      <w:r w:rsidRPr="0048562F">
        <w:rPr>
          <w:b/>
          <w:sz w:val="28"/>
          <w:szCs w:val="28"/>
          <w:lang w:eastAsia="hr-HR"/>
        </w:rPr>
        <w:t xml:space="preserve">2. </w:t>
      </w:r>
      <w:r w:rsidRPr="0048562F">
        <w:rPr>
          <w:b/>
          <w:sz w:val="28"/>
          <w:szCs w:val="28"/>
          <w:lang w:val="hr-HR" w:eastAsia="hr-HR"/>
        </w:rPr>
        <w:t xml:space="preserve">Research </w:t>
      </w:r>
      <w:proofErr w:type="spellStart"/>
      <w:r w:rsidRPr="0048562F">
        <w:rPr>
          <w:b/>
          <w:sz w:val="28"/>
          <w:szCs w:val="28"/>
          <w:lang w:val="hr-HR" w:eastAsia="hr-HR"/>
        </w:rPr>
        <w:t>methodology</w:t>
      </w:r>
      <w:proofErr w:type="spellEnd"/>
    </w:p>
    <w:p w:rsidR="0048562F" w:rsidRDefault="0048562F" w:rsidP="0048562F">
      <w:pPr>
        <w:autoSpaceDE w:val="0"/>
        <w:autoSpaceDN w:val="0"/>
        <w:adjustRightInd w:val="0"/>
        <w:spacing w:before="0"/>
        <w:rPr>
          <w:b/>
          <w:lang w:eastAsia="hr-HR"/>
        </w:rPr>
      </w:pPr>
    </w:p>
    <w:p w:rsidR="0048562F" w:rsidRDefault="0048562F" w:rsidP="0048562F">
      <w:pPr>
        <w:spacing w:before="0"/>
        <w:rPr>
          <w:lang w:val="en-GB"/>
        </w:rPr>
      </w:pPr>
      <w:r w:rsidRPr="00423027">
        <w:rPr>
          <w:lang w:val="en-GB"/>
        </w:rPr>
        <w:t>Input-</w:t>
      </w:r>
      <w:r w:rsidR="00C62C13">
        <w:rPr>
          <w:lang w:val="en-GB"/>
        </w:rPr>
        <w:t xml:space="preserve">output analysis </w:t>
      </w:r>
      <w:proofErr w:type="gramStart"/>
      <w:r w:rsidR="00C62C13">
        <w:rPr>
          <w:lang w:val="en-GB"/>
        </w:rPr>
        <w:t>is considered</w:t>
      </w:r>
      <w:proofErr w:type="gramEnd"/>
      <w:r w:rsidR="00C62C13">
        <w:rPr>
          <w:lang w:val="en-GB"/>
        </w:rPr>
        <w:t xml:space="preserve"> a</w:t>
      </w:r>
      <w:r w:rsidR="002D1B5B">
        <w:rPr>
          <w:lang w:val="en-GB"/>
        </w:rPr>
        <w:t>s</w:t>
      </w:r>
      <w:r w:rsidRPr="00423027">
        <w:rPr>
          <w:lang w:val="en-GB"/>
        </w:rPr>
        <w:t xml:space="preserve"> practical method of quantitative macroeconomic analysis. Its importance was recognized i</w:t>
      </w:r>
      <w:r w:rsidR="00C62C13">
        <w:rPr>
          <w:lang w:val="en-GB"/>
        </w:rPr>
        <w:t>n various aspects of planning the</w:t>
      </w:r>
      <w:r w:rsidRPr="00423027">
        <w:rPr>
          <w:lang w:val="en-GB"/>
        </w:rPr>
        <w:t xml:space="preserve"> economic development, and its economic significance is also reflected in research and determination of complex quantitative effects of certain economic policy measures and individual emergency interventions in the econ</w:t>
      </w:r>
      <w:r w:rsidR="001F299B">
        <w:rPr>
          <w:lang w:val="en-GB"/>
        </w:rPr>
        <w:t>omic development of the country</w:t>
      </w:r>
      <w:r w:rsidRPr="00423027">
        <w:rPr>
          <w:lang w:val="en-GB"/>
        </w:rPr>
        <w:t xml:space="preserve"> [</w:t>
      </w:r>
      <w:r w:rsidR="002D1B5B">
        <w:rPr>
          <w:lang w:val="en-GB"/>
        </w:rPr>
        <w:t>42</w:t>
      </w:r>
      <w:r w:rsidR="001F299B">
        <w:rPr>
          <w:lang w:val="en-GB"/>
        </w:rPr>
        <w:t>], [53], [</w:t>
      </w:r>
      <w:r w:rsidR="002D1B5B">
        <w:rPr>
          <w:lang w:val="en-GB"/>
        </w:rPr>
        <w:t>34</w:t>
      </w:r>
      <w:r w:rsidRPr="00423027">
        <w:rPr>
          <w:lang w:val="en-GB"/>
        </w:rPr>
        <w:t>]</w:t>
      </w:r>
      <w:r w:rsidR="001F299B">
        <w:rPr>
          <w:lang w:val="en-GB"/>
        </w:rPr>
        <w:t>.</w:t>
      </w:r>
      <w:r w:rsidRPr="00423027">
        <w:rPr>
          <w:lang w:val="en-GB"/>
        </w:rPr>
        <w:t xml:space="preserve"> Statistical basis of the </w:t>
      </w:r>
      <w:r w:rsidR="00785D17" w:rsidRPr="00423027">
        <w:rPr>
          <w:lang w:val="en-GB"/>
        </w:rPr>
        <w:t xml:space="preserve">IO </w:t>
      </w:r>
      <w:r w:rsidRPr="00423027">
        <w:rPr>
          <w:lang w:val="en-GB"/>
        </w:rPr>
        <w:t xml:space="preserve">analysis are </w:t>
      </w:r>
      <w:r w:rsidR="00785D17" w:rsidRPr="00423027">
        <w:rPr>
          <w:lang w:val="en-GB"/>
        </w:rPr>
        <w:t xml:space="preserve">IO </w:t>
      </w:r>
      <w:r w:rsidRPr="00423027">
        <w:rPr>
          <w:lang w:val="en-GB"/>
        </w:rPr>
        <w:t xml:space="preserve">tables. In </w:t>
      </w:r>
      <w:r w:rsidR="00785D17" w:rsidRPr="00423027">
        <w:rPr>
          <w:lang w:val="en-GB"/>
        </w:rPr>
        <w:t xml:space="preserve">IO </w:t>
      </w:r>
      <w:r w:rsidRPr="00423027">
        <w:rPr>
          <w:lang w:val="en-GB"/>
        </w:rPr>
        <w:t>table</w:t>
      </w:r>
      <w:r w:rsidR="00C62C13">
        <w:rPr>
          <w:lang w:val="en-GB"/>
        </w:rPr>
        <w:t>,</w:t>
      </w:r>
      <w:r w:rsidRPr="00423027">
        <w:rPr>
          <w:lang w:val="en-GB"/>
        </w:rPr>
        <w:t xml:space="preserve"> the production system of the economy is broken down into a certain num</w:t>
      </w:r>
      <w:r w:rsidR="00C62C13">
        <w:rPr>
          <w:lang w:val="en-GB"/>
        </w:rPr>
        <w:t xml:space="preserve">ber of productive sectors and it </w:t>
      </w:r>
      <w:proofErr w:type="gramStart"/>
      <w:r w:rsidR="00C62C13">
        <w:rPr>
          <w:lang w:val="en-GB"/>
        </w:rPr>
        <w:t>is</w:t>
      </w:r>
      <w:r w:rsidRPr="00423027">
        <w:rPr>
          <w:lang w:val="en-GB"/>
        </w:rPr>
        <w:t xml:space="preserve"> shown</w:t>
      </w:r>
      <w:proofErr w:type="gramEnd"/>
      <w:r w:rsidRPr="00423027">
        <w:rPr>
          <w:lang w:val="en-GB"/>
        </w:rPr>
        <w:t xml:space="preserve"> how outputs from each sector of the economy are used as inputs by the other sectors.</w:t>
      </w:r>
    </w:p>
    <w:p w:rsidR="0048562F" w:rsidRPr="00423027" w:rsidRDefault="0048562F" w:rsidP="0048562F">
      <w:pPr>
        <w:rPr>
          <w:lang w:val="en-GB"/>
        </w:rPr>
      </w:pPr>
      <w:r w:rsidRPr="00423027">
        <w:rPr>
          <w:lang w:val="en-GB"/>
        </w:rPr>
        <w:t xml:space="preserve">The </w:t>
      </w:r>
      <w:proofErr w:type="gramStart"/>
      <w:r w:rsidRPr="00423027">
        <w:rPr>
          <w:lang w:val="en-GB"/>
        </w:rPr>
        <w:t xml:space="preserve">equation which shows the dependence of cross-sector flows on the total production of each sector in the </w:t>
      </w:r>
      <w:r w:rsidR="00785D17" w:rsidRPr="00423027">
        <w:rPr>
          <w:lang w:val="en-GB"/>
        </w:rPr>
        <w:t xml:space="preserve">IO </w:t>
      </w:r>
      <w:r w:rsidRPr="00423027">
        <w:rPr>
          <w:lang w:val="en-GB"/>
        </w:rPr>
        <w:t>table</w:t>
      </w:r>
      <w:proofErr w:type="gramEnd"/>
      <w:r w:rsidRPr="00423027">
        <w:rPr>
          <w:lang w:val="en-GB"/>
        </w:rPr>
        <w:t xml:space="preserve"> </w:t>
      </w:r>
      <w:r w:rsidR="00DA7C0F">
        <w:rPr>
          <w:lang w:val="en-GB"/>
        </w:rPr>
        <w:t>represent</w:t>
      </w:r>
      <w:r w:rsidR="00C62C13">
        <w:rPr>
          <w:lang w:val="en-GB"/>
        </w:rPr>
        <w:t>s</w:t>
      </w:r>
      <w:r w:rsidRPr="00423027">
        <w:rPr>
          <w:lang w:val="en-GB"/>
        </w:rPr>
        <w:t xml:space="preserve"> the basic equat</w:t>
      </w:r>
      <w:r w:rsidR="001F299B">
        <w:rPr>
          <w:lang w:val="en-GB"/>
        </w:rPr>
        <w:t xml:space="preserve">ion in the </w:t>
      </w:r>
      <w:r w:rsidR="00785D17" w:rsidRPr="00423027">
        <w:rPr>
          <w:lang w:val="en-GB"/>
        </w:rPr>
        <w:t xml:space="preserve">IO </w:t>
      </w:r>
      <w:r w:rsidR="001F299B">
        <w:rPr>
          <w:lang w:val="en-GB"/>
        </w:rPr>
        <w:t>model [34</w:t>
      </w:r>
      <w:r w:rsidRPr="00423027">
        <w:rPr>
          <w:lang w:val="en-GB"/>
        </w:rPr>
        <w:t xml:space="preserve">]. For </w:t>
      </w:r>
      <w:proofErr w:type="gramStart"/>
      <w:r w:rsidRPr="00423027">
        <w:rPr>
          <w:lang w:val="en-GB"/>
        </w:rPr>
        <w:t xml:space="preserve">sector </w:t>
      </w:r>
      <w:proofErr w:type="gramEnd"/>
      <m:oMath>
        <m:r>
          <w:rPr>
            <w:rFonts w:ascii="Cambria Math" w:hAnsi="Cambria Math"/>
            <w:lang w:val="en-GB"/>
          </w:rPr>
          <m:t>i</m:t>
        </m:r>
      </m:oMath>
      <w:r w:rsidRPr="00423027">
        <w:rPr>
          <w:rFonts w:eastAsiaTheme="minorEastAsia"/>
          <w:lang w:val="en-GB"/>
        </w:rPr>
        <w:t>,</w:t>
      </w:r>
      <w:r w:rsidRPr="00423027">
        <w:rPr>
          <w:lang w:val="en-GB"/>
        </w:rPr>
        <w:t xml:space="preserve"> the equation expressing this dependence is given as follows:</w:t>
      </w:r>
    </w:p>
    <w:p w:rsidR="004B590B" w:rsidRDefault="008B39C9" w:rsidP="0060490E">
      <w:pPr>
        <w:tabs>
          <w:tab w:val="center" w:pos="4820"/>
          <w:tab w:val="left" w:pos="5068"/>
          <w:tab w:val="left" w:pos="8931"/>
          <w:tab w:val="left" w:pos="9072"/>
        </w:tabs>
        <w:jc w:val="right"/>
        <w:rPr>
          <w:lang w:val="en-GB"/>
        </w:rPr>
      </w:pP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nary>
          <m:naryPr>
            <m:chr m:val="∑"/>
            <m:limLoc m:val="undOvr"/>
            <m:supHide m:val="1"/>
            <m:ctrlPr>
              <w:rPr>
                <w:rFonts w:ascii="Cambria Math" w:hAnsi="Cambria Math"/>
                <w:i/>
                <w:lang w:val="en-GB"/>
              </w:rPr>
            </m:ctrlPr>
          </m:naryPr>
          <m:sub>
            <m:r>
              <w:rPr>
                <w:rFonts w:ascii="Cambria Math" w:hAnsi="Cambria Math"/>
                <w:lang w:val="en-GB"/>
              </w:rPr>
              <m:t>j</m:t>
            </m:r>
          </m:sub>
          <m:sup/>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ij</m:t>
                </m:r>
              </m:sub>
            </m:sSub>
          </m:e>
        </m:nary>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i</m:t>
            </m:r>
          </m:sub>
        </m:sSub>
      </m:oMath>
      <w:r w:rsidR="0060490E">
        <w:rPr>
          <w:lang w:val="en-GB"/>
        </w:rPr>
        <w:tab/>
      </w:r>
      <w:r w:rsidR="0060490E">
        <w:rPr>
          <w:lang w:val="en-GB"/>
        </w:rPr>
        <w:tab/>
        <w:t>(1)</w:t>
      </w:r>
    </w:p>
    <w:p w:rsidR="0048562F" w:rsidRPr="00B47F38" w:rsidRDefault="0048562F" w:rsidP="00B47F38">
      <w:pPr>
        <w:rPr>
          <w:lang w:val="en-GB"/>
        </w:rPr>
      </w:pPr>
      <w:r w:rsidRPr="00423027">
        <w:rPr>
          <w:lang w:val="en-GB"/>
        </w:rPr>
        <w:t xml:space="preserve">where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oMath>
      <w:r w:rsidRPr="00423027">
        <w:rPr>
          <w:lang w:val="en-GB"/>
        </w:rPr>
        <w:t xml:space="preserve"> is total output of sector </w:t>
      </w:r>
      <m:oMath>
        <m:r>
          <w:rPr>
            <w:rFonts w:ascii="Cambria Math" w:hAnsi="Cambria Math"/>
            <w:lang w:val="en-GB"/>
          </w:rPr>
          <m:t>i</m:t>
        </m:r>
      </m:oMath>
      <w:r w:rsidRPr="00423027">
        <w:rPr>
          <w:lang w:val="en-GB"/>
        </w:rPr>
        <w:t xml:space="preserve">,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ij</m:t>
            </m:r>
          </m:sub>
        </m:sSub>
      </m:oMath>
      <w:r w:rsidRPr="00423027">
        <w:rPr>
          <w:lang w:val="en-GB"/>
        </w:rPr>
        <w:t xml:space="preserve"> amount of product of sector </w:t>
      </w:r>
      <m:oMath>
        <m:r>
          <w:rPr>
            <w:rFonts w:ascii="Cambria Math" w:hAnsi="Cambria Math"/>
            <w:lang w:val="en-GB"/>
          </w:rPr>
          <m:t>i</m:t>
        </m:r>
      </m:oMath>
      <w:r w:rsidRPr="00423027">
        <w:rPr>
          <w:lang w:val="en-GB"/>
        </w:rPr>
        <w:t xml:space="preserve"> used as an intermediate input in the production of sector </w:t>
      </w:r>
      <m:oMath>
        <m:r>
          <w:rPr>
            <w:rFonts w:ascii="Cambria Math" w:hAnsi="Cambria Math"/>
            <w:lang w:val="en-GB"/>
          </w:rPr>
          <m:t>j</m:t>
        </m:r>
      </m:oMath>
      <w:r w:rsidRPr="00423027">
        <w:rPr>
          <w:lang w:val="en-GB"/>
        </w:rPr>
        <w:t xml:space="preserve">, and </w:t>
      </w: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i</m:t>
            </m:r>
          </m:sub>
        </m:sSub>
      </m:oMath>
      <w:r w:rsidRPr="00423027">
        <w:rPr>
          <w:lang w:val="en-GB"/>
        </w:rPr>
        <w:t xml:space="preserve"> is the final demand of sector </w:t>
      </w:r>
      <m:oMath>
        <m:r>
          <w:rPr>
            <w:rFonts w:ascii="Cambria Math" w:hAnsi="Cambria Math"/>
            <w:lang w:val="en-GB"/>
          </w:rPr>
          <m:t>i</m:t>
        </m:r>
      </m:oMath>
      <w:r w:rsidRPr="00423027">
        <w:rPr>
          <w:lang w:val="en-GB"/>
        </w:rPr>
        <w:t xml:space="preserve">, where </w:t>
      </w:r>
      <m:oMath>
        <m:r>
          <w:rPr>
            <w:rFonts w:ascii="Cambria Math" w:hAnsi="Cambria Math"/>
            <w:lang w:val="en-GB"/>
          </w:rPr>
          <m:t>i,j=1,...,n</m:t>
        </m:r>
      </m:oMath>
      <w:r w:rsidRPr="00423027">
        <w:rPr>
          <w:lang w:val="en-GB"/>
        </w:rPr>
        <w:t xml:space="preserve">. Defining the technical coefficient </w:t>
      </w:r>
      <m:oMath>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ij</m:t>
            </m:r>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ij</m:t>
                </m:r>
              </m:sub>
            </m:sSub>
          </m:num>
          <m:den>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j</m:t>
                </m:r>
              </m:sub>
            </m:sSub>
          </m:den>
        </m:f>
      </m:oMath>
      <w:r w:rsidRPr="00423027">
        <w:rPr>
          <w:rFonts w:eastAsiaTheme="minorEastAsia"/>
          <w:lang w:val="en-GB"/>
        </w:rPr>
        <w:t xml:space="preserve"> as a ratio of a product of sector </w:t>
      </w:r>
      <m:oMath>
        <m:r>
          <w:rPr>
            <w:rFonts w:ascii="Cambria Math" w:eastAsiaTheme="minorEastAsia" w:hAnsi="Cambria Math"/>
            <w:lang w:val="en-GB"/>
          </w:rPr>
          <m:t>i</m:t>
        </m:r>
      </m:oMath>
      <w:r w:rsidRPr="00423027">
        <w:rPr>
          <w:rFonts w:eastAsiaTheme="minorEastAsia"/>
          <w:lang w:val="en-GB"/>
        </w:rPr>
        <w:t xml:space="preserve"> that is required by sector </w:t>
      </w:r>
      <m:oMath>
        <m:r>
          <w:rPr>
            <w:rFonts w:ascii="Cambria Math" w:eastAsiaTheme="minorEastAsia" w:hAnsi="Cambria Math"/>
            <w:lang w:val="en-GB"/>
          </w:rPr>
          <m:t>j</m:t>
        </m:r>
      </m:oMath>
      <w:r w:rsidRPr="00423027">
        <w:rPr>
          <w:rFonts w:eastAsiaTheme="minorEastAsia"/>
          <w:lang w:val="en-GB"/>
        </w:rPr>
        <w:t xml:space="preserve"> in order to produce one unit of its products, the system of equations (1) for the whole economy in matrix form </w:t>
      </w:r>
      <w:proofErr w:type="gramStart"/>
      <w:r w:rsidRPr="00423027">
        <w:rPr>
          <w:rFonts w:eastAsiaTheme="minorEastAsia"/>
          <w:lang w:val="en-GB"/>
        </w:rPr>
        <w:t>can be rewritten</w:t>
      </w:r>
      <w:proofErr w:type="gramEnd"/>
      <w:r w:rsidRPr="00423027">
        <w:rPr>
          <w:rFonts w:eastAsiaTheme="minorEastAsia"/>
          <w:lang w:val="en-GB"/>
        </w:rPr>
        <w:t xml:space="preserve"> as:</w:t>
      </w:r>
    </w:p>
    <w:p w:rsidR="0048562F" w:rsidRPr="00423027" w:rsidRDefault="0048562F" w:rsidP="0060490E">
      <w:pPr>
        <w:jc w:val="right"/>
        <w:rPr>
          <w:rFonts w:eastAsiaTheme="minorEastAsia"/>
          <w:lang w:val="en-GB"/>
        </w:rPr>
      </w:pPr>
      <m:oMath>
        <m:r>
          <w:rPr>
            <w:rFonts w:ascii="Cambria Math" w:hAnsi="Cambria Math"/>
            <w:lang w:val="en-GB"/>
          </w:rPr>
          <m:t>X = AX+</m:t>
        </m:r>
        <m:r>
          <m:rPr>
            <m:sty m:val="p"/>
          </m:rPr>
          <w:rPr>
            <w:rFonts w:ascii="Cambria Math" w:hAnsi="Cambria Math"/>
            <w:lang w:val="en-GB"/>
          </w:rPr>
          <w:softHyphen/>
        </m:r>
        <m:r>
          <w:rPr>
            <w:rFonts w:ascii="Cambria Math" w:hAnsi="Cambria Math"/>
            <w:lang w:val="en-GB"/>
          </w:rPr>
          <m:t>Y</m:t>
        </m:r>
      </m:oMath>
      <w:r w:rsidR="0060490E">
        <w:rPr>
          <w:rFonts w:eastAsiaTheme="minorEastAsia"/>
          <w:lang w:val="en-GB"/>
        </w:rPr>
        <w:tab/>
      </w:r>
      <w:r w:rsidR="0060490E">
        <w:rPr>
          <w:rFonts w:eastAsiaTheme="minorEastAsia"/>
          <w:lang w:val="en-GB"/>
        </w:rPr>
        <w:tab/>
      </w:r>
      <w:r w:rsidR="0060490E">
        <w:rPr>
          <w:rFonts w:eastAsiaTheme="minorEastAsia"/>
          <w:lang w:val="en-GB"/>
        </w:rPr>
        <w:tab/>
      </w:r>
      <w:r w:rsidR="0060490E">
        <w:rPr>
          <w:rFonts w:eastAsiaTheme="minorEastAsia"/>
          <w:lang w:val="en-GB"/>
        </w:rPr>
        <w:tab/>
      </w:r>
      <w:r w:rsidR="0060490E">
        <w:rPr>
          <w:rFonts w:eastAsiaTheme="minorEastAsia"/>
          <w:lang w:val="en-GB"/>
        </w:rPr>
        <w:tab/>
      </w:r>
      <w:r w:rsidR="0060490E">
        <w:rPr>
          <w:rFonts w:eastAsiaTheme="minorEastAsia"/>
          <w:lang w:val="en-GB"/>
        </w:rPr>
        <w:tab/>
      </w:r>
      <w:r w:rsidR="001C74DB">
        <w:rPr>
          <w:rFonts w:eastAsiaTheme="minorEastAsia"/>
          <w:lang w:val="en-GB"/>
        </w:rPr>
        <w:t>(</w:t>
      </w:r>
      <w:r w:rsidRPr="00423027">
        <w:rPr>
          <w:rFonts w:eastAsiaTheme="minorEastAsia"/>
          <w:lang w:val="en-GB"/>
        </w:rPr>
        <w:t>2)</w:t>
      </w:r>
    </w:p>
    <w:p w:rsidR="0048562F" w:rsidRPr="00423027" w:rsidRDefault="0048562F" w:rsidP="00FD7529">
      <w:pPr>
        <w:rPr>
          <w:rFonts w:eastAsiaTheme="minorEastAsia"/>
          <w:lang w:val="en-GB"/>
        </w:rPr>
      </w:pPr>
      <w:proofErr w:type="gramStart"/>
      <w:r w:rsidRPr="00423027">
        <w:rPr>
          <w:rFonts w:eastAsiaTheme="minorEastAsia"/>
          <w:lang w:val="en-GB"/>
        </w:rPr>
        <w:t xml:space="preserve">where </w:t>
      </w:r>
      <w:proofErr w:type="gramEnd"/>
      <m:oMath>
        <m:r>
          <w:rPr>
            <w:rFonts w:ascii="Cambria Math" w:eastAsiaTheme="minorEastAsia" w:hAnsi="Cambria Math"/>
            <w:lang w:val="en-GB"/>
          </w:rPr>
          <m:t>X=</m:t>
        </m:r>
        <m:d>
          <m:dPr>
            <m:begChr m:val="["/>
            <m:endChr m:val="]"/>
            <m:ctrlPr>
              <w:rPr>
                <w:rFonts w:ascii="Cambria Math" w:eastAsiaTheme="minorEastAsia" w:hAnsi="Cambria Math"/>
                <w:i/>
                <w:lang w:val="en-GB"/>
              </w:rPr>
            </m:ctrlPr>
          </m:dPr>
          <m:e>
            <m:m>
              <m:mPr>
                <m:mcs>
                  <m:mc>
                    <m:mcPr>
                      <m:count m:val="1"/>
                      <m:mcJc m:val="center"/>
                    </m:mcPr>
                  </m:mc>
                </m:mcs>
                <m:ctrlPr>
                  <w:rPr>
                    <w:rFonts w:ascii="Cambria Math" w:eastAsiaTheme="minorEastAsia" w:hAnsi="Cambria Math"/>
                    <w:i/>
                    <w:lang w:val="en-GB"/>
                  </w:rPr>
                </m:ctrlPr>
              </m:mPr>
              <m:mr>
                <m:e>
                  <m:sSub>
                    <m:sSubPr>
                      <m:ctrlPr>
                        <w:rPr>
                          <w:rFonts w:ascii="Cambria Math" w:eastAsiaTheme="minorEastAsia" w:hAnsi="Cambria Math"/>
                          <w:i/>
                          <w:lang w:val="en-GB"/>
                        </w:rPr>
                      </m:ctrlPr>
                    </m:sSubPr>
                    <m:e>
                      <m:r>
                        <w:rPr>
                          <w:rFonts w:ascii="Cambria Math" w:eastAsiaTheme="minorEastAsia" w:hAnsi="Cambria Math"/>
                          <w:lang w:val="en-GB"/>
                        </w:rPr>
                        <m:t>X</m:t>
                      </m:r>
                    </m:e>
                    <m:sub>
                      <m:r>
                        <w:rPr>
                          <w:rFonts w:ascii="Cambria Math" w:eastAsiaTheme="minorEastAsia" w:hAnsi="Cambria Math"/>
                          <w:lang w:val="en-GB"/>
                        </w:rPr>
                        <m:t>1</m:t>
                      </m:r>
                    </m:sub>
                  </m:sSub>
                </m:e>
              </m:mr>
              <m:mr>
                <m:e>
                  <m:r>
                    <w:rPr>
                      <w:rFonts w:ascii="Cambria Math" w:eastAsiaTheme="minorEastAsia" w:hAnsi="Cambria Math"/>
                      <w:lang w:val="en-GB"/>
                    </w:rPr>
                    <m:t>⋮</m:t>
                  </m:r>
                </m:e>
              </m:mr>
              <m:mr>
                <m:e>
                  <m:sSub>
                    <m:sSubPr>
                      <m:ctrlPr>
                        <w:rPr>
                          <w:rFonts w:ascii="Cambria Math" w:eastAsiaTheme="minorEastAsia" w:hAnsi="Cambria Math"/>
                          <w:i/>
                          <w:lang w:val="en-GB"/>
                        </w:rPr>
                      </m:ctrlPr>
                    </m:sSubPr>
                    <m:e>
                      <m:r>
                        <w:rPr>
                          <w:rFonts w:ascii="Cambria Math" w:eastAsiaTheme="minorEastAsia" w:hAnsi="Cambria Math"/>
                          <w:lang w:val="en-GB"/>
                        </w:rPr>
                        <m:t>X</m:t>
                      </m:r>
                    </m:e>
                    <m:sub>
                      <m:r>
                        <w:rPr>
                          <w:rFonts w:ascii="Cambria Math" w:eastAsiaTheme="minorEastAsia" w:hAnsi="Cambria Math"/>
                          <w:lang w:val="en-GB"/>
                        </w:rPr>
                        <m:t>n</m:t>
                      </m:r>
                    </m:sub>
                  </m:sSub>
                </m:e>
              </m:mr>
            </m:m>
          </m:e>
        </m:d>
      </m:oMath>
      <w:r w:rsidRPr="00423027">
        <w:rPr>
          <w:rFonts w:eastAsiaTheme="minorEastAsia"/>
          <w:lang w:val="en-GB"/>
        </w:rPr>
        <w:t xml:space="preserve">, </w:t>
      </w:r>
      <m:oMath>
        <m:r>
          <w:rPr>
            <w:rFonts w:ascii="Cambria Math" w:eastAsiaTheme="minorEastAsia" w:hAnsi="Cambria Math"/>
            <w:lang w:val="en-GB"/>
          </w:rPr>
          <m:t>A=</m:t>
        </m:r>
        <m:d>
          <m:dPr>
            <m:begChr m:val="["/>
            <m:endChr m:val="]"/>
            <m:ctrlPr>
              <w:rPr>
                <w:rFonts w:ascii="Cambria Math" w:eastAsiaTheme="minorEastAsia" w:hAnsi="Cambria Math"/>
                <w:i/>
                <w:lang w:val="en-GB"/>
              </w:rPr>
            </m:ctrlPr>
          </m:dPr>
          <m:e>
            <m:m>
              <m:mPr>
                <m:mcs>
                  <m:mc>
                    <m:mcPr>
                      <m:count m:val="3"/>
                      <m:mcJc m:val="center"/>
                    </m:mcPr>
                  </m:mc>
                </m:mcs>
                <m:ctrlPr>
                  <w:rPr>
                    <w:rFonts w:ascii="Cambria Math" w:eastAsiaTheme="minorEastAsia" w:hAnsi="Cambria Math"/>
                    <w:i/>
                    <w:lang w:val="en-GB"/>
                  </w:rPr>
                </m:ctrlPr>
              </m:mPr>
              <m:mr>
                <m:e>
                  <m:sSub>
                    <m:sSubPr>
                      <m:ctrlPr>
                        <w:rPr>
                          <w:rFonts w:ascii="Cambria Math" w:eastAsiaTheme="minorEastAsia" w:hAnsi="Cambria Math"/>
                          <w:i/>
                          <w:lang w:val="en-GB"/>
                        </w:rPr>
                      </m:ctrlPr>
                    </m:sSubPr>
                    <m:e>
                      <m:r>
                        <w:rPr>
                          <w:rFonts w:ascii="Cambria Math" w:eastAsiaTheme="minorEastAsia" w:hAnsi="Cambria Math"/>
                          <w:lang w:val="en-GB"/>
                        </w:rPr>
                        <m:t>a</m:t>
                      </m:r>
                    </m:e>
                    <m:sub>
                      <m:r>
                        <w:rPr>
                          <w:rFonts w:ascii="Cambria Math" w:eastAsiaTheme="minorEastAsia" w:hAnsi="Cambria Math"/>
                          <w:lang w:val="en-GB"/>
                        </w:rPr>
                        <m:t>11</m:t>
                      </m:r>
                    </m:sub>
                  </m:sSub>
                </m:e>
                <m:e>
                  <m:r>
                    <w:rPr>
                      <w:rFonts w:ascii="Cambria Math" w:eastAsiaTheme="minorEastAsia" w:hAnsi="Cambria Math"/>
                      <w:lang w:val="en-GB"/>
                    </w:rPr>
                    <m:t>⋯</m:t>
                  </m:r>
                </m:e>
                <m:e>
                  <m:sSub>
                    <m:sSubPr>
                      <m:ctrlPr>
                        <w:rPr>
                          <w:rFonts w:ascii="Cambria Math" w:eastAsiaTheme="minorEastAsia" w:hAnsi="Cambria Math"/>
                          <w:i/>
                          <w:lang w:val="en-GB"/>
                        </w:rPr>
                      </m:ctrlPr>
                    </m:sSubPr>
                    <m:e>
                      <m:r>
                        <w:rPr>
                          <w:rFonts w:ascii="Cambria Math" w:eastAsiaTheme="minorEastAsia" w:hAnsi="Cambria Math"/>
                          <w:lang w:val="en-GB"/>
                        </w:rPr>
                        <m:t>a</m:t>
                      </m:r>
                    </m:e>
                    <m:sub>
                      <m:r>
                        <w:rPr>
                          <w:rFonts w:ascii="Cambria Math" w:eastAsiaTheme="minorEastAsia" w:hAnsi="Cambria Math"/>
                          <w:lang w:val="en-GB"/>
                        </w:rPr>
                        <m:t>1n</m:t>
                      </m:r>
                    </m:sub>
                  </m:sSub>
                </m:e>
              </m:mr>
              <m:mr>
                <m:e>
                  <m:r>
                    <w:rPr>
                      <w:rFonts w:ascii="Cambria Math" w:eastAsiaTheme="minorEastAsia" w:hAnsi="Cambria Math"/>
                      <w:lang w:val="en-GB"/>
                    </w:rPr>
                    <m:t>⋮</m:t>
                  </m:r>
                </m:e>
                <m:e>
                  <m:r>
                    <w:rPr>
                      <w:rFonts w:ascii="Cambria Math" w:eastAsiaTheme="minorEastAsia" w:hAnsi="Cambria Math"/>
                      <w:lang w:val="en-GB"/>
                    </w:rPr>
                    <m:t>⋱</m:t>
                  </m:r>
                </m:e>
                <m:e>
                  <m:r>
                    <w:rPr>
                      <w:rFonts w:ascii="Cambria Math" w:eastAsiaTheme="minorEastAsia" w:hAnsi="Cambria Math"/>
                      <w:lang w:val="en-GB"/>
                    </w:rPr>
                    <m:t>⋮</m:t>
                  </m:r>
                </m:e>
              </m:mr>
              <m:mr>
                <m:e>
                  <m:sSub>
                    <m:sSubPr>
                      <m:ctrlPr>
                        <w:rPr>
                          <w:rFonts w:ascii="Cambria Math" w:eastAsiaTheme="minorEastAsia" w:hAnsi="Cambria Math"/>
                          <w:i/>
                          <w:lang w:val="en-GB"/>
                        </w:rPr>
                      </m:ctrlPr>
                    </m:sSubPr>
                    <m:e>
                      <m:r>
                        <w:rPr>
                          <w:rFonts w:ascii="Cambria Math" w:eastAsiaTheme="minorEastAsia" w:hAnsi="Cambria Math"/>
                          <w:lang w:val="en-GB"/>
                        </w:rPr>
                        <m:t>a</m:t>
                      </m:r>
                    </m:e>
                    <m:sub>
                      <m:r>
                        <w:rPr>
                          <w:rFonts w:ascii="Cambria Math" w:eastAsiaTheme="minorEastAsia" w:hAnsi="Cambria Math"/>
                          <w:lang w:val="en-GB"/>
                        </w:rPr>
                        <m:t>n1</m:t>
                      </m:r>
                    </m:sub>
                  </m:sSub>
                </m:e>
                <m:e>
                  <m:r>
                    <w:rPr>
                      <w:rFonts w:ascii="Cambria Math" w:eastAsiaTheme="minorEastAsia" w:hAnsi="Cambria Math"/>
                      <w:lang w:val="en-GB"/>
                    </w:rPr>
                    <m:t>⋯</m:t>
                  </m:r>
                </m:e>
                <m:e>
                  <m:sSub>
                    <m:sSubPr>
                      <m:ctrlPr>
                        <w:rPr>
                          <w:rFonts w:ascii="Cambria Math" w:eastAsiaTheme="minorEastAsia" w:hAnsi="Cambria Math"/>
                          <w:i/>
                          <w:lang w:val="en-GB"/>
                        </w:rPr>
                      </m:ctrlPr>
                    </m:sSubPr>
                    <m:e>
                      <m:r>
                        <w:rPr>
                          <w:rFonts w:ascii="Cambria Math" w:eastAsiaTheme="minorEastAsia" w:hAnsi="Cambria Math"/>
                          <w:lang w:val="en-GB"/>
                        </w:rPr>
                        <m:t>a</m:t>
                      </m:r>
                    </m:e>
                    <m:sub>
                      <m:r>
                        <w:rPr>
                          <w:rFonts w:ascii="Cambria Math" w:eastAsiaTheme="minorEastAsia" w:hAnsi="Cambria Math"/>
                          <w:lang w:val="en-GB"/>
                        </w:rPr>
                        <m:t>nn</m:t>
                      </m:r>
                    </m:sub>
                  </m:sSub>
                </m:e>
              </m:mr>
            </m:m>
          </m:e>
        </m:d>
      </m:oMath>
      <w:r w:rsidRPr="00423027">
        <w:rPr>
          <w:rFonts w:eastAsiaTheme="minorEastAsia"/>
          <w:lang w:val="en-GB"/>
        </w:rPr>
        <w:t xml:space="preserve"> and </w:t>
      </w:r>
      <m:oMath>
        <m:r>
          <w:rPr>
            <w:rFonts w:ascii="Cambria Math" w:eastAsiaTheme="minorEastAsia" w:hAnsi="Cambria Math"/>
            <w:lang w:val="en-GB"/>
          </w:rPr>
          <m:t>Y=</m:t>
        </m:r>
        <m:d>
          <m:dPr>
            <m:begChr m:val="["/>
            <m:endChr m:val="]"/>
            <m:ctrlPr>
              <w:rPr>
                <w:rFonts w:ascii="Cambria Math" w:eastAsiaTheme="minorEastAsia" w:hAnsi="Cambria Math"/>
                <w:i/>
                <w:lang w:val="en-GB"/>
              </w:rPr>
            </m:ctrlPr>
          </m:dPr>
          <m:e>
            <m:m>
              <m:mPr>
                <m:mcs>
                  <m:mc>
                    <m:mcPr>
                      <m:count m:val="1"/>
                      <m:mcJc m:val="center"/>
                    </m:mcPr>
                  </m:mc>
                </m:mcs>
                <m:ctrlPr>
                  <w:rPr>
                    <w:rFonts w:ascii="Cambria Math" w:eastAsiaTheme="minorEastAsia" w:hAnsi="Cambria Math"/>
                    <w:i/>
                    <w:lang w:val="en-GB"/>
                  </w:rPr>
                </m:ctrlPr>
              </m:mPr>
              <m:mr>
                <m:e>
                  <m:sSub>
                    <m:sSubPr>
                      <m:ctrlPr>
                        <w:rPr>
                          <w:rFonts w:ascii="Cambria Math" w:eastAsiaTheme="minorEastAsia" w:hAnsi="Cambria Math"/>
                          <w:i/>
                          <w:lang w:val="en-GB"/>
                        </w:rPr>
                      </m:ctrlPr>
                    </m:sSubPr>
                    <m:e>
                      <m:r>
                        <w:rPr>
                          <w:rFonts w:ascii="Cambria Math" w:eastAsiaTheme="minorEastAsia" w:hAnsi="Cambria Math"/>
                          <w:lang w:val="en-GB"/>
                        </w:rPr>
                        <m:t>Y</m:t>
                      </m:r>
                    </m:e>
                    <m:sub>
                      <m:r>
                        <w:rPr>
                          <w:rFonts w:ascii="Cambria Math" w:eastAsiaTheme="minorEastAsia" w:hAnsi="Cambria Math"/>
                          <w:lang w:val="en-GB"/>
                        </w:rPr>
                        <m:t>1</m:t>
                      </m:r>
                    </m:sub>
                  </m:sSub>
                </m:e>
              </m:mr>
              <m:mr>
                <m:e>
                  <m:r>
                    <w:rPr>
                      <w:rFonts w:ascii="Cambria Math" w:eastAsiaTheme="minorEastAsia" w:hAnsi="Cambria Math"/>
                      <w:lang w:val="en-GB"/>
                    </w:rPr>
                    <m:t>⋮</m:t>
                  </m:r>
                </m:e>
              </m:mr>
              <m:mr>
                <m:e>
                  <m:sSub>
                    <m:sSubPr>
                      <m:ctrlPr>
                        <w:rPr>
                          <w:rFonts w:ascii="Cambria Math" w:eastAsiaTheme="minorEastAsia" w:hAnsi="Cambria Math"/>
                          <w:i/>
                          <w:lang w:val="en-GB"/>
                        </w:rPr>
                      </m:ctrlPr>
                    </m:sSubPr>
                    <m:e>
                      <m:r>
                        <w:rPr>
                          <w:rFonts w:ascii="Cambria Math" w:eastAsiaTheme="minorEastAsia" w:hAnsi="Cambria Math"/>
                          <w:lang w:val="en-GB"/>
                        </w:rPr>
                        <m:t>Y</m:t>
                      </m:r>
                    </m:e>
                    <m:sub>
                      <m:r>
                        <w:rPr>
                          <w:rFonts w:ascii="Cambria Math" w:eastAsiaTheme="minorEastAsia" w:hAnsi="Cambria Math"/>
                          <w:lang w:val="en-GB"/>
                        </w:rPr>
                        <m:t>n</m:t>
                      </m:r>
                    </m:sub>
                  </m:sSub>
                </m:e>
              </m:mr>
            </m:m>
          </m:e>
        </m:d>
      </m:oMath>
      <w:r w:rsidR="006A3959">
        <w:rPr>
          <w:rFonts w:eastAsiaTheme="minorEastAsia"/>
          <w:lang w:val="en-GB"/>
        </w:rPr>
        <w:t>.</w:t>
      </w:r>
    </w:p>
    <w:p w:rsidR="0048562F" w:rsidRPr="00423027" w:rsidRDefault="0048562F" w:rsidP="0048562F">
      <w:pPr>
        <w:rPr>
          <w:rFonts w:eastAsiaTheme="minorEastAsia"/>
          <w:lang w:val="en-GB"/>
        </w:rPr>
      </w:pPr>
    </w:p>
    <w:p w:rsidR="0048562F" w:rsidRPr="00423027" w:rsidRDefault="0048562F" w:rsidP="0048562F">
      <w:pPr>
        <w:rPr>
          <w:rFonts w:eastAsiaTheme="minorEastAsia"/>
          <w:lang w:val="en-GB"/>
        </w:rPr>
      </w:pPr>
      <w:r w:rsidRPr="00423027">
        <w:rPr>
          <w:rFonts w:eastAsiaTheme="minorEastAsia"/>
          <w:lang w:val="en-GB"/>
        </w:rPr>
        <w:t xml:space="preserve">Matrix </w:t>
      </w:r>
      <m:oMath>
        <m:r>
          <w:rPr>
            <w:rFonts w:ascii="Cambria Math" w:eastAsiaTheme="minorEastAsia" w:hAnsi="Cambria Math"/>
            <w:lang w:val="en-GB"/>
          </w:rPr>
          <m:t>A</m:t>
        </m:r>
      </m:oMath>
      <w:r w:rsidRPr="00423027">
        <w:rPr>
          <w:rFonts w:eastAsiaTheme="minorEastAsia"/>
          <w:lang w:val="en-GB"/>
        </w:rPr>
        <w:t xml:space="preserve"> </w:t>
      </w:r>
      <w:proofErr w:type="gramStart"/>
      <w:r w:rsidRPr="00423027">
        <w:rPr>
          <w:rFonts w:eastAsiaTheme="minorEastAsia"/>
          <w:lang w:val="en-GB"/>
        </w:rPr>
        <w:t>is called</w:t>
      </w:r>
      <w:proofErr w:type="gramEnd"/>
      <w:r w:rsidRPr="00423027">
        <w:rPr>
          <w:rFonts w:eastAsiaTheme="minorEastAsia"/>
          <w:lang w:val="en-GB"/>
        </w:rPr>
        <w:t xml:space="preserve"> the technology matrix. A solution to the system (2), where </w:t>
      </w:r>
      <m:oMath>
        <m:r>
          <w:rPr>
            <w:rFonts w:ascii="Cambria Math" w:eastAsiaTheme="minorEastAsia" w:hAnsi="Cambria Math"/>
            <w:lang w:val="en-GB"/>
          </w:rPr>
          <m:t>I</m:t>
        </m:r>
      </m:oMath>
      <w:r w:rsidRPr="00423027">
        <w:rPr>
          <w:rFonts w:eastAsiaTheme="minorEastAsia"/>
          <w:lang w:val="en-GB"/>
        </w:rPr>
        <w:t xml:space="preserve"> is an </w:t>
      </w:r>
      <m:oMath>
        <m:r>
          <w:rPr>
            <w:rFonts w:ascii="Cambria Math" w:eastAsiaTheme="minorEastAsia" w:hAnsi="Cambria Math"/>
            <w:lang w:val="en-GB"/>
          </w:rPr>
          <m:t>n</m:t>
        </m:r>
      </m:oMath>
      <w:r w:rsidRPr="00423027">
        <w:rPr>
          <w:rFonts w:eastAsiaTheme="minorEastAsia"/>
          <w:lang w:val="en-GB"/>
        </w:rPr>
        <w:t>-by-</w:t>
      </w:r>
      <m:oMath>
        <m:r>
          <w:rPr>
            <w:rFonts w:ascii="Cambria Math" w:eastAsiaTheme="minorEastAsia" w:hAnsi="Cambria Math"/>
            <w:lang w:val="en-GB"/>
          </w:rPr>
          <m:t>n</m:t>
        </m:r>
      </m:oMath>
      <w:r w:rsidRPr="00423027">
        <w:rPr>
          <w:rFonts w:eastAsiaTheme="minorEastAsia"/>
          <w:lang w:val="en-GB"/>
        </w:rPr>
        <w:t xml:space="preserve"> identity matrix is:</w:t>
      </w:r>
    </w:p>
    <w:p w:rsidR="0048562F" w:rsidRPr="00423027" w:rsidRDefault="0048562F" w:rsidP="0060490E">
      <w:pPr>
        <w:jc w:val="right"/>
        <w:rPr>
          <w:rFonts w:eastAsiaTheme="minorEastAsia"/>
          <w:lang w:val="en-GB"/>
        </w:rPr>
      </w:pPr>
      <m:oMath>
        <m:r>
          <w:rPr>
            <w:rFonts w:ascii="Cambria Math" w:eastAsiaTheme="minorEastAsia" w:hAnsi="Cambria Math"/>
            <w:lang w:val="en-GB"/>
          </w:rPr>
          <m:t>X=</m:t>
        </m:r>
        <m:sSup>
          <m:sSupPr>
            <m:ctrlPr>
              <w:rPr>
                <w:rFonts w:ascii="Cambria Math" w:eastAsiaTheme="minorEastAsia" w:hAnsi="Cambria Math"/>
                <w:i/>
                <w:lang w:val="en-GB"/>
              </w:rPr>
            </m:ctrlPr>
          </m:sSupPr>
          <m:e>
            <m:r>
              <w:rPr>
                <w:rFonts w:ascii="Cambria Math" w:eastAsiaTheme="minorEastAsia" w:hAnsi="Cambria Math"/>
                <w:lang w:val="en-GB"/>
              </w:rPr>
              <m:t>(I-A)</m:t>
            </m:r>
          </m:e>
          <m:sup>
            <m:r>
              <w:rPr>
                <w:rFonts w:ascii="Cambria Math" w:eastAsiaTheme="minorEastAsia" w:hAnsi="Cambria Math"/>
                <w:lang w:val="en-GB"/>
              </w:rPr>
              <m:t>-1</m:t>
            </m:r>
          </m:sup>
        </m:sSup>
        <m:r>
          <w:rPr>
            <w:rFonts w:ascii="Cambria Math" w:eastAsiaTheme="minorEastAsia" w:hAnsi="Cambria Math"/>
            <w:lang w:val="en-GB"/>
          </w:rPr>
          <m:t>Y</m:t>
        </m:r>
      </m:oMath>
      <w:r w:rsidR="0060490E">
        <w:rPr>
          <w:rFonts w:eastAsiaTheme="minorEastAsia"/>
          <w:lang w:val="en-GB"/>
        </w:rPr>
        <w:tab/>
      </w:r>
      <w:r w:rsidR="0060490E">
        <w:rPr>
          <w:rFonts w:eastAsiaTheme="minorEastAsia"/>
          <w:lang w:val="en-GB"/>
        </w:rPr>
        <w:tab/>
      </w:r>
      <w:r w:rsidR="0060490E">
        <w:rPr>
          <w:rFonts w:eastAsiaTheme="minorEastAsia"/>
          <w:lang w:val="en-GB"/>
        </w:rPr>
        <w:tab/>
      </w:r>
      <w:r w:rsidR="0060490E">
        <w:rPr>
          <w:rFonts w:eastAsiaTheme="minorEastAsia"/>
          <w:lang w:val="en-GB"/>
        </w:rPr>
        <w:tab/>
      </w:r>
      <w:r w:rsidR="0060490E">
        <w:rPr>
          <w:rFonts w:eastAsiaTheme="minorEastAsia"/>
          <w:lang w:val="en-GB"/>
        </w:rPr>
        <w:tab/>
      </w:r>
      <w:r w:rsidRPr="00423027">
        <w:rPr>
          <w:rFonts w:eastAsiaTheme="minorEastAsia"/>
          <w:lang w:val="en-GB"/>
        </w:rPr>
        <w:t>(3)</w:t>
      </w:r>
    </w:p>
    <w:p w:rsidR="00DA7C0F" w:rsidRDefault="0048562F" w:rsidP="00B47F38">
      <w:pPr>
        <w:rPr>
          <w:rFonts w:eastAsiaTheme="minorEastAsia"/>
          <w:lang w:val="en-GB"/>
        </w:rPr>
      </w:pPr>
      <w:r w:rsidRPr="00423027">
        <w:rPr>
          <w:rFonts w:eastAsiaTheme="minorEastAsia"/>
          <w:lang w:val="en-GB"/>
        </w:rPr>
        <w:lastRenderedPageBreak/>
        <w:t xml:space="preserve">The information about conditions for the matrix </w:t>
      </w:r>
      <m:oMath>
        <m:r>
          <w:rPr>
            <w:rFonts w:ascii="Cambria Math" w:eastAsiaTheme="minorEastAsia" w:hAnsi="Cambria Math"/>
            <w:lang w:val="en-GB"/>
          </w:rPr>
          <m:t>I-A</m:t>
        </m:r>
      </m:oMath>
      <w:r w:rsidRPr="00423027">
        <w:rPr>
          <w:rFonts w:eastAsiaTheme="minorEastAsia"/>
          <w:lang w:val="en-GB"/>
        </w:rPr>
        <w:t xml:space="preserve"> and the matrix </w:t>
      </w:r>
      <m:oMath>
        <m:r>
          <w:rPr>
            <w:rFonts w:ascii="Cambria Math" w:eastAsiaTheme="minorEastAsia" w:hAnsi="Cambria Math"/>
            <w:lang w:val="en-GB"/>
          </w:rPr>
          <m:t>X</m:t>
        </m:r>
      </m:oMath>
      <w:r w:rsidR="00E91FA3">
        <w:rPr>
          <w:rFonts w:eastAsiaTheme="minorEastAsia"/>
          <w:lang w:val="en-GB"/>
        </w:rPr>
        <w:t xml:space="preserve"> </w:t>
      </w:r>
      <w:proofErr w:type="gramStart"/>
      <w:r w:rsidR="00E91FA3">
        <w:rPr>
          <w:rFonts w:eastAsiaTheme="minorEastAsia"/>
          <w:lang w:val="en-GB"/>
        </w:rPr>
        <w:t>is more detailed</w:t>
      </w:r>
      <w:proofErr w:type="gramEnd"/>
      <w:r w:rsidR="00E91FA3">
        <w:rPr>
          <w:rFonts w:eastAsiaTheme="minorEastAsia"/>
          <w:lang w:val="en-GB"/>
        </w:rPr>
        <w:t xml:space="preserve"> in [40</w:t>
      </w:r>
      <w:r w:rsidRPr="00423027">
        <w:rPr>
          <w:rFonts w:eastAsiaTheme="minorEastAsia"/>
          <w:lang w:val="en-GB"/>
        </w:rPr>
        <w:t xml:space="preserve">]. Inverse Leontief </w:t>
      </w:r>
      <w:proofErr w:type="gramStart"/>
      <w:r w:rsidRPr="00423027">
        <w:rPr>
          <w:rFonts w:eastAsiaTheme="minorEastAsia"/>
          <w:lang w:val="en-GB"/>
        </w:rPr>
        <w:t xml:space="preserve">matrix </w:t>
      </w:r>
      <w:proofErr w:type="gramEnd"/>
      <m:oMath>
        <m:sSup>
          <m:sSupPr>
            <m:ctrlPr>
              <w:rPr>
                <w:rFonts w:ascii="Cambria Math" w:eastAsiaTheme="minorEastAsia" w:hAnsi="Cambria Math"/>
                <w:i/>
                <w:lang w:val="en-GB"/>
              </w:rPr>
            </m:ctrlPr>
          </m:sSupPr>
          <m:e>
            <m:r>
              <w:rPr>
                <w:rFonts w:ascii="Cambria Math" w:eastAsiaTheme="minorEastAsia" w:hAnsi="Cambria Math"/>
                <w:lang w:val="en-GB"/>
              </w:rPr>
              <m:t>(I-A)</m:t>
            </m:r>
          </m:e>
          <m:sup>
            <m:r>
              <w:rPr>
                <w:rFonts w:ascii="Cambria Math" w:eastAsiaTheme="minorEastAsia" w:hAnsi="Cambria Math"/>
                <w:lang w:val="en-GB"/>
              </w:rPr>
              <m:t>-1</m:t>
            </m:r>
          </m:sup>
        </m:sSup>
      </m:oMath>
      <w:r w:rsidR="00C62C13">
        <w:rPr>
          <w:rFonts w:eastAsiaTheme="minorEastAsia"/>
          <w:lang w:val="en-GB"/>
        </w:rPr>
        <w:t xml:space="preserve">, </w:t>
      </w:r>
      <w:r w:rsidRPr="00423027">
        <w:rPr>
          <w:rFonts w:eastAsiaTheme="minorEastAsia"/>
          <w:lang w:val="en-GB"/>
        </w:rPr>
        <w:t>also known as multiplier matrix</w:t>
      </w:r>
      <w:r w:rsidR="00C62C13">
        <w:rPr>
          <w:rFonts w:eastAsiaTheme="minorEastAsia"/>
          <w:lang w:val="en-GB"/>
        </w:rPr>
        <w:t>,</w:t>
      </w:r>
      <w:r w:rsidRPr="00423027">
        <w:rPr>
          <w:rFonts w:eastAsiaTheme="minorEastAsia"/>
          <w:lang w:val="en-GB"/>
        </w:rPr>
        <w:t xml:space="preserve"> measures how the total output is changed as a result of the change in the final demand. Elements </w:t>
      </w:r>
      <m:oMath>
        <m:sSub>
          <m:sSubPr>
            <m:ctrlPr>
              <w:rPr>
                <w:rFonts w:ascii="Cambria Math" w:eastAsiaTheme="minorEastAsia" w:hAnsi="Cambria Math"/>
                <w:i/>
                <w:lang w:val="en-GB"/>
              </w:rPr>
            </m:ctrlPr>
          </m:sSubPr>
          <m:e>
            <m:r>
              <w:rPr>
                <w:rFonts w:ascii="Cambria Math" w:eastAsiaTheme="minorEastAsia" w:hAnsi="Cambria Math"/>
                <w:lang w:val="en-GB"/>
              </w:rPr>
              <m:t>α</m:t>
            </m:r>
          </m:e>
          <m:sub>
            <m:r>
              <w:rPr>
                <w:rFonts w:ascii="Cambria Math" w:eastAsiaTheme="minorEastAsia" w:hAnsi="Cambria Math"/>
                <w:lang w:val="en-GB"/>
              </w:rPr>
              <m:t>ij</m:t>
            </m:r>
          </m:sub>
        </m:sSub>
      </m:oMath>
      <w:r w:rsidRPr="00423027">
        <w:rPr>
          <w:rFonts w:eastAsiaTheme="minorEastAsia"/>
          <w:lang w:val="en-GB"/>
        </w:rPr>
        <w:t xml:space="preserve"> of the multiplier matrix </w:t>
      </w:r>
      <m:oMath>
        <m:sSup>
          <m:sSupPr>
            <m:ctrlPr>
              <w:rPr>
                <w:rFonts w:ascii="Cambria Math" w:eastAsiaTheme="minorEastAsia" w:hAnsi="Cambria Math"/>
                <w:i/>
                <w:lang w:val="en-GB"/>
              </w:rPr>
            </m:ctrlPr>
          </m:sSupPr>
          <m:e>
            <m:r>
              <w:rPr>
                <w:rFonts w:ascii="Cambria Math" w:eastAsiaTheme="minorEastAsia" w:hAnsi="Cambria Math"/>
                <w:lang w:val="en-GB"/>
              </w:rPr>
              <m:t>(I-A)</m:t>
            </m:r>
          </m:e>
          <m:sup>
            <m:r>
              <w:rPr>
                <w:rFonts w:ascii="Cambria Math" w:eastAsiaTheme="minorEastAsia" w:hAnsi="Cambria Math"/>
                <w:lang w:val="en-GB"/>
              </w:rPr>
              <m:t>-1</m:t>
            </m:r>
          </m:sup>
        </m:sSup>
      </m:oMath>
      <w:r w:rsidR="00C62C13">
        <w:rPr>
          <w:rFonts w:eastAsiaTheme="minorEastAsia"/>
          <w:lang w:val="en-GB"/>
        </w:rPr>
        <w:t xml:space="preserve"> represent</w:t>
      </w:r>
      <w:r w:rsidRPr="00423027">
        <w:rPr>
          <w:rFonts w:eastAsiaTheme="minorEastAsia"/>
          <w:lang w:val="en-GB"/>
        </w:rPr>
        <w:t xml:space="preserve"> the output of sector </w:t>
      </w:r>
      <m:oMath>
        <m:r>
          <w:rPr>
            <w:rFonts w:ascii="Cambria Math" w:eastAsiaTheme="minorEastAsia" w:hAnsi="Cambria Math"/>
            <w:lang w:val="en-GB"/>
          </w:rPr>
          <m:t>i</m:t>
        </m:r>
      </m:oMath>
      <w:r w:rsidRPr="00423027">
        <w:rPr>
          <w:rFonts w:eastAsiaTheme="minorEastAsia"/>
          <w:lang w:val="en-GB"/>
        </w:rPr>
        <w:t xml:space="preserve"> directly and indirectly required per unit of final demand of </w:t>
      </w:r>
      <w:proofErr w:type="gramStart"/>
      <w:r w:rsidRPr="00423027">
        <w:rPr>
          <w:rFonts w:eastAsiaTheme="minorEastAsia"/>
          <w:lang w:val="en-GB"/>
        </w:rPr>
        <w:t xml:space="preserve">sector </w:t>
      </w:r>
      <w:proofErr w:type="gramEnd"/>
      <m:oMath>
        <m:r>
          <w:rPr>
            <w:rFonts w:ascii="Cambria Math" w:eastAsiaTheme="minorEastAsia" w:hAnsi="Cambria Math"/>
            <w:lang w:val="en-GB"/>
          </w:rPr>
          <m:t>j</m:t>
        </m:r>
      </m:oMath>
      <w:r w:rsidRPr="00423027">
        <w:rPr>
          <w:rFonts w:eastAsiaTheme="minorEastAsia"/>
          <w:lang w:val="en-GB"/>
        </w:rPr>
        <w:t>.</w:t>
      </w:r>
    </w:p>
    <w:p w:rsidR="00697334" w:rsidRDefault="0048562F" w:rsidP="0048562F">
      <w:pPr>
        <w:rPr>
          <w:rFonts w:eastAsiaTheme="minorEastAsia"/>
          <w:lang w:val="en-GB"/>
        </w:rPr>
      </w:pPr>
      <w:r w:rsidRPr="00423027">
        <w:rPr>
          <w:rFonts w:eastAsiaTheme="minorEastAsia"/>
          <w:lang w:val="en-GB"/>
        </w:rPr>
        <w:t xml:space="preserve">In this paper, </w:t>
      </w:r>
      <w:r w:rsidR="00785D17" w:rsidRPr="00423027">
        <w:rPr>
          <w:lang w:val="en-GB"/>
        </w:rPr>
        <w:t xml:space="preserve">IO </w:t>
      </w:r>
      <w:r w:rsidRPr="00423027">
        <w:rPr>
          <w:rFonts w:eastAsiaTheme="minorEastAsia"/>
          <w:lang w:val="en-GB"/>
        </w:rPr>
        <w:t xml:space="preserve">analysis </w:t>
      </w:r>
      <w:proofErr w:type="gramStart"/>
      <w:r w:rsidRPr="00423027">
        <w:rPr>
          <w:rFonts w:eastAsiaTheme="minorEastAsia"/>
          <w:lang w:val="en-GB"/>
        </w:rPr>
        <w:t>is used</w:t>
      </w:r>
      <w:proofErr w:type="gramEnd"/>
      <w:r w:rsidRPr="00423027">
        <w:rPr>
          <w:rFonts w:eastAsiaTheme="minorEastAsia"/>
          <w:lang w:val="en-GB"/>
        </w:rPr>
        <w:t xml:space="preserve"> to calculate simple multipliers. In calculating simple multiplier</w:t>
      </w:r>
      <w:r w:rsidR="00C62C13">
        <w:rPr>
          <w:rFonts w:eastAsiaTheme="minorEastAsia"/>
          <w:lang w:val="en-GB"/>
        </w:rPr>
        <w:t>s</w:t>
      </w:r>
      <w:r w:rsidRPr="00423027">
        <w:rPr>
          <w:rFonts w:eastAsiaTheme="minorEastAsia"/>
          <w:lang w:val="en-GB"/>
        </w:rPr>
        <w:t xml:space="preserve">, open </w:t>
      </w:r>
      <w:r w:rsidR="00785D17" w:rsidRPr="00423027">
        <w:rPr>
          <w:lang w:val="en-GB"/>
        </w:rPr>
        <w:t xml:space="preserve">IO </w:t>
      </w:r>
      <w:r w:rsidRPr="00423027">
        <w:rPr>
          <w:rFonts w:eastAsiaTheme="minorEastAsia"/>
          <w:lang w:val="en-GB"/>
        </w:rPr>
        <w:t xml:space="preserve">table consisting of all production sectors of the national economy with households excluded is used. In the case of the open </w:t>
      </w:r>
      <w:r w:rsidR="00785D17" w:rsidRPr="00423027">
        <w:rPr>
          <w:lang w:val="en-GB"/>
        </w:rPr>
        <w:t xml:space="preserve">IO </w:t>
      </w:r>
      <w:r w:rsidRPr="00423027">
        <w:rPr>
          <w:rFonts w:eastAsiaTheme="minorEastAsia"/>
          <w:lang w:val="en-GB"/>
        </w:rPr>
        <w:t xml:space="preserve">table, elements of the Inverse Leontief matrix indicate the direct and indirect effects per unit of the final demand. Contrary to this, inclusion of households makes the </w:t>
      </w:r>
      <w:r w:rsidR="00785D17" w:rsidRPr="00423027">
        <w:rPr>
          <w:lang w:val="en-GB"/>
        </w:rPr>
        <w:t xml:space="preserve">IO </w:t>
      </w:r>
      <w:r w:rsidRPr="00423027">
        <w:rPr>
          <w:rFonts w:eastAsiaTheme="minorEastAsia"/>
          <w:lang w:val="en-GB"/>
        </w:rPr>
        <w:t xml:space="preserve">table closed. Households are therefore included into calculation of the elements of the Inverse Leontief matrix showing direct, indirect and induced effects </w:t>
      </w:r>
      <w:r w:rsidR="001F299B">
        <w:rPr>
          <w:rFonts w:eastAsiaTheme="minorEastAsia"/>
          <w:lang w:val="en-GB"/>
        </w:rPr>
        <w:t>p</w:t>
      </w:r>
      <w:r w:rsidR="00DA7C0F">
        <w:rPr>
          <w:rFonts w:eastAsiaTheme="minorEastAsia"/>
          <w:lang w:val="en-GB"/>
        </w:rPr>
        <w:t>er unit of the final demand. [32</w:t>
      </w:r>
      <w:r w:rsidRPr="00423027">
        <w:rPr>
          <w:rFonts w:eastAsiaTheme="minorEastAsia"/>
          <w:lang w:val="en-GB"/>
        </w:rPr>
        <w:t>], [</w:t>
      </w:r>
      <w:r w:rsidR="00DA7C0F">
        <w:rPr>
          <w:rFonts w:eastAsiaTheme="minorEastAsia"/>
          <w:lang w:val="en-GB"/>
        </w:rPr>
        <w:t>34], [6</w:t>
      </w:r>
      <w:r w:rsidRPr="00423027">
        <w:rPr>
          <w:rFonts w:eastAsiaTheme="minorEastAsia"/>
          <w:lang w:val="en-GB"/>
        </w:rPr>
        <w:t>]</w:t>
      </w:r>
      <w:r w:rsidR="00C62C13">
        <w:rPr>
          <w:rFonts w:eastAsiaTheme="minorEastAsia"/>
          <w:lang w:val="en-GB"/>
        </w:rPr>
        <w:t>.</w:t>
      </w:r>
      <w:r w:rsidRPr="00423027">
        <w:rPr>
          <w:rFonts w:eastAsiaTheme="minorEastAsia"/>
          <w:lang w:val="en-GB"/>
        </w:rPr>
        <w:t xml:space="preserve"> </w:t>
      </w:r>
    </w:p>
    <w:p w:rsidR="0048562F" w:rsidRPr="00423027" w:rsidRDefault="0048562F" w:rsidP="0048562F">
      <w:pPr>
        <w:rPr>
          <w:rFonts w:eastAsiaTheme="minorEastAsia"/>
          <w:lang w:val="en-GB"/>
        </w:rPr>
      </w:pPr>
      <w:r w:rsidRPr="00423027">
        <w:rPr>
          <w:rFonts w:eastAsiaTheme="minorEastAsia"/>
          <w:lang w:val="en-GB"/>
        </w:rPr>
        <w:t xml:space="preserve">The authors in </w:t>
      </w:r>
      <w:r w:rsidR="001F299B">
        <w:rPr>
          <w:rFonts w:eastAsiaTheme="minorEastAsia"/>
          <w:lang w:val="en-GB"/>
        </w:rPr>
        <w:t>[18</w:t>
      </w:r>
      <w:r w:rsidRPr="00423027">
        <w:rPr>
          <w:rFonts w:eastAsiaTheme="minorEastAsia"/>
          <w:lang w:val="en-GB"/>
        </w:rPr>
        <w:t xml:space="preserve">] argued about the output and employment multipliers derived from open and closed </w:t>
      </w:r>
      <w:r w:rsidR="00785D17" w:rsidRPr="00423027">
        <w:rPr>
          <w:lang w:val="en-GB"/>
        </w:rPr>
        <w:t xml:space="preserve">IO </w:t>
      </w:r>
      <w:r w:rsidRPr="00423027">
        <w:rPr>
          <w:rFonts w:eastAsiaTheme="minorEastAsia"/>
          <w:lang w:val="en-GB"/>
        </w:rPr>
        <w:t xml:space="preserve">table. They do not recommend using the multiplier results derived from a closed </w:t>
      </w:r>
      <w:r w:rsidR="00785D17" w:rsidRPr="00423027">
        <w:rPr>
          <w:lang w:val="en-GB"/>
        </w:rPr>
        <w:t xml:space="preserve">IO </w:t>
      </w:r>
      <w:r w:rsidRPr="00423027">
        <w:rPr>
          <w:rFonts w:eastAsiaTheme="minorEastAsia"/>
          <w:lang w:val="en-GB"/>
        </w:rPr>
        <w:t>table because they yield exaggerated estimates of the impact of progr</w:t>
      </w:r>
      <w:r w:rsidR="00AC5AA3">
        <w:rPr>
          <w:rFonts w:eastAsiaTheme="minorEastAsia"/>
          <w:lang w:val="en-GB"/>
        </w:rPr>
        <w:t>am expenditures on the economy.</w:t>
      </w:r>
      <w:r w:rsidR="000D13B9">
        <w:rPr>
          <w:rFonts w:eastAsiaTheme="minorEastAsia"/>
          <w:lang w:val="en-GB"/>
        </w:rPr>
        <w:t xml:space="preserve"> </w:t>
      </w:r>
      <w:r w:rsidRPr="00423027">
        <w:rPr>
          <w:rFonts w:eastAsiaTheme="minorEastAsia"/>
          <w:lang w:val="en-GB"/>
        </w:rPr>
        <w:t>Several simple multipliers ar</w:t>
      </w:r>
      <w:r w:rsidR="00C62C13">
        <w:rPr>
          <w:rFonts w:eastAsiaTheme="minorEastAsia"/>
          <w:lang w:val="en-GB"/>
        </w:rPr>
        <w:t>e possible,</w:t>
      </w:r>
      <w:r w:rsidR="001F299B">
        <w:rPr>
          <w:rFonts w:eastAsiaTheme="minorEastAsia"/>
          <w:lang w:val="en-GB"/>
        </w:rPr>
        <w:t xml:space="preserve"> the ones for output and</w:t>
      </w:r>
      <w:r w:rsidRPr="00423027">
        <w:rPr>
          <w:rFonts w:eastAsiaTheme="minorEastAsia"/>
          <w:lang w:val="en-GB"/>
        </w:rPr>
        <w:t xml:space="preserve"> value added</w:t>
      </w:r>
      <w:r w:rsidR="00C62C13">
        <w:rPr>
          <w:rFonts w:eastAsiaTheme="minorEastAsia"/>
          <w:lang w:val="en-GB"/>
        </w:rPr>
        <w:t xml:space="preserve"> </w:t>
      </w:r>
      <w:proofErr w:type="gramStart"/>
      <w:r w:rsidRPr="00423027">
        <w:rPr>
          <w:rFonts w:eastAsiaTheme="minorEastAsia"/>
          <w:lang w:val="en-GB"/>
        </w:rPr>
        <w:t>are provided</w:t>
      </w:r>
      <w:proofErr w:type="gramEnd"/>
      <w:r w:rsidRPr="00423027">
        <w:rPr>
          <w:rFonts w:eastAsiaTheme="minorEastAsia"/>
          <w:lang w:val="en-GB"/>
        </w:rPr>
        <w:t xml:space="preserve"> here. Simple multipliers </w:t>
      </w:r>
      <w:proofErr w:type="gramStart"/>
      <w:r w:rsidRPr="00423027">
        <w:rPr>
          <w:rFonts w:eastAsiaTheme="minorEastAsia"/>
          <w:lang w:val="en-GB"/>
        </w:rPr>
        <w:t>are calculated</w:t>
      </w:r>
      <w:proofErr w:type="gramEnd"/>
      <w:r w:rsidRPr="00423027">
        <w:rPr>
          <w:rFonts w:eastAsiaTheme="minorEastAsia"/>
          <w:lang w:val="en-GB"/>
        </w:rPr>
        <w:t xml:space="preserve"> as the ratio of the direct and indirect effect to the initial effect alone. </w:t>
      </w:r>
      <w:proofErr w:type="gramStart"/>
      <w:r w:rsidRPr="00423027">
        <w:rPr>
          <w:rFonts w:eastAsiaTheme="minorEastAsia"/>
          <w:lang w:val="en-GB"/>
        </w:rPr>
        <w:t xml:space="preserve">As the sum of the </w:t>
      </w:r>
      <m:oMath>
        <m:r>
          <w:rPr>
            <w:rFonts w:ascii="Cambria Math" w:eastAsiaTheme="minorEastAsia" w:hAnsi="Cambria Math"/>
            <w:lang w:val="en-GB"/>
          </w:rPr>
          <m:t>j</m:t>
        </m:r>
      </m:oMath>
      <w:r w:rsidRPr="00423027">
        <w:rPr>
          <w:rFonts w:eastAsiaTheme="minorEastAsia"/>
          <w:lang w:val="en-GB"/>
        </w:rPr>
        <w:t xml:space="preserve">-th column of the multiplier matrix indicates the output of </w:t>
      </w:r>
      <w:r w:rsidRPr="00423027">
        <w:rPr>
          <w:lang w:val="en-GB"/>
        </w:rPr>
        <w:t>each sector of the economy</w:t>
      </w:r>
      <w:r w:rsidRPr="00423027">
        <w:rPr>
          <w:rFonts w:eastAsiaTheme="minorEastAsia"/>
          <w:lang w:val="en-GB"/>
        </w:rPr>
        <w:t xml:space="preserve"> directly and indirectly required per unit of final demand of sector </w:t>
      </w:r>
      <m:oMath>
        <m:r>
          <w:rPr>
            <w:rFonts w:ascii="Cambria Math" w:eastAsiaTheme="minorEastAsia" w:hAnsi="Cambria Math"/>
            <w:lang w:val="en-GB"/>
          </w:rPr>
          <m:t>j</m:t>
        </m:r>
      </m:oMath>
      <w:r w:rsidRPr="00423027">
        <w:rPr>
          <w:rFonts w:eastAsiaTheme="minorEastAsia"/>
          <w:lang w:val="en-GB"/>
        </w:rPr>
        <w:t xml:space="preserve"> and how the initial output effect on the economy is defined as initial monetary unit’s worth of sector </w:t>
      </w:r>
      <m:oMath>
        <m:r>
          <w:rPr>
            <w:rFonts w:ascii="Cambria Math" w:eastAsiaTheme="minorEastAsia" w:hAnsi="Cambria Math"/>
            <w:lang w:val="en-GB"/>
          </w:rPr>
          <m:t>j</m:t>
        </m:r>
      </m:oMath>
      <w:r w:rsidRPr="00423027">
        <w:rPr>
          <w:rFonts w:eastAsiaTheme="minorEastAsia"/>
          <w:lang w:val="en-GB"/>
        </w:rPr>
        <w:t xml:space="preserve"> output needed to satisfy the additional final demand, simple output multiplier for the sector </w:t>
      </w:r>
      <m:oMath>
        <m:r>
          <w:rPr>
            <w:rFonts w:ascii="Cambria Math" w:eastAsiaTheme="minorEastAsia" w:hAnsi="Cambria Math"/>
            <w:lang w:val="en-GB"/>
          </w:rPr>
          <m:t>j</m:t>
        </m:r>
      </m:oMath>
      <w:r w:rsidRPr="00423027">
        <w:rPr>
          <w:rFonts w:eastAsiaTheme="minorEastAsia"/>
          <w:lang w:val="en-GB"/>
        </w:rPr>
        <w:t xml:space="preserve"> is defined as</w:t>
      </w:r>
      <w:r w:rsidR="00DA7C0F">
        <w:rPr>
          <w:rFonts w:eastAsiaTheme="minorEastAsia"/>
          <w:lang w:val="en-GB"/>
        </w:rPr>
        <w:t>:</w:t>
      </w:r>
      <w:proofErr w:type="gramEnd"/>
    </w:p>
    <w:p w:rsidR="0048562F" w:rsidRPr="00423027" w:rsidRDefault="008B39C9" w:rsidP="0060490E">
      <w:pPr>
        <w:jc w:val="right"/>
        <w:rPr>
          <w:rFonts w:eastAsiaTheme="minorEastAsia"/>
          <w:lang w:val="en-GB"/>
        </w:rPr>
      </w:pPr>
      <m:oMath>
        <m:sSub>
          <m:sSubPr>
            <m:ctrlPr>
              <w:rPr>
                <w:rFonts w:ascii="Cambria Math" w:eastAsiaTheme="minorEastAsia" w:hAnsi="Cambria Math"/>
                <w:i/>
                <w:lang w:val="en-GB"/>
              </w:rPr>
            </m:ctrlPr>
          </m:sSubPr>
          <m:e>
            <m:r>
              <w:rPr>
                <w:rFonts w:ascii="Cambria Math" w:eastAsiaTheme="minorEastAsia" w:hAnsi="Cambria Math"/>
                <w:lang w:val="en-GB"/>
              </w:rPr>
              <m:t>O</m:t>
            </m:r>
          </m:e>
          <m:sub>
            <m:r>
              <w:rPr>
                <w:rFonts w:ascii="Cambria Math" w:eastAsiaTheme="minorEastAsia" w:hAnsi="Cambria Math"/>
                <w:lang w:val="en-GB"/>
              </w:rPr>
              <m:t>j</m:t>
            </m:r>
          </m:sub>
        </m:sSub>
        <m:r>
          <w:rPr>
            <w:rFonts w:ascii="Cambria Math" w:eastAsiaTheme="minorEastAsia" w:hAnsi="Cambria Math"/>
            <w:lang w:val="en-GB"/>
          </w:rPr>
          <m:t>=</m:t>
        </m:r>
        <m:nary>
          <m:naryPr>
            <m:chr m:val="∑"/>
            <m:limLoc m:val="undOvr"/>
            <m:ctrlPr>
              <w:rPr>
                <w:rFonts w:ascii="Cambria Math" w:eastAsiaTheme="minorEastAsia" w:hAnsi="Cambria Math"/>
                <w:i/>
                <w:lang w:val="en-GB"/>
              </w:rPr>
            </m:ctrlPr>
          </m:naryPr>
          <m:sub>
            <m:r>
              <w:rPr>
                <w:rFonts w:ascii="Cambria Math" w:eastAsiaTheme="minorEastAsia" w:hAnsi="Cambria Math"/>
                <w:lang w:val="en-GB"/>
              </w:rPr>
              <m:t>i=1</m:t>
            </m:r>
          </m:sub>
          <m:sup>
            <m:r>
              <w:rPr>
                <w:rFonts w:ascii="Cambria Math" w:eastAsiaTheme="minorEastAsia" w:hAnsi="Cambria Math"/>
                <w:lang w:val="en-GB"/>
              </w:rPr>
              <m:t>n</m:t>
            </m:r>
          </m:sup>
          <m:e>
            <m:sSub>
              <m:sSubPr>
                <m:ctrlPr>
                  <w:rPr>
                    <w:rFonts w:ascii="Cambria Math" w:eastAsiaTheme="minorEastAsia" w:hAnsi="Cambria Math"/>
                    <w:i/>
                    <w:lang w:val="en-GB"/>
                  </w:rPr>
                </m:ctrlPr>
              </m:sSubPr>
              <m:e>
                <m:r>
                  <w:rPr>
                    <w:rFonts w:ascii="Cambria Math" w:eastAsiaTheme="minorEastAsia" w:hAnsi="Cambria Math"/>
                    <w:lang w:val="en-GB"/>
                  </w:rPr>
                  <m:t>α</m:t>
                </m:r>
              </m:e>
              <m:sub>
                <m:r>
                  <w:rPr>
                    <w:rFonts w:ascii="Cambria Math" w:eastAsiaTheme="minorEastAsia" w:hAnsi="Cambria Math"/>
                    <w:lang w:val="en-GB"/>
                  </w:rPr>
                  <m:t>ij</m:t>
                </m:r>
              </m:sub>
            </m:sSub>
          </m:e>
        </m:nary>
        <m:r>
          <w:rPr>
            <w:rFonts w:ascii="Cambria Math" w:eastAsiaTheme="minorEastAsia" w:hAnsi="Cambria Math"/>
            <w:lang w:val="en-GB"/>
          </w:rPr>
          <m:t>, j=1,…, n</m:t>
        </m:r>
      </m:oMath>
      <w:r w:rsidR="0060490E">
        <w:rPr>
          <w:rFonts w:eastAsiaTheme="minorEastAsia"/>
          <w:lang w:val="en-GB"/>
        </w:rPr>
        <w:tab/>
      </w:r>
      <w:r w:rsidR="0060490E">
        <w:rPr>
          <w:rFonts w:eastAsiaTheme="minorEastAsia"/>
          <w:lang w:val="en-GB"/>
        </w:rPr>
        <w:tab/>
      </w:r>
      <w:r w:rsidR="0060490E">
        <w:rPr>
          <w:rFonts w:eastAsiaTheme="minorEastAsia"/>
          <w:lang w:val="en-GB"/>
        </w:rPr>
        <w:tab/>
      </w:r>
      <w:r w:rsidR="0060490E">
        <w:rPr>
          <w:rFonts w:eastAsiaTheme="minorEastAsia"/>
          <w:lang w:val="en-GB"/>
        </w:rPr>
        <w:tab/>
      </w:r>
      <w:r w:rsidR="0060490E">
        <w:rPr>
          <w:rFonts w:eastAsiaTheme="minorEastAsia"/>
          <w:lang w:val="en-GB"/>
        </w:rPr>
        <w:tab/>
      </w:r>
      <w:r w:rsidR="0048562F" w:rsidRPr="00423027">
        <w:rPr>
          <w:rFonts w:eastAsiaTheme="minorEastAsia"/>
          <w:lang w:val="en-GB"/>
        </w:rPr>
        <w:t>(4)</w:t>
      </w:r>
    </w:p>
    <w:p w:rsidR="00335500" w:rsidRDefault="00AA7E21" w:rsidP="0048562F">
      <w:pPr>
        <w:rPr>
          <w:rFonts w:eastAsiaTheme="minorEastAsia"/>
          <w:lang w:val="en-GB"/>
        </w:rPr>
      </w:pPr>
      <w:r w:rsidRPr="008300D3">
        <w:rPr>
          <w:rFonts w:eastAsiaTheme="minorEastAsia"/>
          <w:lang w:val="en-GB"/>
        </w:rPr>
        <w:t>Simple v</w:t>
      </w:r>
      <w:r w:rsidR="00A8184E" w:rsidRPr="008300D3">
        <w:rPr>
          <w:rFonts w:eastAsiaTheme="minorEastAsia"/>
          <w:lang w:val="en-GB"/>
        </w:rPr>
        <w:t>alue added multipliers express the value added of the economy directly and indirectly required per unit of final demand. F</w:t>
      </w:r>
      <w:r w:rsidRPr="008300D3">
        <w:rPr>
          <w:rFonts w:eastAsiaTheme="minorEastAsia"/>
          <w:lang w:val="en-GB"/>
        </w:rPr>
        <w:t xml:space="preserve">or the </w:t>
      </w:r>
      <w:proofErr w:type="gramStart"/>
      <w:r w:rsidRPr="008300D3">
        <w:rPr>
          <w:rFonts w:eastAsiaTheme="minorEastAsia"/>
          <w:lang w:val="en-GB"/>
        </w:rPr>
        <w:t xml:space="preserve">sector </w:t>
      </w:r>
      <w:proofErr w:type="gramEnd"/>
      <m:oMath>
        <m:r>
          <w:rPr>
            <w:rFonts w:ascii="Cambria Math" w:eastAsiaTheme="minorEastAsia" w:hAnsi="Cambria Math"/>
            <w:lang w:val="en-GB"/>
          </w:rPr>
          <m:t>j</m:t>
        </m:r>
      </m:oMath>
      <w:r w:rsidR="00A8184E" w:rsidRPr="008300D3">
        <w:rPr>
          <w:rFonts w:eastAsiaTheme="minorEastAsia"/>
          <w:lang w:val="en-GB"/>
        </w:rPr>
        <w:t>, simple value added multiplier</w:t>
      </w:r>
      <w:r w:rsidRPr="008300D3">
        <w:rPr>
          <w:rFonts w:eastAsiaTheme="minorEastAsia"/>
          <w:lang w:val="en-GB"/>
        </w:rPr>
        <w:t xml:space="preserve"> is computed by multiplying </w:t>
      </w:r>
      <w:r w:rsidR="0029037B" w:rsidRPr="008300D3">
        <w:rPr>
          <w:rFonts w:eastAsiaTheme="minorEastAsia"/>
          <w:lang w:val="en-GB"/>
        </w:rPr>
        <w:t xml:space="preserve">the </w:t>
      </w:r>
      <m:oMath>
        <m:r>
          <w:rPr>
            <w:rFonts w:ascii="Cambria Math" w:eastAsiaTheme="minorEastAsia" w:hAnsi="Cambria Math"/>
            <w:lang w:val="en-GB"/>
          </w:rPr>
          <m:t>j</m:t>
        </m:r>
      </m:oMath>
      <w:r w:rsidR="0029037B" w:rsidRPr="008300D3">
        <w:rPr>
          <w:rFonts w:eastAsiaTheme="minorEastAsia"/>
          <w:lang w:val="en-GB"/>
        </w:rPr>
        <w:t xml:space="preserve">-th column of </w:t>
      </w:r>
      <w:r w:rsidRPr="008300D3">
        <w:rPr>
          <w:rFonts w:eastAsiaTheme="minorEastAsia"/>
          <w:lang w:val="en-GB"/>
        </w:rPr>
        <w:t xml:space="preserve">the multiplier matrix by </w:t>
      </w:r>
      <w:r w:rsidR="0029037B" w:rsidRPr="008300D3">
        <w:rPr>
          <w:rFonts w:eastAsiaTheme="minorEastAsia"/>
          <w:lang w:val="en-GB"/>
        </w:rPr>
        <w:t xml:space="preserve">the </w:t>
      </w:r>
      <w:r w:rsidRPr="008300D3">
        <w:rPr>
          <w:rFonts w:eastAsiaTheme="minorEastAsia"/>
          <w:lang w:val="en-GB"/>
        </w:rPr>
        <w:t xml:space="preserve">value </w:t>
      </w:r>
      <w:r w:rsidR="008300D3" w:rsidRPr="008300D3">
        <w:rPr>
          <w:rFonts w:eastAsiaTheme="minorEastAsia"/>
          <w:lang w:val="en-GB"/>
        </w:rPr>
        <w:t xml:space="preserve">added </w:t>
      </w:r>
      <w:r w:rsidR="008300D3">
        <w:rPr>
          <w:rFonts w:eastAsiaTheme="minorEastAsia"/>
          <w:lang w:val="en-GB"/>
        </w:rPr>
        <w:t xml:space="preserve">generated </w:t>
      </w:r>
      <w:r w:rsidR="0029037B">
        <w:rPr>
          <w:rFonts w:eastAsiaTheme="minorEastAsia"/>
          <w:lang w:val="en-GB"/>
        </w:rPr>
        <w:t>per unit of it</w:t>
      </w:r>
      <w:r w:rsidR="008300D3">
        <w:rPr>
          <w:rFonts w:eastAsiaTheme="minorEastAsia"/>
          <w:lang w:val="en-GB"/>
        </w:rPr>
        <w:t>s output, i.e.:</w:t>
      </w:r>
    </w:p>
    <w:p w:rsidR="008300D3" w:rsidRDefault="008B39C9" w:rsidP="008300D3">
      <w:pPr>
        <w:jc w:val="right"/>
        <w:rPr>
          <w:rFonts w:eastAsiaTheme="minorEastAsia"/>
          <w:lang w:val="en-GB"/>
        </w:rPr>
      </w:pPr>
      <m:oMath>
        <m:sSub>
          <m:sSubPr>
            <m:ctrlPr>
              <w:rPr>
                <w:rFonts w:ascii="Cambria Math" w:eastAsiaTheme="minorEastAsia" w:hAnsi="Cambria Math"/>
                <w:i/>
                <w:lang w:val="en-GB"/>
              </w:rPr>
            </m:ctrlPr>
          </m:sSubPr>
          <m:e>
            <m:r>
              <w:rPr>
                <w:rFonts w:ascii="Cambria Math" w:eastAsiaTheme="minorEastAsia" w:hAnsi="Cambria Math"/>
                <w:lang w:val="en-GB"/>
              </w:rPr>
              <m:t>V</m:t>
            </m:r>
          </m:e>
          <m:sub>
            <m:r>
              <w:rPr>
                <w:rFonts w:ascii="Cambria Math" w:eastAsiaTheme="minorEastAsia" w:hAnsi="Cambria Math"/>
                <w:lang w:val="en-GB"/>
              </w:rPr>
              <m:t>j</m:t>
            </m:r>
          </m:sub>
        </m:sSub>
        <m:r>
          <w:rPr>
            <w:rFonts w:ascii="Cambria Math" w:eastAsiaTheme="minorEastAsia" w:hAnsi="Cambria Math"/>
            <w:lang w:val="en-GB"/>
          </w:rPr>
          <m:t>=</m:t>
        </m:r>
        <m:nary>
          <m:naryPr>
            <m:chr m:val="∑"/>
            <m:limLoc m:val="undOvr"/>
            <m:ctrlPr>
              <w:rPr>
                <w:rFonts w:ascii="Cambria Math" w:eastAsiaTheme="minorEastAsia" w:hAnsi="Cambria Math"/>
                <w:i/>
                <w:lang w:val="en-GB"/>
              </w:rPr>
            </m:ctrlPr>
          </m:naryPr>
          <m:sub>
            <m:r>
              <w:rPr>
                <w:rFonts w:ascii="Cambria Math" w:eastAsiaTheme="minorEastAsia" w:hAnsi="Cambria Math"/>
                <w:lang w:val="en-GB"/>
              </w:rPr>
              <m:t>i=1</m:t>
            </m:r>
          </m:sub>
          <m:sup>
            <m:r>
              <w:rPr>
                <w:rFonts w:ascii="Cambria Math" w:eastAsiaTheme="minorEastAsia" w:hAnsi="Cambria Math"/>
                <w:lang w:val="en-GB"/>
              </w:rPr>
              <m:t>n</m:t>
            </m:r>
          </m:sup>
          <m:e>
            <m:sSub>
              <m:sSubPr>
                <m:ctrlPr>
                  <w:rPr>
                    <w:rFonts w:ascii="Cambria Math" w:eastAsiaTheme="minorEastAsia" w:hAnsi="Cambria Math"/>
                    <w:i/>
                    <w:lang w:val="en-GB"/>
                  </w:rPr>
                </m:ctrlPr>
              </m:sSubPr>
              <m:e>
                <m:r>
                  <w:rPr>
                    <w:rFonts w:ascii="Cambria Math" w:eastAsiaTheme="minorEastAsia" w:hAnsi="Cambria Math"/>
                    <w:lang w:val="en-GB"/>
                  </w:rPr>
                  <m:t>α</m:t>
                </m:r>
              </m:e>
              <m:sub>
                <m:r>
                  <w:rPr>
                    <w:rFonts w:ascii="Cambria Math" w:eastAsiaTheme="minorEastAsia" w:hAnsi="Cambria Math"/>
                    <w:lang w:val="en-GB"/>
                  </w:rPr>
                  <m:t>ij</m:t>
                </m:r>
              </m:sub>
            </m:sSub>
            <m:r>
              <w:rPr>
                <w:rFonts w:ascii="Cambria Math" w:eastAsiaTheme="minorEastAsia" w:hAnsi="Cambria Math"/>
                <w:lang w:val="en-GB"/>
              </w:rPr>
              <m:t>∙</m:t>
            </m:r>
            <m:f>
              <m:fPr>
                <m:ctrlPr>
                  <w:rPr>
                    <w:rFonts w:ascii="Cambria Math" w:eastAsiaTheme="minorEastAsia" w:hAnsi="Cambria Math"/>
                    <w:i/>
                    <w:lang w:val="en-GB"/>
                  </w:rPr>
                </m:ctrlPr>
              </m:fPr>
              <m:num>
                <m:sSub>
                  <m:sSubPr>
                    <m:ctrlPr>
                      <w:rPr>
                        <w:rFonts w:ascii="Cambria Math" w:eastAsiaTheme="minorEastAsia" w:hAnsi="Cambria Math"/>
                        <w:i/>
                        <w:lang w:val="en-GB"/>
                      </w:rPr>
                    </m:ctrlPr>
                  </m:sSubPr>
                  <m:e>
                    <m:r>
                      <w:rPr>
                        <w:rFonts w:ascii="Cambria Math" w:eastAsiaTheme="minorEastAsia" w:hAnsi="Cambria Math"/>
                        <w:lang w:val="en-GB"/>
                      </w:rPr>
                      <m:t>v</m:t>
                    </m:r>
                  </m:e>
                  <m:sub>
                    <m:r>
                      <w:rPr>
                        <w:rFonts w:ascii="Cambria Math" w:eastAsiaTheme="minorEastAsia" w:hAnsi="Cambria Math"/>
                        <w:lang w:val="en-GB"/>
                      </w:rPr>
                      <m:t>i</m:t>
                    </m:r>
                  </m:sub>
                </m:sSub>
              </m:num>
              <m:den>
                <m:sSub>
                  <m:sSubPr>
                    <m:ctrlPr>
                      <w:rPr>
                        <w:rFonts w:ascii="Cambria Math" w:eastAsiaTheme="minorEastAsia" w:hAnsi="Cambria Math"/>
                        <w:i/>
                        <w:lang w:val="en-GB"/>
                      </w:rPr>
                    </m:ctrlPr>
                  </m:sSubPr>
                  <m:e>
                    <m:r>
                      <w:rPr>
                        <w:rFonts w:ascii="Cambria Math" w:eastAsiaTheme="minorEastAsia" w:hAnsi="Cambria Math"/>
                        <w:lang w:val="en-GB"/>
                      </w:rPr>
                      <m:t>X</m:t>
                    </m:r>
                  </m:e>
                  <m:sub>
                    <m:r>
                      <w:rPr>
                        <w:rFonts w:ascii="Cambria Math" w:eastAsiaTheme="minorEastAsia" w:hAnsi="Cambria Math"/>
                        <w:lang w:val="en-GB"/>
                      </w:rPr>
                      <m:t>i</m:t>
                    </m:r>
                  </m:sub>
                </m:sSub>
              </m:den>
            </m:f>
          </m:e>
        </m:nary>
        <m:r>
          <w:rPr>
            <w:rFonts w:ascii="Cambria Math" w:eastAsiaTheme="minorEastAsia" w:hAnsi="Cambria Math"/>
            <w:lang w:val="en-GB"/>
          </w:rPr>
          <m:t>, j=1,…, n</m:t>
        </m:r>
      </m:oMath>
      <w:r w:rsidR="008300D3">
        <w:rPr>
          <w:rFonts w:eastAsiaTheme="minorEastAsia"/>
          <w:lang w:val="en-GB"/>
        </w:rPr>
        <w:tab/>
      </w:r>
      <w:r w:rsidR="008300D3">
        <w:rPr>
          <w:rFonts w:eastAsiaTheme="minorEastAsia"/>
          <w:lang w:val="en-GB"/>
        </w:rPr>
        <w:tab/>
      </w:r>
      <w:r w:rsidR="008300D3">
        <w:rPr>
          <w:rFonts w:eastAsiaTheme="minorEastAsia"/>
          <w:lang w:val="en-GB"/>
        </w:rPr>
        <w:tab/>
      </w:r>
      <w:r w:rsidR="008300D3">
        <w:rPr>
          <w:rFonts w:eastAsiaTheme="minorEastAsia"/>
          <w:lang w:val="en-GB"/>
        </w:rPr>
        <w:tab/>
      </w:r>
      <w:r w:rsidR="008300D3">
        <w:rPr>
          <w:rFonts w:eastAsiaTheme="minorEastAsia"/>
          <w:lang w:val="en-GB"/>
        </w:rPr>
        <w:tab/>
        <w:t>(5)</w:t>
      </w:r>
    </w:p>
    <w:p w:rsidR="00B47F38" w:rsidRDefault="00B47F38" w:rsidP="00B47F38">
      <w:pPr>
        <w:autoSpaceDE w:val="0"/>
        <w:autoSpaceDN w:val="0"/>
        <w:adjustRightInd w:val="0"/>
        <w:spacing w:before="0"/>
        <w:rPr>
          <w:sz w:val="22"/>
          <w:szCs w:val="22"/>
          <w:lang w:eastAsia="hr-HR"/>
        </w:rPr>
      </w:pPr>
    </w:p>
    <w:p w:rsidR="00697334" w:rsidRDefault="00697334" w:rsidP="00B47F38">
      <w:pPr>
        <w:autoSpaceDE w:val="0"/>
        <w:autoSpaceDN w:val="0"/>
        <w:adjustRightInd w:val="0"/>
        <w:spacing w:before="0"/>
        <w:rPr>
          <w:sz w:val="22"/>
          <w:szCs w:val="22"/>
          <w:lang w:eastAsia="hr-HR"/>
        </w:rPr>
      </w:pPr>
    </w:p>
    <w:p w:rsidR="00697334" w:rsidRDefault="00697334" w:rsidP="00B47F38">
      <w:pPr>
        <w:autoSpaceDE w:val="0"/>
        <w:autoSpaceDN w:val="0"/>
        <w:adjustRightInd w:val="0"/>
        <w:spacing w:before="0"/>
        <w:rPr>
          <w:sz w:val="22"/>
          <w:szCs w:val="22"/>
          <w:lang w:eastAsia="hr-HR"/>
        </w:rPr>
      </w:pPr>
    </w:p>
    <w:p w:rsidR="00FD3651" w:rsidRDefault="00FD3651" w:rsidP="00B47F38">
      <w:pPr>
        <w:autoSpaceDE w:val="0"/>
        <w:autoSpaceDN w:val="0"/>
        <w:adjustRightInd w:val="0"/>
        <w:spacing w:before="0"/>
        <w:rPr>
          <w:sz w:val="22"/>
          <w:szCs w:val="22"/>
          <w:lang w:eastAsia="hr-HR"/>
        </w:rPr>
      </w:pPr>
    </w:p>
    <w:p w:rsidR="000375CA" w:rsidRDefault="000375CA" w:rsidP="00B47F38">
      <w:pPr>
        <w:autoSpaceDE w:val="0"/>
        <w:autoSpaceDN w:val="0"/>
        <w:adjustRightInd w:val="0"/>
        <w:spacing w:before="0"/>
        <w:rPr>
          <w:sz w:val="22"/>
          <w:szCs w:val="22"/>
          <w:lang w:eastAsia="hr-HR"/>
        </w:rPr>
      </w:pPr>
    </w:p>
    <w:p w:rsidR="000375CA" w:rsidRDefault="000375CA" w:rsidP="00B47F38">
      <w:pPr>
        <w:autoSpaceDE w:val="0"/>
        <w:autoSpaceDN w:val="0"/>
        <w:adjustRightInd w:val="0"/>
        <w:spacing w:before="0"/>
        <w:rPr>
          <w:sz w:val="22"/>
          <w:szCs w:val="22"/>
          <w:lang w:eastAsia="hr-HR"/>
        </w:rPr>
      </w:pPr>
    </w:p>
    <w:p w:rsidR="000375CA" w:rsidRDefault="000375CA" w:rsidP="00B47F38">
      <w:pPr>
        <w:autoSpaceDE w:val="0"/>
        <w:autoSpaceDN w:val="0"/>
        <w:adjustRightInd w:val="0"/>
        <w:spacing w:before="0"/>
        <w:rPr>
          <w:sz w:val="22"/>
          <w:szCs w:val="22"/>
          <w:lang w:eastAsia="hr-HR"/>
        </w:rPr>
      </w:pPr>
    </w:p>
    <w:p w:rsidR="000375CA" w:rsidRDefault="000375CA" w:rsidP="00B47F38">
      <w:pPr>
        <w:autoSpaceDE w:val="0"/>
        <w:autoSpaceDN w:val="0"/>
        <w:adjustRightInd w:val="0"/>
        <w:spacing w:before="0"/>
        <w:rPr>
          <w:sz w:val="22"/>
          <w:szCs w:val="22"/>
          <w:lang w:eastAsia="hr-HR"/>
        </w:rPr>
      </w:pPr>
    </w:p>
    <w:p w:rsidR="000375CA" w:rsidRDefault="000375CA" w:rsidP="00B47F38">
      <w:pPr>
        <w:autoSpaceDE w:val="0"/>
        <w:autoSpaceDN w:val="0"/>
        <w:adjustRightInd w:val="0"/>
        <w:spacing w:before="0"/>
        <w:rPr>
          <w:sz w:val="22"/>
          <w:szCs w:val="22"/>
          <w:lang w:eastAsia="hr-HR"/>
        </w:rPr>
      </w:pPr>
    </w:p>
    <w:p w:rsidR="000375CA" w:rsidRDefault="000375CA" w:rsidP="00B47F38">
      <w:pPr>
        <w:autoSpaceDE w:val="0"/>
        <w:autoSpaceDN w:val="0"/>
        <w:adjustRightInd w:val="0"/>
        <w:spacing w:before="0"/>
        <w:rPr>
          <w:sz w:val="22"/>
          <w:szCs w:val="22"/>
          <w:lang w:eastAsia="hr-HR"/>
        </w:rPr>
      </w:pPr>
    </w:p>
    <w:p w:rsidR="000375CA" w:rsidRDefault="000375CA" w:rsidP="00B47F38">
      <w:pPr>
        <w:autoSpaceDE w:val="0"/>
        <w:autoSpaceDN w:val="0"/>
        <w:adjustRightInd w:val="0"/>
        <w:spacing w:before="0"/>
        <w:rPr>
          <w:sz w:val="22"/>
          <w:szCs w:val="22"/>
          <w:lang w:eastAsia="hr-HR"/>
        </w:rPr>
      </w:pPr>
    </w:p>
    <w:p w:rsidR="000375CA" w:rsidRDefault="000375CA" w:rsidP="00B47F38">
      <w:pPr>
        <w:autoSpaceDE w:val="0"/>
        <w:autoSpaceDN w:val="0"/>
        <w:adjustRightInd w:val="0"/>
        <w:spacing w:before="0"/>
        <w:rPr>
          <w:sz w:val="22"/>
          <w:szCs w:val="22"/>
          <w:lang w:eastAsia="hr-HR"/>
        </w:rPr>
      </w:pPr>
    </w:p>
    <w:p w:rsidR="000375CA" w:rsidRDefault="000375CA" w:rsidP="00B47F38">
      <w:pPr>
        <w:autoSpaceDE w:val="0"/>
        <w:autoSpaceDN w:val="0"/>
        <w:adjustRightInd w:val="0"/>
        <w:spacing w:before="0"/>
        <w:rPr>
          <w:sz w:val="22"/>
          <w:szCs w:val="22"/>
          <w:lang w:eastAsia="hr-HR"/>
        </w:rPr>
      </w:pPr>
    </w:p>
    <w:p w:rsidR="000375CA" w:rsidRDefault="000375CA" w:rsidP="00B47F38">
      <w:pPr>
        <w:autoSpaceDE w:val="0"/>
        <w:autoSpaceDN w:val="0"/>
        <w:adjustRightInd w:val="0"/>
        <w:spacing w:before="0"/>
        <w:rPr>
          <w:sz w:val="22"/>
          <w:szCs w:val="22"/>
          <w:lang w:eastAsia="hr-HR"/>
        </w:rPr>
      </w:pPr>
    </w:p>
    <w:p w:rsidR="000375CA" w:rsidRDefault="000375CA" w:rsidP="00B47F38">
      <w:pPr>
        <w:autoSpaceDE w:val="0"/>
        <w:autoSpaceDN w:val="0"/>
        <w:adjustRightInd w:val="0"/>
        <w:spacing w:before="0"/>
        <w:rPr>
          <w:sz w:val="22"/>
          <w:szCs w:val="22"/>
          <w:lang w:eastAsia="hr-HR"/>
        </w:rPr>
      </w:pPr>
    </w:p>
    <w:p w:rsidR="000375CA" w:rsidRDefault="000375CA" w:rsidP="00B47F38">
      <w:pPr>
        <w:autoSpaceDE w:val="0"/>
        <w:autoSpaceDN w:val="0"/>
        <w:adjustRightInd w:val="0"/>
        <w:spacing w:before="0"/>
        <w:rPr>
          <w:sz w:val="22"/>
          <w:szCs w:val="22"/>
          <w:lang w:eastAsia="hr-HR"/>
        </w:rPr>
      </w:pPr>
    </w:p>
    <w:p w:rsidR="000375CA" w:rsidRDefault="000375CA" w:rsidP="00B47F38">
      <w:pPr>
        <w:autoSpaceDE w:val="0"/>
        <w:autoSpaceDN w:val="0"/>
        <w:adjustRightInd w:val="0"/>
        <w:spacing w:before="0"/>
        <w:rPr>
          <w:sz w:val="22"/>
          <w:szCs w:val="22"/>
          <w:lang w:eastAsia="hr-HR"/>
        </w:rPr>
      </w:pPr>
    </w:p>
    <w:p w:rsidR="000375CA" w:rsidRDefault="000375CA" w:rsidP="00B47F38">
      <w:pPr>
        <w:autoSpaceDE w:val="0"/>
        <w:autoSpaceDN w:val="0"/>
        <w:adjustRightInd w:val="0"/>
        <w:spacing w:before="0"/>
        <w:rPr>
          <w:sz w:val="22"/>
          <w:szCs w:val="22"/>
          <w:lang w:eastAsia="hr-HR"/>
        </w:rPr>
      </w:pPr>
      <w:bookmarkStart w:id="0" w:name="_GoBack"/>
      <w:bookmarkEnd w:id="0"/>
    </w:p>
    <w:p w:rsidR="00697334" w:rsidRPr="0048562F" w:rsidRDefault="00697334" w:rsidP="00B47F38">
      <w:pPr>
        <w:autoSpaceDE w:val="0"/>
        <w:autoSpaceDN w:val="0"/>
        <w:adjustRightInd w:val="0"/>
        <w:spacing w:before="0"/>
        <w:rPr>
          <w:sz w:val="22"/>
          <w:szCs w:val="22"/>
          <w:lang w:eastAsia="hr-HR"/>
        </w:rPr>
      </w:pPr>
    </w:p>
    <w:p w:rsidR="00B47F38" w:rsidRDefault="00B47F38" w:rsidP="00B47F38">
      <w:pPr>
        <w:autoSpaceDE w:val="0"/>
        <w:autoSpaceDN w:val="0"/>
        <w:adjustRightInd w:val="0"/>
        <w:spacing w:before="0"/>
        <w:rPr>
          <w:b/>
          <w:sz w:val="28"/>
          <w:szCs w:val="28"/>
          <w:lang w:val="hr-HR" w:eastAsia="hr-HR"/>
        </w:rPr>
      </w:pPr>
      <w:r>
        <w:rPr>
          <w:b/>
          <w:sz w:val="28"/>
          <w:szCs w:val="28"/>
          <w:lang w:eastAsia="hr-HR"/>
        </w:rPr>
        <w:lastRenderedPageBreak/>
        <w:t>3</w:t>
      </w:r>
      <w:r w:rsidRPr="0048562F">
        <w:rPr>
          <w:b/>
          <w:sz w:val="28"/>
          <w:szCs w:val="28"/>
          <w:lang w:eastAsia="hr-HR"/>
        </w:rPr>
        <w:t xml:space="preserve">. </w:t>
      </w:r>
      <w:r w:rsidRPr="0048562F">
        <w:rPr>
          <w:b/>
          <w:sz w:val="28"/>
          <w:szCs w:val="28"/>
          <w:lang w:val="hr-HR" w:eastAsia="hr-HR"/>
        </w:rPr>
        <w:t xml:space="preserve">Research </w:t>
      </w:r>
      <w:proofErr w:type="spellStart"/>
      <w:r>
        <w:rPr>
          <w:b/>
          <w:sz w:val="28"/>
          <w:szCs w:val="28"/>
          <w:lang w:val="hr-HR" w:eastAsia="hr-HR"/>
        </w:rPr>
        <w:t>results</w:t>
      </w:r>
      <w:proofErr w:type="spellEnd"/>
    </w:p>
    <w:p w:rsidR="00B47F38" w:rsidRPr="00B47F38" w:rsidRDefault="00B47F38" w:rsidP="00B47F38">
      <w:pPr>
        <w:autoSpaceDE w:val="0"/>
        <w:autoSpaceDN w:val="0"/>
        <w:adjustRightInd w:val="0"/>
        <w:spacing w:before="0"/>
        <w:rPr>
          <w:b/>
          <w:lang w:val="hr-HR" w:eastAsia="hr-HR"/>
        </w:rPr>
      </w:pPr>
    </w:p>
    <w:p w:rsidR="00B47F38" w:rsidRDefault="00B47F38" w:rsidP="00B47F38">
      <w:pPr>
        <w:spacing w:before="0"/>
        <w:rPr>
          <w:rFonts w:eastAsiaTheme="minorEastAsia"/>
          <w:lang w:val="en-GB"/>
        </w:rPr>
      </w:pPr>
      <w:r w:rsidRPr="00423027">
        <w:rPr>
          <w:rFonts w:eastAsiaTheme="minorEastAsia"/>
          <w:lang w:val="en-GB"/>
        </w:rPr>
        <w:t xml:space="preserve">Based on the symmetric </w:t>
      </w:r>
      <w:r w:rsidR="00785D17" w:rsidRPr="00423027">
        <w:rPr>
          <w:lang w:val="en-GB"/>
        </w:rPr>
        <w:t xml:space="preserve">IO </w:t>
      </w:r>
      <w:r w:rsidRPr="00423027">
        <w:rPr>
          <w:rFonts w:eastAsiaTheme="minorEastAsia"/>
          <w:lang w:val="en-GB"/>
        </w:rPr>
        <w:t>tables for 2010</w:t>
      </w:r>
      <w:r w:rsidR="00C62C13">
        <w:rPr>
          <w:rFonts w:eastAsiaTheme="minorEastAsia"/>
          <w:lang w:val="en-GB"/>
        </w:rPr>
        <w:t>,</w:t>
      </w:r>
      <w:r w:rsidRPr="00423027">
        <w:rPr>
          <w:rFonts w:eastAsiaTheme="minorEastAsia"/>
          <w:lang w:val="en-GB"/>
        </w:rPr>
        <w:t xml:space="preserve"> it is determined that the total output of all sectors that include ICT activities at basic prices was around 23.1 billion </w:t>
      </w:r>
      <w:proofErr w:type="spellStart"/>
      <w:r w:rsidR="00295137">
        <w:rPr>
          <w:rFonts w:eastAsiaTheme="minorEastAsia"/>
          <w:lang w:val="en-GB"/>
        </w:rPr>
        <w:t>kuna</w:t>
      </w:r>
      <w:proofErr w:type="spellEnd"/>
      <w:r w:rsidRPr="00295137">
        <w:rPr>
          <w:rFonts w:eastAsiaTheme="minorEastAsia"/>
          <w:lang w:val="en-GB"/>
        </w:rPr>
        <w:t>.</w:t>
      </w:r>
      <w:r w:rsidRPr="00423027">
        <w:rPr>
          <w:rFonts w:eastAsiaTheme="minorEastAsia"/>
          <w:lang w:val="en-GB"/>
        </w:rPr>
        <w:t xml:space="preserve"> Total intermediate consumption of domestic products of the ICT sect</w:t>
      </w:r>
      <w:r w:rsidR="00295137">
        <w:rPr>
          <w:rFonts w:eastAsiaTheme="minorEastAsia"/>
          <w:lang w:val="en-GB"/>
        </w:rPr>
        <w:t xml:space="preserve">ors was around 7.6 billion </w:t>
      </w:r>
      <w:proofErr w:type="spellStart"/>
      <w:r w:rsidR="00295137">
        <w:rPr>
          <w:rFonts w:eastAsiaTheme="minorEastAsia"/>
          <w:lang w:val="en-GB"/>
        </w:rPr>
        <w:t>kuna</w:t>
      </w:r>
      <w:proofErr w:type="spellEnd"/>
      <w:r w:rsidRPr="00423027">
        <w:rPr>
          <w:rFonts w:eastAsiaTheme="minorEastAsia"/>
          <w:lang w:val="en-GB"/>
        </w:rPr>
        <w:t>, while the total gross value added amount around 13.4 bill</w:t>
      </w:r>
      <w:r w:rsidR="00C62C13">
        <w:rPr>
          <w:rFonts w:eastAsiaTheme="minorEastAsia"/>
          <w:lang w:val="en-GB"/>
        </w:rPr>
        <w:t>i</w:t>
      </w:r>
      <w:r w:rsidR="00295137">
        <w:rPr>
          <w:rFonts w:eastAsiaTheme="minorEastAsia"/>
          <w:lang w:val="en-GB"/>
        </w:rPr>
        <w:t xml:space="preserve">on </w:t>
      </w:r>
      <w:proofErr w:type="spellStart"/>
      <w:r w:rsidR="00295137">
        <w:rPr>
          <w:rFonts w:eastAsiaTheme="minorEastAsia"/>
          <w:lang w:val="en-GB"/>
        </w:rPr>
        <w:t>kuna</w:t>
      </w:r>
      <w:proofErr w:type="spellEnd"/>
      <w:r w:rsidRPr="00423027">
        <w:rPr>
          <w:rFonts w:eastAsiaTheme="minorEastAsia"/>
          <w:lang w:val="en-GB"/>
        </w:rPr>
        <w:t xml:space="preserve">. </w:t>
      </w:r>
      <w:proofErr w:type="gramStart"/>
      <w:r w:rsidRPr="00423027">
        <w:rPr>
          <w:rFonts w:eastAsiaTheme="minorEastAsia"/>
          <w:lang w:val="en-GB"/>
        </w:rPr>
        <w:t>Out of all ICT sectors, sector 61 was noted the largest share in the total output of all ICT sectors (around  43.1 percent), the largest intermediate consumption of domestic pr</w:t>
      </w:r>
      <w:r w:rsidR="00295137">
        <w:rPr>
          <w:rFonts w:eastAsiaTheme="minorEastAsia"/>
          <w:lang w:val="en-GB"/>
        </w:rPr>
        <w:t xml:space="preserve">oducts (around 3.2 billion </w:t>
      </w:r>
      <w:proofErr w:type="spellStart"/>
      <w:r w:rsidR="00295137">
        <w:rPr>
          <w:rFonts w:eastAsiaTheme="minorEastAsia"/>
          <w:lang w:val="en-GB"/>
        </w:rPr>
        <w:t>kuna</w:t>
      </w:r>
      <w:proofErr w:type="spellEnd"/>
      <w:r w:rsidRPr="00423027">
        <w:rPr>
          <w:rFonts w:eastAsiaTheme="minorEastAsia"/>
          <w:lang w:val="en-GB"/>
        </w:rPr>
        <w:t>) and the largest gross value</w:t>
      </w:r>
      <w:r w:rsidR="00295137">
        <w:rPr>
          <w:rFonts w:eastAsiaTheme="minorEastAsia"/>
          <w:lang w:val="en-GB"/>
        </w:rPr>
        <w:t xml:space="preserve"> added (around 6.1 billion </w:t>
      </w:r>
      <w:proofErr w:type="spellStart"/>
      <w:r w:rsidR="00295137">
        <w:rPr>
          <w:rFonts w:eastAsiaTheme="minorEastAsia"/>
          <w:lang w:val="en-GB"/>
        </w:rPr>
        <w:t>kuna</w:t>
      </w:r>
      <w:proofErr w:type="spellEnd"/>
      <w:r w:rsidRPr="00423027">
        <w:rPr>
          <w:rFonts w:eastAsiaTheme="minorEastAsia"/>
          <w:lang w:val="en-GB"/>
        </w:rPr>
        <w:t>), while sector 95 had the lowest share in the total output of the ICT sectors (around 4.4 percent), the lowest intermediate consumption of domestic prod</w:t>
      </w:r>
      <w:r w:rsidR="00295137">
        <w:rPr>
          <w:rFonts w:eastAsiaTheme="minorEastAsia"/>
          <w:lang w:val="en-GB"/>
        </w:rPr>
        <w:t xml:space="preserve">ucts (around 312.3 million </w:t>
      </w:r>
      <w:proofErr w:type="spellStart"/>
      <w:r w:rsidR="00295137">
        <w:rPr>
          <w:rFonts w:eastAsiaTheme="minorEastAsia"/>
          <w:lang w:val="en-GB"/>
        </w:rPr>
        <w:t>kuna</w:t>
      </w:r>
      <w:proofErr w:type="spellEnd"/>
      <w:r w:rsidRPr="00423027">
        <w:rPr>
          <w:rFonts w:eastAsiaTheme="minorEastAsia"/>
          <w:lang w:val="en-GB"/>
        </w:rPr>
        <w:t>) and the lowest gross value adde</w:t>
      </w:r>
      <w:r w:rsidR="00295137">
        <w:rPr>
          <w:rFonts w:eastAsiaTheme="minorEastAsia"/>
          <w:lang w:val="en-GB"/>
        </w:rPr>
        <w:t xml:space="preserve">d (around 628.5 million </w:t>
      </w:r>
      <w:proofErr w:type="spellStart"/>
      <w:r w:rsidR="00295137">
        <w:rPr>
          <w:rFonts w:eastAsiaTheme="minorEastAsia"/>
          <w:lang w:val="en-GB"/>
        </w:rPr>
        <w:t>kuna</w:t>
      </w:r>
      <w:proofErr w:type="spellEnd"/>
      <w:r>
        <w:rPr>
          <w:rFonts w:eastAsiaTheme="minorEastAsia"/>
          <w:lang w:val="en-GB"/>
        </w:rPr>
        <w:t>).</w:t>
      </w:r>
      <w:proofErr w:type="gramEnd"/>
    </w:p>
    <w:p w:rsidR="00FD3651" w:rsidRDefault="00FD3651" w:rsidP="00B47F38">
      <w:pPr>
        <w:spacing w:before="0"/>
        <w:rPr>
          <w:rFonts w:eastAsiaTheme="minorEastAsia"/>
          <w:lang w:val="en-GB"/>
        </w:rPr>
      </w:pPr>
    </w:p>
    <w:p w:rsidR="000D13B9" w:rsidRDefault="000D13B9" w:rsidP="00B47F38">
      <w:pPr>
        <w:spacing w:before="0"/>
        <w:rPr>
          <w:rFonts w:eastAsiaTheme="minorEastAsi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840"/>
        <w:gridCol w:w="1265"/>
        <w:gridCol w:w="1400"/>
      </w:tblGrid>
      <w:tr w:rsidR="000D13B9" w:rsidRPr="00600340" w:rsidTr="00FD3651">
        <w:tc>
          <w:tcPr>
            <w:tcW w:w="1555" w:type="dxa"/>
            <w:shd w:val="clear" w:color="auto" w:fill="auto"/>
          </w:tcPr>
          <w:p w:rsidR="000D13B9" w:rsidRPr="00600340" w:rsidRDefault="000D13B9" w:rsidP="00BC021F">
            <w:pPr>
              <w:jc w:val="center"/>
              <w:rPr>
                <w:color w:val="000000"/>
                <w:sz w:val="22"/>
                <w:szCs w:val="22"/>
                <w:lang w:val="en-GB"/>
              </w:rPr>
            </w:pPr>
            <w:r w:rsidRPr="00600340">
              <w:rPr>
                <w:color w:val="000000"/>
                <w:sz w:val="22"/>
                <w:szCs w:val="22"/>
                <w:lang w:val="en-GB"/>
              </w:rPr>
              <w:t>Activity sections codes</w:t>
            </w:r>
          </w:p>
        </w:tc>
        <w:tc>
          <w:tcPr>
            <w:tcW w:w="4840" w:type="dxa"/>
            <w:shd w:val="clear" w:color="auto" w:fill="auto"/>
          </w:tcPr>
          <w:p w:rsidR="000D13B9" w:rsidRPr="00600340" w:rsidRDefault="000D13B9" w:rsidP="00BC021F">
            <w:pPr>
              <w:jc w:val="center"/>
              <w:rPr>
                <w:color w:val="000000"/>
                <w:sz w:val="22"/>
                <w:szCs w:val="22"/>
                <w:lang w:val="en-GB"/>
              </w:rPr>
            </w:pPr>
            <w:r w:rsidRPr="00600340">
              <w:rPr>
                <w:color w:val="000000"/>
                <w:sz w:val="22"/>
                <w:szCs w:val="22"/>
                <w:lang w:val="en-GB"/>
              </w:rPr>
              <w:t>Description</w:t>
            </w:r>
          </w:p>
        </w:tc>
        <w:tc>
          <w:tcPr>
            <w:tcW w:w="0" w:type="auto"/>
            <w:shd w:val="clear" w:color="auto" w:fill="auto"/>
          </w:tcPr>
          <w:p w:rsidR="000D13B9" w:rsidRPr="00600340" w:rsidRDefault="000D13B9" w:rsidP="00BC021F">
            <w:pPr>
              <w:jc w:val="center"/>
              <w:rPr>
                <w:color w:val="000000"/>
                <w:sz w:val="22"/>
                <w:szCs w:val="22"/>
                <w:lang w:val="en-GB"/>
              </w:rPr>
            </w:pPr>
            <w:r w:rsidRPr="00600340">
              <w:rPr>
                <w:color w:val="000000"/>
                <w:sz w:val="22"/>
                <w:szCs w:val="22"/>
                <w:lang w:val="en-GB"/>
              </w:rPr>
              <w:t>Output multiplier</w:t>
            </w:r>
          </w:p>
        </w:tc>
        <w:tc>
          <w:tcPr>
            <w:tcW w:w="0" w:type="auto"/>
          </w:tcPr>
          <w:p w:rsidR="000D13B9" w:rsidRPr="00600340" w:rsidRDefault="000D13B9" w:rsidP="00BC021F">
            <w:pPr>
              <w:jc w:val="center"/>
              <w:rPr>
                <w:color w:val="000000"/>
                <w:sz w:val="22"/>
                <w:szCs w:val="22"/>
                <w:lang w:val="en-GB"/>
              </w:rPr>
            </w:pPr>
            <w:r w:rsidRPr="00600340">
              <w:rPr>
                <w:color w:val="000000"/>
                <w:sz w:val="22"/>
                <w:szCs w:val="22"/>
                <w:lang w:val="en-GB"/>
              </w:rPr>
              <w:t>Value added multiplier</w:t>
            </w:r>
          </w:p>
        </w:tc>
      </w:tr>
      <w:tr w:rsidR="000D13B9" w:rsidRPr="00600340" w:rsidTr="00FD3651">
        <w:tc>
          <w:tcPr>
            <w:tcW w:w="1555" w:type="dxa"/>
            <w:shd w:val="clear" w:color="auto" w:fill="auto"/>
          </w:tcPr>
          <w:p w:rsidR="000D13B9" w:rsidRPr="00600340" w:rsidRDefault="000D13B9" w:rsidP="00BC021F">
            <w:pPr>
              <w:jc w:val="left"/>
              <w:rPr>
                <w:color w:val="000000"/>
                <w:sz w:val="22"/>
                <w:szCs w:val="22"/>
                <w:lang w:val="en-GB"/>
              </w:rPr>
            </w:pPr>
            <w:r w:rsidRPr="00600340">
              <w:rPr>
                <w:color w:val="000000"/>
                <w:sz w:val="22"/>
                <w:szCs w:val="22"/>
                <w:lang w:val="en-GB"/>
              </w:rPr>
              <w:t>A</w:t>
            </w:r>
          </w:p>
        </w:tc>
        <w:tc>
          <w:tcPr>
            <w:tcW w:w="4840" w:type="dxa"/>
            <w:shd w:val="clear" w:color="auto" w:fill="auto"/>
          </w:tcPr>
          <w:p w:rsidR="000D13B9" w:rsidRPr="00600340" w:rsidRDefault="000D13B9" w:rsidP="00BC021F">
            <w:pPr>
              <w:jc w:val="left"/>
              <w:rPr>
                <w:color w:val="000000"/>
                <w:sz w:val="22"/>
                <w:szCs w:val="22"/>
                <w:lang w:val="en-GB"/>
              </w:rPr>
            </w:pPr>
            <w:r w:rsidRPr="00600340">
              <w:rPr>
                <w:color w:val="000000"/>
                <w:sz w:val="22"/>
                <w:szCs w:val="22"/>
                <w:lang w:val="en-GB"/>
              </w:rPr>
              <w:t>Agriculture, forestry and fishing</w:t>
            </w:r>
          </w:p>
        </w:tc>
        <w:tc>
          <w:tcPr>
            <w:tcW w:w="0" w:type="auto"/>
            <w:shd w:val="clear" w:color="auto" w:fill="auto"/>
          </w:tcPr>
          <w:p w:rsidR="000D13B9" w:rsidRPr="00600340" w:rsidRDefault="000D13B9" w:rsidP="00BC021F">
            <w:pPr>
              <w:jc w:val="center"/>
              <w:rPr>
                <w:color w:val="000000"/>
                <w:sz w:val="22"/>
                <w:szCs w:val="22"/>
                <w:lang w:val="en-GB"/>
              </w:rPr>
            </w:pPr>
            <w:r w:rsidRPr="00600340">
              <w:rPr>
                <w:color w:val="000000"/>
                <w:sz w:val="22"/>
                <w:szCs w:val="22"/>
                <w:lang w:val="en-GB"/>
              </w:rPr>
              <w:t>1.598</w:t>
            </w:r>
          </w:p>
        </w:tc>
        <w:tc>
          <w:tcPr>
            <w:tcW w:w="0" w:type="auto"/>
          </w:tcPr>
          <w:p w:rsidR="000D13B9" w:rsidRPr="00600340" w:rsidRDefault="000D13B9" w:rsidP="00BC021F">
            <w:pPr>
              <w:jc w:val="center"/>
              <w:rPr>
                <w:color w:val="000000"/>
                <w:sz w:val="22"/>
                <w:szCs w:val="22"/>
                <w:lang w:val="en-GB"/>
              </w:rPr>
            </w:pPr>
            <w:r w:rsidRPr="00600340">
              <w:rPr>
                <w:color w:val="000000"/>
                <w:sz w:val="22"/>
                <w:szCs w:val="22"/>
                <w:lang w:val="en-GB"/>
              </w:rPr>
              <w:t>1.557</w:t>
            </w:r>
          </w:p>
        </w:tc>
      </w:tr>
      <w:tr w:rsidR="000D13B9" w:rsidRPr="00600340" w:rsidTr="00FD3651">
        <w:tc>
          <w:tcPr>
            <w:tcW w:w="1555" w:type="dxa"/>
            <w:shd w:val="clear" w:color="auto" w:fill="auto"/>
          </w:tcPr>
          <w:p w:rsidR="000D13B9" w:rsidRPr="00600340" w:rsidRDefault="00D458FE" w:rsidP="00BC021F">
            <w:pPr>
              <w:jc w:val="left"/>
              <w:rPr>
                <w:color w:val="000000"/>
                <w:sz w:val="22"/>
                <w:szCs w:val="22"/>
                <w:lang w:val="en-GB"/>
              </w:rPr>
            </w:pPr>
            <w:r>
              <w:rPr>
                <w:color w:val="000000"/>
                <w:sz w:val="22"/>
                <w:szCs w:val="22"/>
                <w:lang w:val="en-GB"/>
              </w:rPr>
              <w:t>B+C+</w:t>
            </w:r>
            <w:r w:rsidR="000D13B9" w:rsidRPr="00600340">
              <w:rPr>
                <w:color w:val="000000"/>
                <w:sz w:val="22"/>
                <w:szCs w:val="22"/>
                <w:lang w:val="en-GB"/>
              </w:rPr>
              <w:t>D+E</w:t>
            </w:r>
          </w:p>
        </w:tc>
        <w:tc>
          <w:tcPr>
            <w:tcW w:w="4840" w:type="dxa"/>
            <w:shd w:val="clear" w:color="auto" w:fill="auto"/>
          </w:tcPr>
          <w:p w:rsidR="000D13B9" w:rsidRPr="00600340" w:rsidRDefault="000D13B9" w:rsidP="00BC021F">
            <w:pPr>
              <w:jc w:val="left"/>
              <w:rPr>
                <w:color w:val="000000"/>
                <w:sz w:val="22"/>
                <w:szCs w:val="22"/>
                <w:lang w:val="en-GB"/>
              </w:rPr>
            </w:pPr>
            <w:r w:rsidRPr="00600340">
              <w:rPr>
                <w:color w:val="000000"/>
                <w:sz w:val="22"/>
                <w:szCs w:val="22"/>
                <w:lang w:val="en-GB"/>
              </w:rPr>
              <w:t xml:space="preserve">Mining and </w:t>
            </w:r>
            <w:proofErr w:type="spellStart"/>
            <w:r w:rsidRPr="00600340">
              <w:rPr>
                <w:color w:val="000000"/>
                <w:sz w:val="22"/>
                <w:szCs w:val="22"/>
                <w:lang w:val="en-GB"/>
              </w:rPr>
              <w:t>querrying</w:t>
            </w:r>
            <w:proofErr w:type="spellEnd"/>
            <w:r w:rsidRPr="00600340">
              <w:rPr>
                <w:color w:val="000000"/>
                <w:sz w:val="22"/>
                <w:szCs w:val="22"/>
                <w:lang w:val="en-GB"/>
              </w:rPr>
              <w:t>; Manufacturing; Electricity, gas, steam and air conditioning supply, sewerage, waste management, remediation activities</w:t>
            </w:r>
          </w:p>
        </w:tc>
        <w:tc>
          <w:tcPr>
            <w:tcW w:w="0" w:type="auto"/>
            <w:shd w:val="clear" w:color="auto" w:fill="auto"/>
          </w:tcPr>
          <w:p w:rsidR="000D13B9" w:rsidRPr="00600340" w:rsidRDefault="000D13B9" w:rsidP="00BC021F">
            <w:pPr>
              <w:jc w:val="center"/>
              <w:rPr>
                <w:color w:val="000000"/>
                <w:sz w:val="22"/>
                <w:szCs w:val="22"/>
                <w:lang w:val="en-GB"/>
              </w:rPr>
            </w:pPr>
            <w:r w:rsidRPr="00600340">
              <w:rPr>
                <w:color w:val="000000"/>
                <w:sz w:val="22"/>
                <w:szCs w:val="22"/>
                <w:lang w:val="en-GB"/>
              </w:rPr>
              <w:t>1.647</w:t>
            </w:r>
          </w:p>
        </w:tc>
        <w:tc>
          <w:tcPr>
            <w:tcW w:w="0" w:type="auto"/>
          </w:tcPr>
          <w:p w:rsidR="000D13B9" w:rsidRPr="00600340" w:rsidRDefault="000D13B9" w:rsidP="00BC021F">
            <w:pPr>
              <w:jc w:val="center"/>
              <w:rPr>
                <w:color w:val="000000"/>
                <w:sz w:val="22"/>
                <w:szCs w:val="22"/>
                <w:lang w:val="en-GB"/>
              </w:rPr>
            </w:pPr>
            <w:r w:rsidRPr="00600340">
              <w:rPr>
                <w:color w:val="000000"/>
                <w:sz w:val="22"/>
                <w:szCs w:val="22"/>
                <w:lang w:val="en-GB"/>
              </w:rPr>
              <w:t>1.848</w:t>
            </w:r>
          </w:p>
        </w:tc>
      </w:tr>
      <w:tr w:rsidR="000D13B9" w:rsidRPr="00600340" w:rsidTr="00FD3651">
        <w:tc>
          <w:tcPr>
            <w:tcW w:w="1555" w:type="dxa"/>
            <w:shd w:val="clear" w:color="auto" w:fill="auto"/>
          </w:tcPr>
          <w:p w:rsidR="000D13B9" w:rsidRPr="00600340" w:rsidRDefault="000D13B9" w:rsidP="00BC021F">
            <w:pPr>
              <w:jc w:val="left"/>
              <w:rPr>
                <w:color w:val="000000"/>
                <w:sz w:val="22"/>
                <w:szCs w:val="22"/>
                <w:lang w:val="en-GB"/>
              </w:rPr>
            </w:pPr>
            <w:r w:rsidRPr="00600340">
              <w:rPr>
                <w:color w:val="000000"/>
                <w:sz w:val="22"/>
                <w:szCs w:val="22"/>
                <w:lang w:val="en-GB"/>
              </w:rPr>
              <w:t>F</w:t>
            </w:r>
          </w:p>
        </w:tc>
        <w:tc>
          <w:tcPr>
            <w:tcW w:w="4840" w:type="dxa"/>
            <w:shd w:val="clear" w:color="auto" w:fill="auto"/>
          </w:tcPr>
          <w:p w:rsidR="000D13B9" w:rsidRPr="00600340" w:rsidRDefault="000D13B9" w:rsidP="00BC021F">
            <w:pPr>
              <w:jc w:val="left"/>
              <w:rPr>
                <w:color w:val="000000"/>
                <w:sz w:val="22"/>
                <w:szCs w:val="22"/>
                <w:lang w:val="en-GB"/>
              </w:rPr>
            </w:pPr>
            <w:r w:rsidRPr="00600340">
              <w:rPr>
                <w:color w:val="000000"/>
                <w:sz w:val="22"/>
                <w:szCs w:val="22"/>
                <w:lang w:val="en-GB"/>
              </w:rPr>
              <w:t>Construction</w:t>
            </w:r>
          </w:p>
        </w:tc>
        <w:tc>
          <w:tcPr>
            <w:tcW w:w="0" w:type="auto"/>
            <w:shd w:val="clear" w:color="auto" w:fill="auto"/>
          </w:tcPr>
          <w:p w:rsidR="000D13B9" w:rsidRPr="00600340" w:rsidRDefault="000D13B9" w:rsidP="00BC021F">
            <w:pPr>
              <w:jc w:val="center"/>
              <w:rPr>
                <w:color w:val="000000"/>
                <w:sz w:val="22"/>
                <w:szCs w:val="22"/>
                <w:lang w:val="en-GB"/>
              </w:rPr>
            </w:pPr>
            <w:r w:rsidRPr="00600340">
              <w:rPr>
                <w:color w:val="000000"/>
                <w:sz w:val="22"/>
                <w:szCs w:val="22"/>
                <w:lang w:val="en-GB"/>
              </w:rPr>
              <w:t>1.716</w:t>
            </w:r>
          </w:p>
        </w:tc>
        <w:tc>
          <w:tcPr>
            <w:tcW w:w="0" w:type="auto"/>
          </w:tcPr>
          <w:p w:rsidR="000D13B9" w:rsidRPr="00600340" w:rsidRDefault="000D13B9" w:rsidP="00BC021F">
            <w:pPr>
              <w:jc w:val="center"/>
              <w:rPr>
                <w:color w:val="000000"/>
                <w:sz w:val="22"/>
                <w:szCs w:val="22"/>
                <w:lang w:val="en-GB"/>
              </w:rPr>
            </w:pPr>
            <w:r w:rsidRPr="00600340">
              <w:rPr>
                <w:color w:val="000000"/>
                <w:sz w:val="22"/>
                <w:szCs w:val="22"/>
                <w:lang w:val="en-GB"/>
              </w:rPr>
              <w:t>1.948</w:t>
            </w:r>
          </w:p>
        </w:tc>
      </w:tr>
      <w:tr w:rsidR="000D13B9" w:rsidRPr="00600340" w:rsidTr="00FD3651">
        <w:tc>
          <w:tcPr>
            <w:tcW w:w="1555" w:type="dxa"/>
            <w:shd w:val="clear" w:color="auto" w:fill="auto"/>
          </w:tcPr>
          <w:p w:rsidR="000D13B9" w:rsidRPr="00600340" w:rsidRDefault="000D13B9" w:rsidP="00BC021F">
            <w:pPr>
              <w:jc w:val="left"/>
              <w:rPr>
                <w:color w:val="000000"/>
                <w:sz w:val="22"/>
                <w:szCs w:val="22"/>
                <w:lang w:val="en-GB"/>
              </w:rPr>
            </w:pPr>
            <w:r w:rsidRPr="00600340">
              <w:rPr>
                <w:color w:val="000000"/>
                <w:sz w:val="22"/>
                <w:szCs w:val="22"/>
                <w:lang w:val="en-GB"/>
              </w:rPr>
              <w:t>G+H+I</w:t>
            </w:r>
          </w:p>
        </w:tc>
        <w:tc>
          <w:tcPr>
            <w:tcW w:w="4840" w:type="dxa"/>
            <w:shd w:val="clear" w:color="auto" w:fill="auto"/>
          </w:tcPr>
          <w:p w:rsidR="000D13B9" w:rsidRPr="00600340" w:rsidRDefault="000D13B9" w:rsidP="00BC021F">
            <w:pPr>
              <w:jc w:val="left"/>
              <w:rPr>
                <w:color w:val="000000"/>
                <w:sz w:val="22"/>
                <w:szCs w:val="22"/>
                <w:lang w:val="en-GB"/>
              </w:rPr>
            </w:pPr>
            <w:r w:rsidRPr="00600340">
              <w:rPr>
                <w:color w:val="000000"/>
                <w:sz w:val="22"/>
                <w:szCs w:val="22"/>
                <w:lang w:val="en-GB"/>
              </w:rPr>
              <w:t>Wholesale and retail trade; repair of motor vehicles and motorcycles; Transportation and storage; Accommodation and food service activities</w:t>
            </w:r>
          </w:p>
        </w:tc>
        <w:tc>
          <w:tcPr>
            <w:tcW w:w="0" w:type="auto"/>
            <w:shd w:val="clear" w:color="auto" w:fill="auto"/>
          </w:tcPr>
          <w:p w:rsidR="000D13B9" w:rsidRPr="00600340" w:rsidRDefault="000D13B9" w:rsidP="00BC021F">
            <w:pPr>
              <w:jc w:val="center"/>
              <w:rPr>
                <w:color w:val="000000"/>
                <w:sz w:val="22"/>
                <w:szCs w:val="22"/>
                <w:lang w:val="en-GB"/>
              </w:rPr>
            </w:pPr>
            <w:r w:rsidRPr="00600340">
              <w:rPr>
                <w:color w:val="000000"/>
                <w:sz w:val="22"/>
                <w:szCs w:val="22"/>
                <w:lang w:val="en-GB"/>
              </w:rPr>
              <w:t>1.589</w:t>
            </w:r>
          </w:p>
        </w:tc>
        <w:tc>
          <w:tcPr>
            <w:tcW w:w="0" w:type="auto"/>
          </w:tcPr>
          <w:p w:rsidR="000D13B9" w:rsidRPr="00600340" w:rsidRDefault="000D13B9" w:rsidP="00BC021F">
            <w:pPr>
              <w:jc w:val="center"/>
              <w:rPr>
                <w:color w:val="000000"/>
                <w:sz w:val="22"/>
                <w:szCs w:val="22"/>
                <w:lang w:val="en-GB"/>
              </w:rPr>
            </w:pPr>
            <w:r w:rsidRPr="00600340">
              <w:rPr>
                <w:color w:val="000000"/>
                <w:sz w:val="22"/>
                <w:szCs w:val="22"/>
                <w:lang w:val="en-GB"/>
              </w:rPr>
              <w:t>1.577</w:t>
            </w:r>
          </w:p>
        </w:tc>
      </w:tr>
      <w:tr w:rsidR="000D13B9" w:rsidRPr="00600340" w:rsidTr="00FD3651">
        <w:tc>
          <w:tcPr>
            <w:tcW w:w="1555" w:type="dxa"/>
            <w:shd w:val="clear" w:color="auto" w:fill="auto"/>
          </w:tcPr>
          <w:p w:rsidR="000D13B9" w:rsidRPr="00600340" w:rsidRDefault="000D13B9" w:rsidP="00BC021F">
            <w:pPr>
              <w:jc w:val="left"/>
              <w:rPr>
                <w:color w:val="000000"/>
                <w:sz w:val="22"/>
                <w:szCs w:val="22"/>
                <w:lang w:val="en-GB"/>
              </w:rPr>
            </w:pPr>
            <w:r w:rsidRPr="00600340">
              <w:rPr>
                <w:color w:val="000000"/>
                <w:sz w:val="22"/>
                <w:szCs w:val="22"/>
                <w:lang w:val="en-GB"/>
              </w:rPr>
              <w:t>J</w:t>
            </w:r>
          </w:p>
        </w:tc>
        <w:tc>
          <w:tcPr>
            <w:tcW w:w="4840" w:type="dxa"/>
            <w:shd w:val="clear" w:color="auto" w:fill="auto"/>
          </w:tcPr>
          <w:p w:rsidR="000D13B9" w:rsidRPr="00600340" w:rsidRDefault="000D13B9" w:rsidP="00BC021F">
            <w:pPr>
              <w:jc w:val="left"/>
              <w:rPr>
                <w:color w:val="000000"/>
                <w:sz w:val="22"/>
                <w:szCs w:val="22"/>
                <w:lang w:val="en-GB"/>
              </w:rPr>
            </w:pPr>
            <w:r w:rsidRPr="00600340">
              <w:rPr>
                <w:color w:val="000000"/>
                <w:sz w:val="22"/>
                <w:szCs w:val="22"/>
                <w:lang w:val="en-GB"/>
              </w:rPr>
              <w:t>Information and communication</w:t>
            </w:r>
          </w:p>
        </w:tc>
        <w:tc>
          <w:tcPr>
            <w:tcW w:w="0" w:type="auto"/>
            <w:shd w:val="clear" w:color="auto" w:fill="auto"/>
          </w:tcPr>
          <w:p w:rsidR="000D13B9" w:rsidRPr="00600340" w:rsidRDefault="000D13B9" w:rsidP="00BC021F">
            <w:pPr>
              <w:jc w:val="center"/>
              <w:rPr>
                <w:color w:val="000000"/>
                <w:sz w:val="22"/>
                <w:szCs w:val="22"/>
                <w:lang w:val="en-GB"/>
              </w:rPr>
            </w:pPr>
            <w:r w:rsidRPr="00600340">
              <w:rPr>
                <w:color w:val="000000"/>
                <w:sz w:val="22"/>
                <w:szCs w:val="22"/>
                <w:lang w:val="en-GB"/>
              </w:rPr>
              <w:t>1.580</w:t>
            </w:r>
          </w:p>
        </w:tc>
        <w:tc>
          <w:tcPr>
            <w:tcW w:w="0" w:type="auto"/>
          </w:tcPr>
          <w:p w:rsidR="000D13B9" w:rsidRPr="00600340" w:rsidRDefault="000D13B9" w:rsidP="00BC021F">
            <w:pPr>
              <w:jc w:val="center"/>
              <w:rPr>
                <w:color w:val="000000"/>
                <w:sz w:val="22"/>
                <w:szCs w:val="22"/>
                <w:lang w:val="en-GB"/>
              </w:rPr>
            </w:pPr>
            <w:r w:rsidRPr="00600340">
              <w:rPr>
                <w:color w:val="000000"/>
                <w:sz w:val="22"/>
                <w:szCs w:val="22"/>
                <w:lang w:val="en-GB"/>
              </w:rPr>
              <w:t>1.530</w:t>
            </w:r>
          </w:p>
        </w:tc>
      </w:tr>
      <w:tr w:rsidR="000D13B9" w:rsidRPr="00600340" w:rsidTr="00FD3651">
        <w:tc>
          <w:tcPr>
            <w:tcW w:w="1555" w:type="dxa"/>
            <w:shd w:val="clear" w:color="auto" w:fill="auto"/>
          </w:tcPr>
          <w:p w:rsidR="000D13B9" w:rsidRPr="00600340" w:rsidRDefault="000D13B9" w:rsidP="00BC021F">
            <w:pPr>
              <w:jc w:val="left"/>
              <w:rPr>
                <w:color w:val="000000"/>
                <w:sz w:val="22"/>
                <w:szCs w:val="22"/>
                <w:lang w:val="en-GB"/>
              </w:rPr>
            </w:pPr>
            <w:r w:rsidRPr="00600340">
              <w:rPr>
                <w:color w:val="000000"/>
                <w:sz w:val="22"/>
                <w:szCs w:val="22"/>
                <w:lang w:val="en-GB"/>
              </w:rPr>
              <w:t>K</w:t>
            </w:r>
          </w:p>
        </w:tc>
        <w:tc>
          <w:tcPr>
            <w:tcW w:w="4840" w:type="dxa"/>
            <w:shd w:val="clear" w:color="auto" w:fill="auto"/>
          </w:tcPr>
          <w:p w:rsidR="000D13B9" w:rsidRPr="00600340" w:rsidRDefault="000D13B9" w:rsidP="00BC021F">
            <w:pPr>
              <w:jc w:val="left"/>
              <w:rPr>
                <w:color w:val="000000"/>
                <w:sz w:val="22"/>
                <w:szCs w:val="22"/>
                <w:lang w:val="en-GB"/>
              </w:rPr>
            </w:pPr>
            <w:r w:rsidRPr="00600340">
              <w:rPr>
                <w:color w:val="000000"/>
                <w:sz w:val="22"/>
                <w:szCs w:val="22"/>
                <w:lang w:val="en-GB"/>
              </w:rPr>
              <w:t>Financial and insurance activities</w:t>
            </w:r>
          </w:p>
        </w:tc>
        <w:tc>
          <w:tcPr>
            <w:tcW w:w="0" w:type="auto"/>
            <w:shd w:val="clear" w:color="auto" w:fill="auto"/>
          </w:tcPr>
          <w:p w:rsidR="000D13B9" w:rsidRPr="00600340" w:rsidRDefault="000D13B9" w:rsidP="00BC021F">
            <w:pPr>
              <w:jc w:val="center"/>
              <w:rPr>
                <w:color w:val="000000"/>
                <w:sz w:val="22"/>
                <w:szCs w:val="22"/>
                <w:lang w:val="en-GB"/>
              </w:rPr>
            </w:pPr>
            <w:r w:rsidRPr="00600340">
              <w:rPr>
                <w:color w:val="000000"/>
                <w:sz w:val="22"/>
                <w:szCs w:val="22"/>
                <w:lang w:val="en-GB"/>
              </w:rPr>
              <w:t>1.506</w:t>
            </w:r>
          </w:p>
        </w:tc>
        <w:tc>
          <w:tcPr>
            <w:tcW w:w="0" w:type="auto"/>
          </w:tcPr>
          <w:p w:rsidR="000D13B9" w:rsidRPr="00600340" w:rsidRDefault="000D13B9" w:rsidP="00BC021F">
            <w:pPr>
              <w:jc w:val="center"/>
              <w:rPr>
                <w:color w:val="000000"/>
                <w:sz w:val="22"/>
                <w:szCs w:val="22"/>
                <w:lang w:val="en-GB"/>
              </w:rPr>
            </w:pPr>
            <w:r w:rsidRPr="00600340">
              <w:rPr>
                <w:color w:val="000000"/>
                <w:sz w:val="22"/>
                <w:szCs w:val="22"/>
                <w:lang w:val="en-GB"/>
              </w:rPr>
              <w:t>1.413</w:t>
            </w:r>
          </w:p>
        </w:tc>
      </w:tr>
      <w:tr w:rsidR="000D13B9" w:rsidRPr="00600340" w:rsidTr="00FD3651">
        <w:tc>
          <w:tcPr>
            <w:tcW w:w="1555" w:type="dxa"/>
            <w:shd w:val="clear" w:color="auto" w:fill="auto"/>
          </w:tcPr>
          <w:p w:rsidR="000D13B9" w:rsidRPr="00600340" w:rsidRDefault="000D13B9" w:rsidP="00BC021F">
            <w:pPr>
              <w:jc w:val="left"/>
              <w:rPr>
                <w:color w:val="000000"/>
                <w:sz w:val="22"/>
                <w:szCs w:val="22"/>
                <w:lang w:val="en-GB"/>
              </w:rPr>
            </w:pPr>
            <w:r w:rsidRPr="00600340">
              <w:rPr>
                <w:color w:val="000000"/>
                <w:sz w:val="22"/>
                <w:szCs w:val="22"/>
                <w:lang w:val="en-GB"/>
              </w:rPr>
              <w:t>L</w:t>
            </w:r>
          </w:p>
        </w:tc>
        <w:tc>
          <w:tcPr>
            <w:tcW w:w="4840" w:type="dxa"/>
            <w:shd w:val="clear" w:color="auto" w:fill="auto"/>
          </w:tcPr>
          <w:p w:rsidR="000D13B9" w:rsidRPr="00600340" w:rsidRDefault="000D13B9" w:rsidP="00BC021F">
            <w:pPr>
              <w:jc w:val="left"/>
              <w:rPr>
                <w:color w:val="000000"/>
                <w:sz w:val="22"/>
                <w:szCs w:val="22"/>
                <w:lang w:val="en-GB"/>
              </w:rPr>
            </w:pPr>
            <w:r w:rsidRPr="00600340">
              <w:rPr>
                <w:color w:val="000000"/>
                <w:sz w:val="22"/>
                <w:szCs w:val="22"/>
                <w:lang w:val="en-GB"/>
              </w:rPr>
              <w:t>Real estate activities</w:t>
            </w:r>
          </w:p>
        </w:tc>
        <w:tc>
          <w:tcPr>
            <w:tcW w:w="0" w:type="auto"/>
            <w:shd w:val="clear" w:color="auto" w:fill="auto"/>
          </w:tcPr>
          <w:p w:rsidR="000D13B9" w:rsidRPr="00600340" w:rsidRDefault="000D13B9" w:rsidP="00BC021F">
            <w:pPr>
              <w:jc w:val="center"/>
              <w:rPr>
                <w:color w:val="000000"/>
                <w:sz w:val="22"/>
                <w:szCs w:val="22"/>
                <w:lang w:val="en-GB"/>
              </w:rPr>
            </w:pPr>
            <w:r w:rsidRPr="00600340">
              <w:rPr>
                <w:color w:val="000000"/>
                <w:sz w:val="22"/>
                <w:szCs w:val="22"/>
                <w:lang w:val="en-GB"/>
              </w:rPr>
              <w:t>1.140</w:t>
            </w:r>
          </w:p>
        </w:tc>
        <w:tc>
          <w:tcPr>
            <w:tcW w:w="0" w:type="auto"/>
          </w:tcPr>
          <w:p w:rsidR="000D13B9" w:rsidRPr="00600340" w:rsidRDefault="000D13B9" w:rsidP="00BC021F">
            <w:pPr>
              <w:jc w:val="center"/>
              <w:rPr>
                <w:color w:val="000000"/>
                <w:sz w:val="22"/>
                <w:szCs w:val="22"/>
                <w:lang w:val="en-GB"/>
              </w:rPr>
            </w:pPr>
            <w:r w:rsidRPr="00600340">
              <w:rPr>
                <w:color w:val="000000"/>
                <w:sz w:val="22"/>
                <w:szCs w:val="22"/>
                <w:lang w:val="en-GB"/>
              </w:rPr>
              <w:t>1.105</w:t>
            </w:r>
          </w:p>
        </w:tc>
      </w:tr>
      <w:tr w:rsidR="000D13B9" w:rsidRPr="00600340" w:rsidTr="00FD3651">
        <w:tc>
          <w:tcPr>
            <w:tcW w:w="1555" w:type="dxa"/>
            <w:shd w:val="clear" w:color="auto" w:fill="auto"/>
          </w:tcPr>
          <w:p w:rsidR="000D13B9" w:rsidRPr="00600340" w:rsidRDefault="000D13B9" w:rsidP="00BC021F">
            <w:pPr>
              <w:jc w:val="left"/>
              <w:rPr>
                <w:color w:val="000000"/>
                <w:sz w:val="22"/>
                <w:szCs w:val="22"/>
                <w:lang w:val="en-GB"/>
              </w:rPr>
            </w:pPr>
            <w:r w:rsidRPr="00600340">
              <w:rPr>
                <w:color w:val="000000"/>
                <w:sz w:val="22"/>
                <w:szCs w:val="22"/>
                <w:lang w:val="en-GB"/>
              </w:rPr>
              <w:t>M+N</w:t>
            </w:r>
          </w:p>
        </w:tc>
        <w:tc>
          <w:tcPr>
            <w:tcW w:w="4840" w:type="dxa"/>
            <w:shd w:val="clear" w:color="auto" w:fill="auto"/>
          </w:tcPr>
          <w:p w:rsidR="000D13B9" w:rsidRPr="00600340" w:rsidRDefault="000D13B9" w:rsidP="00BC021F">
            <w:pPr>
              <w:jc w:val="left"/>
              <w:rPr>
                <w:color w:val="000000"/>
                <w:sz w:val="22"/>
                <w:szCs w:val="22"/>
                <w:lang w:val="en-GB"/>
              </w:rPr>
            </w:pPr>
            <w:r w:rsidRPr="00600340">
              <w:rPr>
                <w:color w:val="000000"/>
                <w:sz w:val="22"/>
                <w:szCs w:val="22"/>
                <w:lang w:val="en-GB"/>
              </w:rPr>
              <w:t>Professional, scientific and technical activities; Administrative and support service activities</w:t>
            </w:r>
          </w:p>
        </w:tc>
        <w:tc>
          <w:tcPr>
            <w:tcW w:w="0" w:type="auto"/>
            <w:shd w:val="clear" w:color="auto" w:fill="auto"/>
          </w:tcPr>
          <w:p w:rsidR="000D13B9" w:rsidRPr="00600340" w:rsidRDefault="000D13B9" w:rsidP="00BC021F">
            <w:pPr>
              <w:jc w:val="center"/>
              <w:rPr>
                <w:color w:val="000000"/>
                <w:sz w:val="22"/>
                <w:szCs w:val="22"/>
                <w:lang w:val="en-GB"/>
              </w:rPr>
            </w:pPr>
            <w:r w:rsidRPr="00600340">
              <w:rPr>
                <w:color w:val="000000"/>
                <w:sz w:val="22"/>
                <w:szCs w:val="22"/>
                <w:lang w:val="en-GB"/>
              </w:rPr>
              <w:t>1.571</w:t>
            </w:r>
          </w:p>
        </w:tc>
        <w:tc>
          <w:tcPr>
            <w:tcW w:w="0" w:type="auto"/>
          </w:tcPr>
          <w:p w:rsidR="000D13B9" w:rsidRPr="00600340" w:rsidRDefault="000D13B9" w:rsidP="00BC021F">
            <w:pPr>
              <w:jc w:val="center"/>
              <w:rPr>
                <w:color w:val="000000"/>
                <w:sz w:val="22"/>
                <w:szCs w:val="22"/>
                <w:lang w:val="en-GB"/>
              </w:rPr>
            </w:pPr>
            <w:r w:rsidRPr="00600340">
              <w:rPr>
                <w:color w:val="000000"/>
                <w:sz w:val="22"/>
                <w:szCs w:val="22"/>
                <w:lang w:val="en-GB"/>
              </w:rPr>
              <w:t>1.549</w:t>
            </w:r>
          </w:p>
        </w:tc>
      </w:tr>
      <w:tr w:rsidR="000D13B9" w:rsidRPr="00600340" w:rsidTr="00FD3651">
        <w:tc>
          <w:tcPr>
            <w:tcW w:w="1555" w:type="dxa"/>
            <w:shd w:val="clear" w:color="auto" w:fill="auto"/>
          </w:tcPr>
          <w:p w:rsidR="000D13B9" w:rsidRPr="00600340" w:rsidRDefault="000D13B9" w:rsidP="00BC021F">
            <w:pPr>
              <w:jc w:val="left"/>
              <w:rPr>
                <w:color w:val="000000"/>
                <w:sz w:val="22"/>
                <w:szCs w:val="22"/>
                <w:lang w:val="en-GB"/>
              </w:rPr>
            </w:pPr>
            <w:r w:rsidRPr="00600340">
              <w:rPr>
                <w:color w:val="000000"/>
                <w:sz w:val="22"/>
                <w:szCs w:val="22"/>
                <w:lang w:val="en-GB"/>
              </w:rPr>
              <w:t>O+P+Q</w:t>
            </w:r>
          </w:p>
        </w:tc>
        <w:tc>
          <w:tcPr>
            <w:tcW w:w="4840" w:type="dxa"/>
            <w:shd w:val="clear" w:color="auto" w:fill="auto"/>
          </w:tcPr>
          <w:p w:rsidR="000D13B9" w:rsidRPr="00600340" w:rsidRDefault="000D13B9" w:rsidP="00BC021F">
            <w:pPr>
              <w:jc w:val="left"/>
              <w:rPr>
                <w:color w:val="000000"/>
                <w:sz w:val="22"/>
                <w:szCs w:val="22"/>
                <w:lang w:val="en-GB"/>
              </w:rPr>
            </w:pPr>
            <w:r w:rsidRPr="00600340">
              <w:rPr>
                <w:color w:val="000000"/>
                <w:sz w:val="22"/>
                <w:szCs w:val="22"/>
                <w:lang w:val="en-GB"/>
              </w:rPr>
              <w:t>Public administration and defence; compulsory social security; Education; Human health and social work activities</w:t>
            </w:r>
          </w:p>
        </w:tc>
        <w:tc>
          <w:tcPr>
            <w:tcW w:w="0" w:type="auto"/>
            <w:shd w:val="clear" w:color="auto" w:fill="auto"/>
          </w:tcPr>
          <w:p w:rsidR="000D13B9" w:rsidRPr="00600340" w:rsidRDefault="000D13B9" w:rsidP="00BC021F">
            <w:pPr>
              <w:jc w:val="center"/>
              <w:rPr>
                <w:color w:val="000000"/>
                <w:sz w:val="22"/>
                <w:szCs w:val="22"/>
                <w:lang w:val="en-GB"/>
              </w:rPr>
            </w:pPr>
            <w:r w:rsidRPr="00600340">
              <w:rPr>
                <w:color w:val="000000"/>
                <w:sz w:val="22"/>
                <w:szCs w:val="22"/>
                <w:lang w:val="en-GB"/>
              </w:rPr>
              <w:t>1.410</w:t>
            </w:r>
          </w:p>
        </w:tc>
        <w:tc>
          <w:tcPr>
            <w:tcW w:w="0" w:type="auto"/>
          </w:tcPr>
          <w:p w:rsidR="000D13B9" w:rsidRPr="00600340" w:rsidRDefault="000D13B9" w:rsidP="00BC021F">
            <w:pPr>
              <w:jc w:val="center"/>
              <w:rPr>
                <w:color w:val="000000"/>
                <w:sz w:val="22"/>
                <w:szCs w:val="22"/>
                <w:lang w:val="en-GB"/>
              </w:rPr>
            </w:pPr>
            <w:r w:rsidRPr="00600340">
              <w:rPr>
                <w:color w:val="000000"/>
                <w:sz w:val="22"/>
                <w:szCs w:val="22"/>
                <w:lang w:val="en-GB"/>
              </w:rPr>
              <w:t>1.304</w:t>
            </w:r>
          </w:p>
        </w:tc>
      </w:tr>
      <w:tr w:rsidR="000D13B9" w:rsidRPr="00600340" w:rsidTr="00FD3651">
        <w:trPr>
          <w:trHeight w:val="745"/>
        </w:trPr>
        <w:tc>
          <w:tcPr>
            <w:tcW w:w="1555" w:type="dxa"/>
            <w:shd w:val="clear" w:color="auto" w:fill="auto"/>
          </w:tcPr>
          <w:p w:rsidR="000D13B9" w:rsidRPr="00600340" w:rsidRDefault="000D13B9" w:rsidP="00BC021F">
            <w:pPr>
              <w:jc w:val="left"/>
              <w:rPr>
                <w:color w:val="000000"/>
                <w:sz w:val="22"/>
                <w:szCs w:val="22"/>
                <w:lang w:val="en-GB"/>
              </w:rPr>
            </w:pPr>
            <w:r w:rsidRPr="00600340">
              <w:rPr>
                <w:color w:val="000000"/>
                <w:sz w:val="22"/>
                <w:szCs w:val="22"/>
                <w:lang w:val="en-GB"/>
              </w:rPr>
              <w:t>R+S+T+U</w:t>
            </w:r>
          </w:p>
        </w:tc>
        <w:tc>
          <w:tcPr>
            <w:tcW w:w="4840" w:type="dxa"/>
            <w:shd w:val="clear" w:color="auto" w:fill="auto"/>
          </w:tcPr>
          <w:p w:rsidR="000D13B9" w:rsidRPr="00600340" w:rsidRDefault="000D13B9" w:rsidP="00BC021F">
            <w:pPr>
              <w:jc w:val="left"/>
              <w:rPr>
                <w:color w:val="000000"/>
                <w:sz w:val="22"/>
                <w:szCs w:val="22"/>
                <w:lang w:val="en-GB"/>
              </w:rPr>
            </w:pPr>
            <w:r w:rsidRPr="00600340">
              <w:rPr>
                <w:color w:val="000000"/>
                <w:sz w:val="22"/>
                <w:szCs w:val="22"/>
                <w:lang w:val="en-GB"/>
              </w:rPr>
              <w:t>Arts, entertainment and recreation; Other service activities; Activities of households as employers; Activities of extraterritorial organisations and bodies</w:t>
            </w:r>
          </w:p>
        </w:tc>
        <w:tc>
          <w:tcPr>
            <w:tcW w:w="0" w:type="auto"/>
            <w:shd w:val="clear" w:color="auto" w:fill="auto"/>
          </w:tcPr>
          <w:p w:rsidR="000D13B9" w:rsidRPr="00600340" w:rsidRDefault="000D13B9" w:rsidP="00BC021F">
            <w:pPr>
              <w:jc w:val="center"/>
              <w:rPr>
                <w:color w:val="000000"/>
                <w:sz w:val="22"/>
                <w:szCs w:val="22"/>
                <w:lang w:val="en-GB"/>
              </w:rPr>
            </w:pPr>
            <w:r w:rsidRPr="00600340">
              <w:rPr>
                <w:color w:val="000000"/>
                <w:sz w:val="22"/>
                <w:szCs w:val="22"/>
                <w:lang w:val="en-GB"/>
              </w:rPr>
              <w:t>1.500</w:t>
            </w:r>
          </w:p>
        </w:tc>
        <w:tc>
          <w:tcPr>
            <w:tcW w:w="0" w:type="auto"/>
          </w:tcPr>
          <w:p w:rsidR="000D13B9" w:rsidRPr="00600340" w:rsidRDefault="000D13B9" w:rsidP="00BC021F">
            <w:pPr>
              <w:jc w:val="center"/>
              <w:rPr>
                <w:color w:val="000000"/>
                <w:sz w:val="22"/>
                <w:szCs w:val="22"/>
                <w:lang w:val="en-GB"/>
              </w:rPr>
            </w:pPr>
            <w:r w:rsidRPr="00600340">
              <w:rPr>
                <w:color w:val="000000"/>
                <w:sz w:val="22"/>
                <w:szCs w:val="22"/>
                <w:lang w:val="en-GB"/>
              </w:rPr>
              <w:t>1.437</w:t>
            </w:r>
          </w:p>
        </w:tc>
      </w:tr>
    </w:tbl>
    <w:p w:rsidR="004B590B" w:rsidRPr="00FD3651" w:rsidRDefault="009C520B" w:rsidP="00FD3651">
      <w:pPr>
        <w:pStyle w:val="Tijeloteksta"/>
        <w:spacing w:before="0"/>
        <w:jc w:val="left"/>
        <w:rPr>
          <w:b w:val="0"/>
          <w:sz w:val="22"/>
          <w:szCs w:val="22"/>
        </w:rPr>
      </w:pPr>
      <w:r w:rsidRPr="00174F15">
        <w:rPr>
          <w:b w:val="0"/>
          <w:sz w:val="22"/>
          <w:szCs w:val="22"/>
        </w:rPr>
        <w:t xml:space="preserve">Table 1: </w:t>
      </w:r>
      <w:r w:rsidR="00600340" w:rsidRPr="00174F15">
        <w:rPr>
          <w:rFonts w:eastAsiaTheme="minorEastAsia"/>
          <w:b w:val="0"/>
          <w:sz w:val="22"/>
          <w:szCs w:val="22"/>
        </w:rPr>
        <w:t>Output and value added multipliers for the Croatian economy</w:t>
      </w:r>
    </w:p>
    <w:p w:rsidR="004B590B" w:rsidRDefault="004B590B" w:rsidP="00FD3651">
      <w:pPr>
        <w:rPr>
          <w:rFonts w:eastAsiaTheme="minorEastAsia"/>
          <w:lang w:val="en-GB"/>
        </w:rPr>
      </w:pPr>
      <w:r w:rsidRPr="00423027">
        <w:rPr>
          <w:rFonts w:eastAsiaTheme="minorEastAsia"/>
          <w:lang w:val="en-GB"/>
        </w:rPr>
        <w:t xml:space="preserve">Table </w:t>
      </w:r>
      <w:proofErr w:type="gramStart"/>
      <w:r w:rsidRPr="00423027">
        <w:rPr>
          <w:rFonts w:eastAsiaTheme="minorEastAsia"/>
          <w:lang w:val="en-GB"/>
        </w:rPr>
        <w:t>1</w:t>
      </w:r>
      <w:proofErr w:type="gramEnd"/>
      <w:r w:rsidRPr="00423027">
        <w:rPr>
          <w:rFonts w:eastAsiaTheme="minorEastAsia"/>
          <w:lang w:val="en-GB"/>
        </w:rPr>
        <w:t xml:space="preserve"> shows the values of the output and value added multipliers for 2010 for various sectors of the Croatia</w:t>
      </w:r>
      <w:r w:rsidR="00B1798F">
        <w:rPr>
          <w:rFonts w:eastAsiaTheme="minorEastAsia"/>
          <w:lang w:val="en-GB"/>
        </w:rPr>
        <w:t>n economy according to NKD 2007</w:t>
      </w:r>
      <w:r w:rsidRPr="00423027">
        <w:rPr>
          <w:rFonts w:eastAsiaTheme="minorEastAsia"/>
          <w:lang w:val="en-GB"/>
        </w:rPr>
        <w:t xml:space="preserve"> activity sections. According to the values of multipliers</w:t>
      </w:r>
      <w:r w:rsidR="00295137">
        <w:rPr>
          <w:rFonts w:eastAsiaTheme="minorEastAsia"/>
          <w:lang w:val="en-GB"/>
        </w:rPr>
        <w:t>,</w:t>
      </w:r>
      <w:r w:rsidRPr="00423027">
        <w:rPr>
          <w:rFonts w:eastAsiaTheme="minorEastAsia"/>
          <w:lang w:val="en-GB"/>
        </w:rPr>
        <w:t xml:space="preserve"> it can be noted that the activity F - Construction had the highest ability to contribute to the economy </w:t>
      </w:r>
      <w:r w:rsidR="00DA7C0F">
        <w:rPr>
          <w:rFonts w:eastAsiaTheme="minorEastAsia"/>
          <w:lang w:val="en-GB"/>
        </w:rPr>
        <w:t xml:space="preserve">while the </w:t>
      </w:r>
      <w:r w:rsidRPr="00423027">
        <w:rPr>
          <w:rFonts w:eastAsiaTheme="minorEastAsia"/>
          <w:lang w:val="en-GB"/>
        </w:rPr>
        <w:t>activity L - Real estate activities had the lowe</w:t>
      </w:r>
      <w:r w:rsidR="00B1798F">
        <w:rPr>
          <w:rFonts w:eastAsiaTheme="minorEastAsia"/>
          <w:lang w:val="en-GB"/>
        </w:rPr>
        <w:t>st contribution to the economy.</w:t>
      </w:r>
    </w:p>
    <w:p w:rsidR="00174F15" w:rsidRDefault="00174F15" w:rsidP="00174F15">
      <w:pPr>
        <w:spacing w:before="0"/>
        <w:rPr>
          <w:rFonts w:eastAsiaTheme="minorEastAsia"/>
          <w:lang w:val="en-GB"/>
        </w:rPr>
      </w:pPr>
    </w:p>
    <w:tbl>
      <w:tblPr>
        <w:tblW w:w="4423" w:type="dxa"/>
        <w:tblLook w:val="04A0" w:firstRow="1" w:lastRow="0" w:firstColumn="1" w:lastColumn="0" w:noHBand="0" w:noVBand="1"/>
      </w:tblPr>
      <w:tblGrid>
        <w:gridCol w:w="779"/>
        <w:gridCol w:w="1084"/>
        <w:gridCol w:w="1476"/>
        <w:gridCol w:w="1084"/>
      </w:tblGrid>
      <w:tr w:rsidR="000D13B9" w:rsidRPr="00600340" w:rsidTr="00BC021F">
        <w:trPr>
          <w:trHeight w:val="405"/>
        </w:trPr>
        <w:tc>
          <w:tcPr>
            <w:tcW w:w="1863" w:type="dxa"/>
            <w:gridSpan w:val="2"/>
            <w:tcBorders>
              <w:top w:val="single" w:sz="4" w:space="0" w:color="auto"/>
              <w:left w:val="single" w:sz="4" w:space="0" w:color="auto"/>
              <w:bottom w:val="single" w:sz="4" w:space="0" w:color="auto"/>
              <w:right w:val="single" w:sz="4" w:space="0" w:color="auto"/>
            </w:tcBorders>
            <w:shd w:val="clear" w:color="auto" w:fill="auto"/>
            <w:noWrap/>
          </w:tcPr>
          <w:p w:rsidR="000D13B9" w:rsidRPr="00600340" w:rsidRDefault="000D13B9" w:rsidP="00BC021F">
            <w:pPr>
              <w:jc w:val="center"/>
              <w:rPr>
                <w:color w:val="000000"/>
                <w:sz w:val="22"/>
                <w:szCs w:val="22"/>
                <w:lang w:val="en-GB"/>
              </w:rPr>
            </w:pPr>
            <w:r w:rsidRPr="00600340">
              <w:rPr>
                <w:color w:val="000000"/>
                <w:sz w:val="22"/>
                <w:szCs w:val="22"/>
                <w:lang w:val="en-GB"/>
              </w:rPr>
              <w:lastRenderedPageBreak/>
              <w:t>Year 2004</w:t>
            </w:r>
          </w:p>
        </w:tc>
        <w:tc>
          <w:tcPr>
            <w:tcW w:w="2560" w:type="dxa"/>
            <w:gridSpan w:val="2"/>
            <w:tcBorders>
              <w:top w:val="single" w:sz="4" w:space="0" w:color="auto"/>
              <w:left w:val="nil"/>
              <w:bottom w:val="single" w:sz="4" w:space="0" w:color="auto"/>
              <w:right w:val="single" w:sz="4" w:space="0" w:color="auto"/>
            </w:tcBorders>
            <w:shd w:val="clear" w:color="auto" w:fill="auto"/>
            <w:noWrap/>
          </w:tcPr>
          <w:p w:rsidR="000D13B9" w:rsidRPr="00600340" w:rsidRDefault="000D13B9" w:rsidP="00BC021F">
            <w:pPr>
              <w:jc w:val="center"/>
              <w:rPr>
                <w:color w:val="000000"/>
                <w:sz w:val="22"/>
                <w:szCs w:val="22"/>
                <w:lang w:val="en-GB"/>
              </w:rPr>
            </w:pPr>
            <w:r w:rsidRPr="00600340">
              <w:rPr>
                <w:color w:val="000000"/>
                <w:sz w:val="22"/>
                <w:szCs w:val="22"/>
                <w:lang w:val="en-GB"/>
              </w:rPr>
              <w:t>Year 2010</w:t>
            </w:r>
          </w:p>
        </w:tc>
      </w:tr>
      <w:tr w:rsidR="000D13B9" w:rsidRPr="00600340" w:rsidTr="00BC021F">
        <w:trPr>
          <w:trHeight w:val="405"/>
        </w:trPr>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0D13B9" w:rsidRPr="00600340" w:rsidRDefault="000D13B9" w:rsidP="00BC021F">
            <w:pPr>
              <w:jc w:val="center"/>
              <w:rPr>
                <w:color w:val="000000"/>
                <w:sz w:val="22"/>
                <w:szCs w:val="22"/>
                <w:lang w:val="en-GB"/>
              </w:rPr>
            </w:pPr>
            <w:r w:rsidRPr="00600340">
              <w:rPr>
                <w:color w:val="000000"/>
                <w:sz w:val="22"/>
                <w:szCs w:val="22"/>
                <w:lang w:val="en-GB"/>
              </w:rPr>
              <w:t>Sector</w:t>
            </w:r>
            <w:r>
              <w:rPr>
                <w:color w:val="000000"/>
                <w:sz w:val="22"/>
                <w:szCs w:val="22"/>
                <w:lang w:val="en-GB"/>
              </w:rPr>
              <w:t xml:space="preserve"> code</w:t>
            </w:r>
          </w:p>
        </w:tc>
        <w:tc>
          <w:tcPr>
            <w:tcW w:w="1084" w:type="dxa"/>
            <w:tcBorders>
              <w:top w:val="single" w:sz="4" w:space="0" w:color="auto"/>
              <w:left w:val="nil"/>
              <w:bottom w:val="single" w:sz="4" w:space="0" w:color="auto"/>
              <w:right w:val="single" w:sz="4" w:space="0" w:color="auto"/>
            </w:tcBorders>
            <w:shd w:val="clear" w:color="auto" w:fill="auto"/>
            <w:noWrap/>
            <w:hideMark/>
          </w:tcPr>
          <w:p w:rsidR="000D13B9" w:rsidRPr="00600340" w:rsidRDefault="000D13B9" w:rsidP="00BC021F">
            <w:pPr>
              <w:jc w:val="center"/>
              <w:rPr>
                <w:color w:val="000000"/>
                <w:sz w:val="22"/>
                <w:szCs w:val="22"/>
                <w:lang w:val="en-GB"/>
              </w:rPr>
            </w:pPr>
            <w:r w:rsidRPr="00600340">
              <w:rPr>
                <w:color w:val="000000"/>
                <w:sz w:val="22"/>
                <w:szCs w:val="22"/>
                <w:lang w:val="en-GB"/>
              </w:rPr>
              <w:t>Output multiplier</w:t>
            </w:r>
          </w:p>
        </w:tc>
        <w:tc>
          <w:tcPr>
            <w:tcW w:w="1476" w:type="dxa"/>
            <w:tcBorders>
              <w:top w:val="single" w:sz="4" w:space="0" w:color="auto"/>
              <w:left w:val="nil"/>
              <w:bottom w:val="single" w:sz="4" w:space="0" w:color="auto"/>
              <w:right w:val="single" w:sz="4" w:space="0" w:color="auto"/>
            </w:tcBorders>
            <w:shd w:val="clear" w:color="auto" w:fill="auto"/>
            <w:noWrap/>
            <w:hideMark/>
          </w:tcPr>
          <w:p w:rsidR="000D13B9" w:rsidRDefault="000D13B9" w:rsidP="00BC021F">
            <w:pPr>
              <w:spacing w:before="0"/>
              <w:jc w:val="center"/>
              <w:rPr>
                <w:color w:val="000000"/>
                <w:sz w:val="22"/>
                <w:szCs w:val="22"/>
                <w:lang w:val="en-GB"/>
              </w:rPr>
            </w:pPr>
            <w:r w:rsidRPr="00600340">
              <w:rPr>
                <w:color w:val="000000"/>
                <w:sz w:val="22"/>
                <w:szCs w:val="22"/>
                <w:lang w:val="en-GB"/>
              </w:rPr>
              <w:t>Sector</w:t>
            </w:r>
            <w:r>
              <w:rPr>
                <w:color w:val="000000"/>
                <w:sz w:val="22"/>
                <w:szCs w:val="22"/>
                <w:lang w:val="en-GB"/>
              </w:rPr>
              <w:t xml:space="preserve"> </w:t>
            </w:r>
          </w:p>
          <w:p w:rsidR="000D13B9" w:rsidRPr="00600340" w:rsidRDefault="000D13B9" w:rsidP="00BC021F">
            <w:pPr>
              <w:spacing w:before="0"/>
              <w:jc w:val="center"/>
              <w:rPr>
                <w:color w:val="000000"/>
                <w:sz w:val="22"/>
                <w:szCs w:val="22"/>
                <w:lang w:val="en-GB"/>
              </w:rPr>
            </w:pPr>
            <w:r>
              <w:rPr>
                <w:color w:val="000000"/>
                <w:sz w:val="22"/>
                <w:szCs w:val="22"/>
                <w:lang w:val="en-GB"/>
              </w:rPr>
              <w:t>code</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0D13B9" w:rsidRPr="00600340" w:rsidRDefault="000D13B9" w:rsidP="00BC021F">
            <w:pPr>
              <w:jc w:val="center"/>
              <w:rPr>
                <w:color w:val="000000"/>
                <w:sz w:val="22"/>
                <w:szCs w:val="22"/>
                <w:lang w:val="en-GB"/>
              </w:rPr>
            </w:pPr>
            <w:r w:rsidRPr="00600340">
              <w:rPr>
                <w:color w:val="000000"/>
                <w:sz w:val="22"/>
                <w:szCs w:val="22"/>
                <w:lang w:val="en-GB"/>
              </w:rPr>
              <w:t>Output multiplier</w:t>
            </w:r>
          </w:p>
        </w:tc>
      </w:tr>
      <w:tr w:rsidR="000D13B9" w:rsidRPr="00600340" w:rsidTr="00BC021F">
        <w:trPr>
          <w:trHeight w:val="300"/>
        </w:trPr>
        <w:tc>
          <w:tcPr>
            <w:tcW w:w="779" w:type="dxa"/>
            <w:tcBorders>
              <w:top w:val="nil"/>
              <w:left w:val="single" w:sz="4" w:space="0" w:color="auto"/>
              <w:bottom w:val="single" w:sz="4" w:space="0" w:color="auto"/>
              <w:right w:val="single" w:sz="4" w:space="0" w:color="auto"/>
            </w:tcBorders>
            <w:shd w:val="clear" w:color="auto" w:fill="auto"/>
            <w:noWrap/>
            <w:hideMark/>
          </w:tcPr>
          <w:p w:rsidR="000D13B9" w:rsidRPr="00600340" w:rsidRDefault="000D13B9" w:rsidP="00BC021F">
            <w:pPr>
              <w:jc w:val="left"/>
              <w:rPr>
                <w:color w:val="000000"/>
                <w:sz w:val="22"/>
                <w:szCs w:val="22"/>
                <w:lang w:val="en-GB"/>
              </w:rPr>
            </w:pPr>
            <w:r w:rsidRPr="00600340">
              <w:rPr>
                <w:color w:val="000000"/>
                <w:sz w:val="22"/>
                <w:szCs w:val="22"/>
                <w:lang w:val="en-GB"/>
              </w:rPr>
              <w:t>30</w:t>
            </w:r>
          </w:p>
        </w:tc>
        <w:tc>
          <w:tcPr>
            <w:tcW w:w="1084" w:type="dxa"/>
            <w:tcBorders>
              <w:top w:val="nil"/>
              <w:left w:val="nil"/>
              <w:bottom w:val="single" w:sz="4" w:space="0" w:color="auto"/>
              <w:right w:val="single" w:sz="4" w:space="0" w:color="auto"/>
            </w:tcBorders>
            <w:shd w:val="clear" w:color="000000" w:fill="FFFFFF"/>
            <w:noWrap/>
            <w:hideMark/>
          </w:tcPr>
          <w:p w:rsidR="000D13B9" w:rsidRPr="00600340" w:rsidRDefault="000D13B9" w:rsidP="00BC021F">
            <w:pPr>
              <w:jc w:val="center"/>
              <w:rPr>
                <w:color w:val="000000"/>
                <w:sz w:val="22"/>
                <w:szCs w:val="22"/>
                <w:lang w:val="en-GB"/>
              </w:rPr>
            </w:pPr>
            <w:r w:rsidRPr="00600340">
              <w:rPr>
                <w:color w:val="000000"/>
                <w:sz w:val="22"/>
                <w:szCs w:val="22"/>
                <w:lang w:val="en-GB"/>
              </w:rPr>
              <w:t>1.694</w:t>
            </w:r>
          </w:p>
        </w:tc>
        <w:tc>
          <w:tcPr>
            <w:tcW w:w="1476" w:type="dxa"/>
            <w:vMerge w:val="restart"/>
            <w:tcBorders>
              <w:top w:val="nil"/>
              <w:left w:val="single" w:sz="4" w:space="0" w:color="auto"/>
              <w:bottom w:val="single" w:sz="4" w:space="0" w:color="auto"/>
              <w:right w:val="single" w:sz="4" w:space="0" w:color="auto"/>
            </w:tcBorders>
            <w:shd w:val="clear" w:color="auto" w:fill="auto"/>
            <w:noWrap/>
            <w:hideMark/>
          </w:tcPr>
          <w:p w:rsidR="000D13B9" w:rsidRPr="00600340" w:rsidRDefault="000D13B9" w:rsidP="00BC021F">
            <w:pPr>
              <w:jc w:val="left"/>
              <w:rPr>
                <w:sz w:val="22"/>
                <w:szCs w:val="22"/>
                <w:lang w:val="en-GB"/>
              </w:rPr>
            </w:pPr>
            <w:r w:rsidRPr="00600340">
              <w:rPr>
                <w:sz w:val="22"/>
                <w:szCs w:val="22"/>
                <w:lang w:val="en-GB"/>
              </w:rPr>
              <w:t>CPA_C26</w:t>
            </w:r>
          </w:p>
        </w:tc>
        <w:tc>
          <w:tcPr>
            <w:tcW w:w="1084" w:type="dxa"/>
            <w:vMerge w:val="restart"/>
            <w:tcBorders>
              <w:top w:val="nil"/>
              <w:left w:val="single" w:sz="4" w:space="0" w:color="auto"/>
              <w:bottom w:val="single" w:sz="4" w:space="0" w:color="auto"/>
              <w:right w:val="single" w:sz="4" w:space="0" w:color="auto"/>
            </w:tcBorders>
            <w:shd w:val="clear" w:color="auto" w:fill="auto"/>
            <w:noWrap/>
            <w:hideMark/>
          </w:tcPr>
          <w:p w:rsidR="000D13B9" w:rsidRPr="00600340" w:rsidRDefault="000D13B9" w:rsidP="00BC021F">
            <w:pPr>
              <w:jc w:val="center"/>
              <w:rPr>
                <w:color w:val="000000"/>
                <w:sz w:val="22"/>
                <w:szCs w:val="22"/>
                <w:lang w:val="en-GB"/>
              </w:rPr>
            </w:pPr>
            <w:r w:rsidRPr="00600340">
              <w:rPr>
                <w:color w:val="000000"/>
                <w:sz w:val="22"/>
                <w:szCs w:val="22"/>
                <w:lang w:val="en-GB"/>
              </w:rPr>
              <w:t>1.581</w:t>
            </w:r>
          </w:p>
        </w:tc>
      </w:tr>
      <w:tr w:rsidR="000D13B9" w:rsidRPr="00600340" w:rsidTr="00BC021F">
        <w:trPr>
          <w:trHeight w:val="315"/>
        </w:trPr>
        <w:tc>
          <w:tcPr>
            <w:tcW w:w="779" w:type="dxa"/>
            <w:tcBorders>
              <w:top w:val="nil"/>
              <w:left w:val="single" w:sz="4" w:space="0" w:color="auto"/>
              <w:bottom w:val="single" w:sz="4" w:space="0" w:color="auto"/>
              <w:right w:val="single" w:sz="4" w:space="0" w:color="auto"/>
            </w:tcBorders>
            <w:shd w:val="clear" w:color="auto" w:fill="auto"/>
            <w:noWrap/>
            <w:hideMark/>
          </w:tcPr>
          <w:p w:rsidR="000D13B9" w:rsidRPr="00600340" w:rsidRDefault="000D13B9" w:rsidP="00BC021F">
            <w:pPr>
              <w:jc w:val="left"/>
              <w:rPr>
                <w:color w:val="000000"/>
                <w:sz w:val="22"/>
                <w:szCs w:val="22"/>
                <w:lang w:val="en-GB"/>
              </w:rPr>
            </w:pPr>
            <w:r w:rsidRPr="00600340">
              <w:rPr>
                <w:color w:val="000000"/>
                <w:sz w:val="22"/>
                <w:szCs w:val="22"/>
                <w:lang w:val="en-GB"/>
              </w:rPr>
              <w:t>32</w:t>
            </w:r>
          </w:p>
        </w:tc>
        <w:tc>
          <w:tcPr>
            <w:tcW w:w="1084" w:type="dxa"/>
            <w:tcBorders>
              <w:top w:val="nil"/>
              <w:left w:val="nil"/>
              <w:bottom w:val="single" w:sz="4" w:space="0" w:color="auto"/>
              <w:right w:val="single" w:sz="4" w:space="0" w:color="auto"/>
            </w:tcBorders>
            <w:shd w:val="clear" w:color="000000" w:fill="FFFFFF"/>
            <w:noWrap/>
            <w:hideMark/>
          </w:tcPr>
          <w:p w:rsidR="000D13B9" w:rsidRPr="00600340" w:rsidRDefault="000D13B9" w:rsidP="00BC021F">
            <w:pPr>
              <w:jc w:val="center"/>
              <w:rPr>
                <w:color w:val="000000"/>
                <w:sz w:val="22"/>
                <w:szCs w:val="22"/>
                <w:lang w:val="en-GB"/>
              </w:rPr>
            </w:pPr>
            <w:r w:rsidRPr="00600340">
              <w:rPr>
                <w:color w:val="000000"/>
                <w:sz w:val="22"/>
                <w:szCs w:val="22"/>
                <w:lang w:val="en-GB"/>
              </w:rPr>
              <w:t>1.798</w:t>
            </w:r>
          </w:p>
        </w:tc>
        <w:tc>
          <w:tcPr>
            <w:tcW w:w="1476" w:type="dxa"/>
            <w:vMerge/>
            <w:tcBorders>
              <w:top w:val="nil"/>
              <w:left w:val="single" w:sz="4" w:space="0" w:color="auto"/>
              <w:bottom w:val="single" w:sz="4" w:space="0" w:color="auto"/>
              <w:right w:val="single" w:sz="4" w:space="0" w:color="auto"/>
            </w:tcBorders>
            <w:hideMark/>
          </w:tcPr>
          <w:p w:rsidR="000D13B9" w:rsidRPr="00600340" w:rsidRDefault="000D13B9" w:rsidP="00BC021F">
            <w:pPr>
              <w:jc w:val="left"/>
              <w:rPr>
                <w:color w:val="000000"/>
                <w:sz w:val="22"/>
                <w:szCs w:val="22"/>
                <w:lang w:val="en-GB"/>
              </w:rPr>
            </w:pPr>
          </w:p>
        </w:tc>
        <w:tc>
          <w:tcPr>
            <w:tcW w:w="1084" w:type="dxa"/>
            <w:vMerge/>
            <w:tcBorders>
              <w:top w:val="nil"/>
              <w:left w:val="single" w:sz="4" w:space="0" w:color="auto"/>
              <w:bottom w:val="single" w:sz="4" w:space="0" w:color="auto"/>
              <w:right w:val="single" w:sz="4" w:space="0" w:color="auto"/>
            </w:tcBorders>
            <w:hideMark/>
          </w:tcPr>
          <w:p w:rsidR="000D13B9" w:rsidRPr="00600340" w:rsidRDefault="000D13B9" w:rsidP="00BC021F">
            <w:pPr>
              <w:jc w:val="center"/>
              <w:rPr>
                <w:color w:val="000000"/>
                <w:sz w:val="22"/>
                <w:szCs w:val="22"/>
                <w:lang w:val="en-GB"/>
              </w:rPr>
            </w:pPr>
          </w:p>
        </w:tc>
      </w:tr>
      <w:tr w:rsidR="000D13B9" w:rsidRPr="00600340" w:rsidTr="00BC021F">
        <w:trPr>
          <w:trHeight w:val="223"/>
        </w:trPr>
        <w:tc>
          <w:tcPr>
            <w:tcW w:w="779" w:type="dxa"/>
            <w:tcBorders>
              <w:top w:val="nil"/>
              <w:left w:val="single" w:sz="4" w:space="0" w:color="auto"/>
              <w:bottom w:val="single" w:sz="4" w:space="0" w:color="auto"/>
              <w:right w:val="single" w:sz="4" w:space="0" w:color="auto"/>
            </w:tcBorders>
            <w:shd w:val="clear" w:color="auto" w:fill="auto"/>
            <w:noWrap/>
            <w:hideMark/>
          </w:tcPr>
          <w:p w:rsidR="000D13B9" w:rsidRPr="00600340" w:rsidRDefault="000D13B9" w:rsidP="00BC021F">
            <w:pPr>
              <w:jc w:val="left"/>
              <w:rPr>
                <w:color w:val="000000"/>
                <w:sz w:val="22"/>
                <w:szCs w:val="22"/>
                <w:lang w:val="en-GB"/>
              </w:rPr>
            </w:pPr>
            <w:r w:rsidRPr="00600340">
              <w:rPr>
                <w:color w:val="000000"/>
                <w:sz w:val="22"/>
                <w:szCs w:val="22"/>
                <w:lang w:val="en-GB"/>
              </w:rPr>
              <w:t>51</w:t>
            </w:r>
          </w:p>
        </w:tc>
        <w:tc>
          <w:tcPr>
            <w:tcW w:w="1084" w:type="dxa"/>
            <w:tcBorders>
              <w:top w:val="nil"/>
              <w:left w:val="nil"/>
              <w:bottom w:val="single" w:sz="4" w:space="0" w:color="auto"/>
              <w:right w:val="single" w:sz="4" w:space="0" w:color="auto"/>
            </w:tcBorders>
            <w:shd w:val="clear" w:color="000000" w:fill="FFFFFF"/>
            <w:noWrap/>
            <w:hideMark/>
          </w:tcPr>
          <w:p w:rsidR="000D13B9" w:rsidRPr="00600340" w:rsidRDefault="000D13B9" w:rsidP="00BC021F">
            <w:pPr>
              <w:jc w:val="center"/>
              <w:rPr>
                <w:color w:val="000000"/>
                <w:sz w:val="22"/>
                <w:szCs w:val="22"/>
                <w:lang w:val="en-GB"/>
              </w:rPr>
            </w:pPr>
            <w:r w:rsidRPr="00600340">
              <w:rPr>
                <w:color w:val="000000"/>
                <w:sz w:val="22"/>
                <w:szCs w:val="22"/>
                <w:lang w:val="en-GB"/>
              </w:rPr>
              <w:t>1.676</w:t>
            </w:r>
          </w:p>
        </w:tc>
        <w:tc>
          <w:tcPr>
            <w:tcW w:w="1476" w:type="dxa"/>
            <w:tcBorders>
              <w:top w:val="nil"/>
              <w:left w:val="nil"/>
              <w:bottom w:val="single" w:sz="4" w:space="0" w:color="auto"/>
              <w:right w:val="single" w:sz="4" w:space="0" w:color="auto"/>
            </w:tcBorders>
            <w:shd w:val="clear" w:color="auto" w:fill="auto"/>
            <w:noWrap/>
            <w:hideMark/>
          </w:tcPr>
          <w:p w:rsidR="000D13B9" w:rsidRPr="00600340" w:rsidRDefault="000D13B9" w:rsidP="00BC021F">
            <w:pPr>
              <w:jc w:val="left"/>
              <w:rPr>
                <w:sz w:val="22"/>
                <w:szCs w:val="22"/>
                <w:lang w:val="en-GB"/>
              </w:rPr>
            </w:pPr>
            <w:r w:rsidRPr="00600340">
              <w:rPr>
                <w:sz w:val="22"/>
                <w:szCs w:val="22"/>
                <w:lang w:val="en-GB"/>
              </w:rPr>
              <w:t>CPA_G46</w:t>
            </w:r>
          </w:p>
        </w:tc>
        <w:tc>
          <w:tcPr>
            <w:tcW w:w="1084" w:type="dxa"/>
            <w:tcBorders>
              <w:top w:val="nil"/>
              <w:left w:val="nil"/>
              <w:bottom w:val="single" w:sz="4" w:space="0" w:color="auto"/>
              <w:right w:val="single" w:sz="4" w:space="0" w:color="auto"/>
            </w:tcBorders>
            <w:shd w:val="clear" w:color="000000" w:fill="FFFFFF"/>
            <w:noWrap/>
            <w:hideMark/>
          </w:tcPr>
          <w:p w:rsidR="000D13B9" w:rsidRPr="00600340" w:rsidRDefault="000D13B9" w:rsidP="00BC021F">
            <w:pPr>
              <w:jc w:val="center"/>
              <w:rPr>
                <w:color w:val="000000"/>
                <w:sz w:val="22"/>
                <w:szCs w:val="22"/>
                <w:lang w:val="en-GB"/>
              </w:rPr>
            </w:pPr>
            <w:r w:rsidRPr="00600340">
              <w:rPr>
                <w:color w:val="000000"/>
                <w:sz w:val="22"/>
                <w:szCs w:val="22"/>
                <w:lang w:val="en-GB"/>
              </w:rPr>
              <w:t>1.601</w:t>
            </w:r>
          </w:p>
        </w:tc>
      </w:tr>
      <w:tr w:rsidR="000D13B9" w:rsidRPr="00600340" w:rsidTr="00BC021F">
        <w:trPr>
          <w:trHeight w:val="373"/>
        </w:trPr>
        <w:tc>
          <w:tcPr>
            <w:tcW w:w="779" w:type="dxa"/>
            <w:tcBorders>
              <w:top w:val="nil"/>
              <w:left w:val="single" w:sz="4" w:space="0" w:color="auto"/>
              <w:bottom w:val="single" w:sz="4" w:space="0" w:color="auto"/>
              <w:right w:val="single" w:sz="4" w:space="0" w:color="auto"/>
            </w:tcBorders>
            <w:shd w:val="clear" w:color="auto" w:fill="auto"/>
            <w:noWrap/>
            <w:hideMark/>
          </w:tcPr>
          <w:p w:rsidR="000D13B9" w:rsidRPr="00600340" w:rsidRDefault="000D13B9" w:rsidP="00BC021F">
            <w:pPr>
              <w:jc w:val="left"/>
              <w:rPr>
                <w:color w:val="000000"/>
                <w:sz w:val="22"/>
                <w:szCs w:val="22"/>
                <w:lang w:val="en-GB"/>
              </w:rPr>
            </w:pPr>
            <w:r w:rsidRPr="00600340">
              <w:rPr>
                <w:color w:val="000000"/>
                <w:sz w:val="22"/>
                <w:szCs w:val="22"/>
                <w:lang w:val="en-GB"/>
              </w:rPr>
              <w:t>64</w:t>
            </w:r>
          </w:p>
        </w:tc>
        <w:tc>
          <w:tcPr>
            <w:tcW w:w="1084" w:type="dxa"/>
            <w:tcBorders>
              <w:top w:val="nil"/>
              <w:left w:val="nil"/>
              <w:bottom w:val="single" w:sz="4" w:space="0" w:color="auto"/>
              <w:right w:val="single" w:sz="4" w:space="0" w:color="auto"/>
            </w:tcBorders>
            <w:shd w:val="clear" w:color="000000" w:fill="FFFFFF"/>
            <w:noWrap/>
            <w:hideMark/>
          </w:tcPr>
          <w:p w:rsidR="000D13B9" w:rsidRPr="00600340" w:rsidRDefault="000D13B9" w:rsidP="00BC021F">
            <w:pPr>
              <w:jc w:val="center"/>
              <w:rPr>
                <w:color w:val="000000"/>
                <w:sz w:val="22"/>
                <w:szCs w:val="22"/>
                <w:lang w:val="en-GB"/>
              </w:rPr>
            </w:pPr>
            <w:r w:rsidRPr="00600340">
              <w:rPr>
                <w:color w:val="000000"/>
                <w:sz w:val="22"/>
                <w:szCs w:val="22"/>
                <w:lang w:val="en-GB"/>
              </w:rPr>
              <w:t>1.536</w:t>
            </w:r>
          </w:p>
        </w:tc>
        <w:tc>
          <w:tcPr>
            <w:tcW w:w="1476" w:type="dxa"/>
            <w:tcBorders>
              <w:top w:val="nil"/>
              <w:left w:val="nil"/>
              <w:bottom w:val="single" w:sz="4" w:space="0" w:color="auto"/>
              <w:right w:val="single" w:sz="4" w:space="0" w:color="auto"/>
            </w:tcBorders>
            <w:shd w:val="clear" w:color="auto" w:fill="auto"/>
            <w:noWrap/>
            <w:hideMark/>
          </w:tcPr>
          <w:p w:rsidR="000D13B9" w:rsidRPr="00600340" w:rsidRDefault="000D13B9" w:rsidP="00BC021F">
            <w:pPr>
              <w:jc w:val="left"/>
              <w:rPr>
                <w:sz w:val="22"/>
                <w:szCs w:val="22"/>
                <w:lang w:val="en-GB"/>
              </w:rPr>
            </w:pPr>
            <w:r w:rsidRPr="00600340">
              <w:rPr>
                <w:sz w:val="22"/>
                <w:szCs w:val="22"/>
                <w:lang w:val="en-GB"/>
              </w:rPr>
              <w:t>CPA_J61</w:t>
            </w:r>
          </w:p>
        </w:tc>
        <w:tc>
          <w:tcPr>
            <w:tcW w:w="1084" w:type="dxa"/>
            <w:tcBorders>
              <w:top w:val="nil"/>
              <w:left w:val="nil"/>
              <w:bottom w:val="single" w:sz="4" w:space="0" w:color="auto"/>
              <w:right w:val="single" w:sz="4" w:space="0" w:color="auto"/>
            </w:tcBorders>
            <w:shd w:val="clear" w:color="000000" w:fill="FFFFFF"/>
            <w:noWrap/>
            <w:hideMark/>
          </w:tcPr>
          <w:p w:rsidR="000D13B9" w:rsidRPr="00600340" w:rsidRDefault="000D13B9" w:rsidP="00BC021F">
            <w:pPr>
              <w:jc w:val="center"/>
              <w:rPr>
                <w:color w:val="000000"/>
                <w:sz w:val="22"/>
                <w:szCs w:val="22"/>
                <w:lang w:val="en-GB"/>
              </w:rPr>
            </w:pPr>
            <w:r w:rsidRPr="00600340">
              <w:rPr>
                <w:color w:val="000000"/>
                <w:sz w:val="22"/>
                <w:szCs w:val="22"/>
                <w:lang w:val="en-GB"/>
              </w:rPr>
              <w:t>1.484</w:t>
            </w:r>
          </w:p>
        </w:tc>
      </w:tr>
      <w:tr w:rsidR="000D13B9" w:rsidRPr="00600340" w:rsidTr="00BC021F">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hideMark/>
          </w:tcPr>
          <w:p w:rsidR="000D13B9" w:rsidRPr="00600340" w:rsidRDefault="000D13B9" w:rsidP="00BC021F">
            <w:pPr>
              <w:jc w:val="left"/>
              <w:rPr>
                <w:color w:val="000000"/>
                <w:sz w:val="22"/>
                <w:szCs w:val="22"/>
                <w:lang w:val="en-GB"/>
              </w:rPr>
            </w:pPr>
            <w:r w:rsidRPr="00600340">
              <w:rPr>
                <w:color w:val="000000"/>
                <w:sz w:val="22"/>
                <w:szCs w:val="22"/>
                <w:lang w:val="en-GB"/>
              </w:rPr>
              <w:t>72</w:t>
            </w:r>
          </w:p>
        </w:tc>
        <w:tc>
          <w:tcPr>
            <w:tcW w:w="1084" w:type="dxa"/>
            <w:vMerge w:val="restart"/>
            <w:tcBorders>
              <w:top w:val="nil"/>
              <w:left w:val="single" w:sz="4" w:space="0" w:color="auto"/>
              <w:bottom w:val="single" w:sz="4" w:space="0" w:color="auto"/>
              <w:right w:val="single" w:sz="4" w:space="0" w:color="auto"/>
            </w:tcBorders>
            <w:shd w:val="clear" w:color="auto" w:fill="auto"/>
            <w:noWrap/>
            <w:hideMark/>
          </w:tcPr>
          <w:p w:rsidR="000D13B9" w:rsidRPr="00600340" w:rsidRDefault="000D13B9" w:rsidP="00BC021F">
            <w:pPr>
              <w:jc w:val="center"/>
              <w:rPr>
                <w:color w:val="000000"/>
                <w:sz w:val="22"/>
                <w:szCs w:val="22"/>
                <w:lang w:val="en-GB"/>
              </w:rPr>
            </w:pPr>
            <w:r w:rsidRPr="00600340">
              <w:rPr>
                <w:color w:val="000000"/>
                <w:sz w:val="22"/>
                <w:szCs w:val="22"/>
                <w:lang w:val="en-GB"/>
              </w:rPr>
              <w:t>1.479</w:t>
            </w:r>
          </w:p>
        </w:tc>
        <w:tc>
          <w:tcPr>
            <w:tcW w:w="1476" w:type="dxa"/>
            <w:tcBorders>
              <w:top w:val="nil"/>
              <w:left w:val="nil"/>
              <w:bottom w:val="single" w:sz="4" w:space="0" w:color="auto"/>
              <w:right w:val="single" w:sz="4" w:space="0" w:color="auto"/>
            </w:tcBorders>
            <w:shd w:val="clear" w:color="auto" w:fill="auto"/>
            <w:noWrap/>
            <w:hideMark/>
          </w:tcPr>
          <w:p w:rsidR="000D13B9" w:rsidRPr="00600340" w:rsidRDefault="000D13B9" w:rsidP="00BC021F">
            <w:pPr>
              <w:jc w:val="left"/>
              <w:rPr>
                <w:sz w:val="22"/>
                <w:szCs w:val="22"/>
                <w:lang w:val="en-GB"/>
              </w:rPr>
            </w:pPr>
            <w:r w:rsidRPr="00600340">
              <w:rPr>
                <w:sz w:val="22"/>
                <w:szCs w:val="22"/>
                <w:lang w:val="en-GB"/>
              </w:rPr>
              <w:t>CPA_J58</w:t>
            </w:r>
          </w:p>
        </w:tc>
        <w:tc>
          <w:tcPr>
            <w:tcW w:w="1084" w:type="dxa"/>
            <w:tcBorders>
              <w:top w:val="nil"/>
              <w:left w:val="nil"/>
              <w:bottom w:val="single" w:sz="4" w:space="0" w:color="auto"/>
              <w:right w:val="single" w:sz="4" w:space="0" w:color="auto"/>
            </w:tcBorders>
            <w:shd w:val="clear" w:color="000000" w:fill="FFFFFF"/>
            <w:noWrap/>
            <w:hideMark/>
          </w:tcPr>
          <w:p w:rsidR="000D13B9" w:rsidRPr="00600340" w:rsidRDefault="000D13B9" w:rsidP="00BC021F">
            <w:pPr>
              <w:jc w:val="center"/>
              <w:rPr>
                <w:color w:val="000000"/>
                <w:sz w:val="22"/>
                <w:szCs w:val="22"/>
                <w:lang w:val="en-GB"/>
              </w:rPr>
            </w:pPr>
            <w:r w:rsidRPr="00600340">
              <w:rPr>
                <w:color w:val="000000"/>
                <w:sz w:val="22"/>
                <w:szCs w:val="22"/>
                <w:lang w:val="en-GB"/>
              </w:rPr>
              <w:t>1.691</w:t>
            </w:r>
          </w:p>
        </w:tc>
      </w:tr>
      <w:tr w:rsidR="000D13B9" w:rsidRPr="00600340" w:rsidTr="00BC021F">
        <w:trPr>
          <w:trHeight w:val="300"/>
        </w:trPr>
        <w:tc>
          <w:tcPr>
            <w:tcW w:w="779" w:type="dxa"/>
            <w:vMerge/>
            <w:tcBorders>
              <w:top w:val="nil"/>
              <w:left w:val="single" w:sz="4" w:space="0" w:color="auto"/>
              <w:bottom w:val="single" w:sz="4" w:space="0" w:color="auto"/>
              <w:right w:val="single" w:sz="4" w:space="0" w:color="auto"/>
            </w:tcBorders>
            <w:hideMark/>
          </w:tcPr>
          <w:p w:rsidR="000D13B9" w:rsidRPr="00600340" w:rsidRDefault="000D13B9" w:rsidP="00BC021F">
            <w:pPr>
              <w:jc w:val="center"/>
              <w:rPr>
                <w:color w:val="000000"/>
                <w:sz w:val="22"/>
                <w:szCs w:val="22"/>
                <w:lang w:val="en-GB"/>
              </w:rPr>
            </w:pPr>
          </w:p>
        </w:tc>
        <w:tc>
          <w:tcPr>
            <w:tcW w:w="1084" w:type="dxa"/>
            <w:vMerge/>
            <w:tcBorders>
              <w:top w:val="nil"/>
              <w:left w:val="single" w:sz="4" w:space="0" w:color="auto"/>
              <w:bottom w:val="single" w:sz="4" w:space="0" w:color="auto"/>
              <w:right w:val="single" w:sz="4" w:space="0" w:color="auto"/>
            </w:tcBorders>
            <w:hideMark/>
          </w:tcPr>
          <w:p w:rsidR="000D13B9" w:rsidRPr="00600340" w:rsidRDefault="000D13B9" w:rsidP="00BC021F">
            <w:pPr>
              <w:jc w:val="center"/>
              <w:rPr>
                <w:color w:val="000000"/>
                <w:sz w:val="22"/>
                <w:szCs w:val="22"/>
                <w:lang w:val="en-GB"/>
              </w:rPr>
            </w:pPr>
          </w:p>
        </w:tc>
        <w:tc>
          <w:tcPr>
            <w:tcW w:w="1476" w:type="dxa"/>
            <w:tcBorders>
              <w:top w:val="nil"/>
              <w:left w:val="nil"/>
              <w:bottom w:val="single" w:sz="4" w:space="0" w:color="auto"/>
              <w:right w:val="single" w:sz="4" w:space="0" w:color="auto"/>
            </w:tcBorders>
            <w:shd w:val="clear" w:color="auto" w:fill="auto"/>
            <w:noWrap/>
            <w:hideMark/>
          </w:tcPr>
          <w:p w:rsidR="000D13B9" w:rsidRPr="00600340" w:rsidRDefault="000D13B9" w:rsidP="00BC021F">
            <w:pPr>
              <w:jc w:val="left"/>
              <w:rPr>
                <w:sz w:val="22"/>
                <w:szCs w:val="22"/>
                <w:lang w:val="en-GB"/>
              </w:rPr>
            </w:pPr>
            <w:r w:rsidRPr="00600340">
              <w:rPr>
                <w:sz w:val="22"/>
                <w:szCs w:val="22"/>
                <w:lang w:val="en-GB"/>
              </w:rPr>
              <w:t>CPA_J62_J63</w:t>
            </w:r>
          </w:p>
        </w:tc>
        <w:tc>
          <w:tcPr>
            <w:tcW w:w="1084" w:type="dxa"/>
            <w:tcBorders>
              <w:top w:val="nil"/>
              <w:left w:val="nil"/>
              <w:bottom w:val="single" w:sz="4" w:space="0" w:color="auto"/>
              <w:right w:val="single" w:sz="4" w:space="0" w:color="auto"/>
            </w:tcBorders>
            <w:shd w:val="clear" w:color="000000" w:fill="FFFFFF"/>
            <w:noWrap/>
            <w:hideMark/>
          </w:tcPr>
          <w:p w:rsidR="000D13B9" w:rsidRPr="00600340" w:rsidRDefault="000D13B9" w:rsidP="00BC021F">
            <w:pPr>
              <w:jc w:val="center"/>
              <w:rPr>
                <w:color w:val="000000"/>
                <w:sz w:val="22"/>
                <w:szCs w:val="22"/>
                <w:lang w:val="en-GB"/>
              </w:rPr>
            </w:pPr>
            <w:r w:rsidRPr="00600340">
              <w:rPr>
                <w:color w:val="000000"/>
                <w:sz w:val="22"/>
                <w:szCs w:val="22"/>
                <w:lang w:val="en-GB"/>
              </w:rPr>
              <w:t>1.475</w:t>
            </w:r>
          </w:p>
        </w:tc>
      </w:tr>
      <w:tr w:rsidR="000D13B9" w:rsidRPr="00600340" w:rsidTr="00BC021F">
        <w:trPr>
          <w:trHeight w:val="315"/>
        </w:trPr>
        <w:tc>
          <w:tcPr>
            <w:tcW w:w="779" w:type="dxa"/>
            <w:vMerge/>
            <w:tcBorders>
              <w:top w:val="nil"/>
              <w:left w:val="single" w:sz="4" w:space="0" w:color="auto"/>
              <w:bottom w:val="nil"/>
              <w:right w:val="single" w:sz="4" w:space="0" w:color="auto"/>
            </w:tcBorders>
            <w:hideMark/>
          </w:tcPr>
          <w:p w:rsidR="000D13B9" w:rsidRPr="00600340" w:rsidRDefault="000D13B9" w:rsidP="00BC021F">
            <w:pPr>
              <w:jc w:val="center"/>
              <w:rPr>
                <w:color w:val="000000"/>
                <w:sz w:val="22"/>
                <w:szCs w:val="22"/>
                <w:lang w:val="en-GB"/>
              </w:rPr>
            </w:pPr>
          </w:p>
        </w:tc>
        <w:tc>
          <w:tcPr>
            <w:tcW w:w="1084" w:type="dxa"/>
            <w:vMerge/>
            <w:tcBorders>
              <w:top w:val="nil"/>
              <w:left w:val="single" w:sz="4" w:space="0" w:color="auto"/>
              <w:bottom w:val="nil"/>
              <w:right w:val="single" w:sz="4" w:space="0" w:color="auto"/>
            </w:tcBorders>
            <w:hideMark/>
          </w:tcPr>
          <w:p w:rsidR="000D13B9" w:rsidRPr="00600340" w:rsidRDefault="000D13B9" w:rsidP="00BC021F">
            <w:pPr>
              <w:jc w:val="center"/>
              <w:rPr>
                <w:color w:val="000000"/>
                <w:sz w:val="22"/>
                <w:szCs w:val="22"/>
                <w:lang w:val="en-GB"/>
              </w:rPr>
            </w:pPr>
          </w:p>
        </w:tc>
        <w:tc>
          <w:tcPr>
            <w:tcW w:w="1476" w:type="dxa"/>
            <w:tcBorders>
              <w:top w:val="nil"/>
              <w:left w:val="nil"/>
              <w:bottom w:val="nil"/>
              <w:right w:val="single" w:sz="4" w:space="0" w:color="auto"/>
            </w:tcBorders>
            <w:shd w:val="clear" w:color="auto" w:fill="auto"/>
            <w:noWrap/>
            <w:hideMark/>
          </w:tcPr>
          <w:p w:rsidR="000D13B9" w:rsidRPr="00600340" w:rsidRDefault="000D13B9" w:rsidP="00BC021F">
            <w:pPr>
              <w:jc w:val="left"/>
              <w:rPr>
                <w:color w:val="000000"/>
                <w:sz w:val="22"/>
                <w:szCs w:val="22"/>
                <w:lang w:val="en-GB"/>
              </w:rPr>
            </w:pPr>
            <w:r w:rsidRPr="00600340">
              <w:rPr>
                <w:sz w:val="22"/>
                <w:szCs w:val="22"/>
                <w:lang w:val="en-GB"/>
              </w:rPr>
              <w:t>CPA_S95</w:t>
            </w:r>
          </w:p>
        </w:tc>
        <w:tc>
          <w:tcPr>
            <w:tcW w:w="1084" w:type="dxa"/>
            <w:tcBorders>
              <w:top w:val="nil"/>
              <w:left w:val="nil"/>
              <w:bottom w:val="nil"/>
              <w:right w:val="single" w:sz="4" w:space="0" w:color="auto"/>
            </w:tcBorders>
            <w:shd w:val="clear" w:color="000000" w:fill="FFFFFF"/>
            <w:noWrap/>
            <w:hideMark/>
          </w:tcPr>
          <w:p w:rsidR="000D13B9" w:rsidRPr="00600340" w:rsidRDefault="000D13B9" w:rsidP="00BC021F">
            <w:pPr>
              <w:jc w:val="center"/>
              <w:rPr>
                <w:color w:val="000000"/>
                <w:sz w:val="22"/>
                <w:szCs w:val="22"/>
                <w:lang w:val="en-GB"/>
              </w:rPr>
            </w:pPr>
            <w:r w:rsidRPr="00600340">
              <w:rPr>
                <w:color w:val="000000"/>
                <w:sz w:val="22"/>
                <w:szCs w:val="22"/>
                <w:lang w:val="en-GB"/>
              </w:rPr>
              <w:t>1.456</w:t>
            </w:r>
          </w:p>
        </w:tc>
      </w:tr>
      <w:tr w:rsidR="000D13B9" w:rsidRPr="00600340" w:rsidTr="00BC021F">
        <w:trPr>
          <w:trHeight w:val="80"/>
        </w:trPr>
        <w:tc>
          <w:tcPr>
            <w:tcW w:w="779" w:type="dxa"/>
            <w:tcBorders>
              <w:top w:val="nil"/>
              <w:left w:val="single" w:sz="4" w:space="0" w:color="auto"/>
              <w:bottom w:val="single" w:sz="4" w:space="0" w:color="auto"/>
              <w:right w:val="single" w:sz="4" w:space="0" w:color="auto"/>
            </w:tcBorders>
          </w:tcPr>
          <w:p w:rsidR="000D13B9" w:rsidRPr="00600340" w:rsidRDefault="000D13B9" w:rsidP="00BC021F">
            <w:pPr>
              <w:rPr>
                <w:color w:val="000000"/>
                <w:sz w:val="22"/>
                <w:szCs w:val="22"/>
                <w:lang w:val="en-GB"/>
              </w:rPr>
            </w:pPr>
          </w:p>
        </w:tc>
        <w:tc>
          <w:tcPr>
            <w:tcW w:w="1084" w:type="dxa"/>
            <w:tcBorders>
              <w:top w:val="nil"/>
              <w:left w:val="single" w:sz="4" w:space="0" w:color="auto"/>
              <w:bottom w:val="single" w:sz="4" w:space="0" w:color="auto"/>
              <w:right w:val="single" w:sz="4" w:space="0" w:color="auto"/>
            </w:tcBorders>
          </w:tcPr>
          <w:p w:rsidR="000D13B9" w:rsidRPr="00600340" w:rsidRDefault="000D13B9" w:rsidP="00BC021F">
            <w:pPr>
              <w:jc w:val="center"/>
              <w:rPr>
                <w:color w:val="000000"/>
                <w:sz w:val="22"/>
                <w:szCs w:val="22"/>
                <w:lang w:val="en-GB"/>
              </w:rPr>
            </w:pPr>
          </w:p>
        </w:tc>
        <w:tc>
          <w:tcPr>
            <w:tcW w:w="1476" w:type="dxa"/>
            <w:tcBorders>
              <w:top w:val="nil"/>
              <w:left w:val="nil"/>
              <w:bottom w:val="single" w:sz="4" w:space="0" w:color="auto"/>
              <w:right w:val="single" w:sz="4" w:space="0" w:color="auto"/>
            </w:tcBorders>
            <w:shd w:val="clear" w:color="auto" w:fill="auto"/>
            <w:noWrap/>
          </w:tcPr>
          <w:p w:rsidR="000D13B9" w:rsidRPr="00600340" w:rsidRDefault="000D13B9" w:rsidP="00BC021F">
            <w:pPr>
              <w:jc w:val="left"/>
              <w:rPr>
                <w:color w:val="000000"/>
                <w:sz w:val="22"/>
                <w:szCs w:val="22"/>
                <w:lang w:val="en-GB"/>
              </w:rPr>
            </w:pPr>
          </w:p>
        </w:tc>
        <w:tc>
          <w:tcPr>
            <w:tcW w:w="1084" w:type="dxa"/>
            <w:tcBorders>
              <w:top w:val="nil"/>
              <w:left w:val="nil"/>
              <w:bottom w:val="single" w:sz="4" w:space="0" w:color="auto"/>
              <w:right w:val="single" w:sz="4" w:space="0" w:color="auto"/>
            </w:tcBorders>
            <w:shd w:val="clear" w:color="000000" w:fill="FFFFFF"/>
            <w:noWrap/>
          </w:tcPr>
          <w:p w:rsidR="000D13B9" w:rsidRPr="00600340" w:rsidRDefault="000D13B9" w:rsidP="00BC021F">
            <w:pPr>
              <w:jc w:val="center"/>
              <w:rPr>
                <w:color w:val="000000"/>
                <w:sz w:val="22"/>
                <w:szCs w:val="22"/>
                <w:lang w:val="en-GB"/>
              </w:rPr>
            </w:pPr>
          </w:p>
        </w:tc>
      </w:tr>
    </w:tbl>
    <w:tbl>
      <w:tblPr>
        <w:tblpPr w:leftFromText="180" w:rightFromText="180" w:vertAnchor="text" w:horzAnchor="margin" w:tblpXSpec="right" w:tblpY="-4107"/>
        <w:tblW w:w="4423" w:type="dxa"/>
        <w:tblLook w:val="04A0" w:firstRow="1" w:lastRow="0" w:firstColumn="1" w:lastColumn="0" w:noHBand="0" w:noVBand="1"/>
      </w:tblPr>
      <w:tblGrid>
        <w:gridCol w:w="779"/>
        <w:gridCol w:w="1084"/>
        <w:gridCol w:w="1476"/>
        <w:gridCol w:w="1084"/>
      </w:tblGrid>
      <w:tr w:rsidR="000D13B9" w:rsidRPr="00423027" w:rsidTr="000D13B9">
        <w:trPr>
          <w:trHeight w:val="390"/>
        </w:trPr>
        <w:tc>
          <w:tcPr>
            <w:tcW w:w="1863" w:type="dxa"/>
            <w:gridSpan w:val="2"/>
            <w:tcBorders>
              <w:top w:val="single" w:sz="4" w:space="0" w:color="auto"/>
              <w:left w:val="single" w:sz="4" w:space="0" w:color="auto"/>
              <w:bottom w:val="single" w:sz="4" w:space="0" w:color="auto"/>
              <w:right w:val="single" w:sz="4" w:space="0" w:color="auto"/>
            </w:tcBorders>
            <w:shd w:val="clear" w:color="auto" w:fill="auto"/>
            <w:noWrap/>
          </w:tcPr>
          <w:p w:rsidR="000D13B9" w:rsidRPr="00B1798F" w:rsidRDefault="000D13B9" w:rsidP="00BC021F">
            <w:pPr>
              <w:jc w:val="center"/>
              <w:rPr>
                <w:color w:val="000000"/>
                <w:sz w:val="22"/>
                <w:szCs w:val="22"/>
                <w:lang w:val="en-GB"/>
              </w:rPr>
            </w:pPr>
            <w:r w:rsidRPr="00B1798F">
              <w:rPr>
                <w:color w:val="000000"/>
                <w:sz w:val="22"/>
                <w:szCs w:val="22"/>
                <w:lang w:val="en-GB"/>
              </w:rPr>
              <w:t>Year 2004</w:t>
            </w:r>
          </w:p>
        </w:tc>
        <w:tc>
          <w:tcPr>
            <w:tcW w:w="2560" w:type="dxa"/>
            <w:gridSpan w:val="2"/>
            <w:tcBorders>
              <w:top w:val="single" w:sz="4" w:space="0" w:color="auto"/>
              <w:left w:val="nil"/>
              <w:bottom w:val="single" w:sz="4" w:space="0" w:color="auto"/>
              <w:right w:val="single" w:sz="4" w:space="0" w:color="auto"/>
            </w:tcBorders>
            <w:shd w:val="clear" w:color="auto" w:fill="auto"/>
            <w:noWrap/>
          </w:tcPr>
          <w:p w:rsidR="000D13B9" w:rsidRPr="00B1798F" w:rsidRDefault="000D13B9" w:rsidP="00BC021F">
            <w:pPr>
              <w:jc w:val="center"/>
              <w:rPr>
                <w:color w:val="000000"/>
                <w:sz w:val="22"/>
                <w:szCs w:val="22"/>
                <w:lang w:val="en-GB"/>
              </w:rPr>
            </w:pPr>
            <w:r w:rsidRPr="00B1798F">
              <w:rPr>
                <w:color w:val="000000"/>
                <w:sz w:val="22"/>
                <w:szCs w:val="22"/>
                <w:lang w:val="en-GB"/>
              </w:rPr>
              <w:t>Year 2010</w:t>
            </w:r>
          </w:p>
        </w:tc>
      </w:tr>
      <w:tr w:rsidR="000D13B9" w:rsidRPr="00423027" w:rsidTr="000D13B9">
        <w:trPr>
          <w:trHeight w:val="390"/>
        </w:trPr>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0D13B9" w:rsidRPr="00B1798F" w:rsidRDefault="000D13B9" w:rsidP="00BC021F">
            <w:pPr>
              <w:jc w:val="center"/>
              <w:rPr>
                <w:color w:val="000000"/>
                <w:sz w:val="22"/>
                <w:szCs w:val="22"/>
                <w:lang w:val="en-GB"/>
              </w:rPr>
            </w:pPr>
            <w:r w:rsidRPr="00B1798F">
              <w:rPr>
                <w:color w:val="000000"/>
                <w:sz w:val="22"/>
                <w:szCs w:val="22"/>
                <w:lang w:val="en-GB"/>
              </w:rPr>
              <w:t>Sector</w:t>
            </w:r>
            <w:r>
              <w:rPr>
                <w:color w:val="000000"/>
                <w:sz w:val="22"/>
                <w:szCs w:val="22"/>
                <w:lang w:val="en-GB"/>
              </w:rPr>
              <w:t xml:space="preserve"> code</w:t>
            </w:r>
          </w:p>
        </w:tc>
        <w:tc>
          <w:tcPr>
            <w:tcW w:w="1084" w:type="dxa"/>
            <w:tcBorders>
              <w:top w:val="single" w:sz="4" w:space="0" w:color="auto"/>
              <w:left w:val="nil"/>
              <w:bottom w:val="single" w:sz="4" w:space="0" w:color="auto"/>
              <w:right w:val="single" w:sz="4" w:space="0" w:color="auto"/>
            </w:tcBorders>
            <w:shd w:val="clear" w:color="auto" w:fill="auto"/>
            <w:noWrap/>
            <w:hideMark/>
          </w:tcPr>
          <w:p w:rsidR="000D13B9" w:rsidRPr="00B1798F" w:rsidRDefault="000D13B9" w:rsidP="00BC021F">
            <w:pPr>
              <w:jc w:val="center"/>
              <w:rPr>
                <w:color w:val="000000"/>
                <w:sz w:val="22"/>
                <w:szCs w:val="22"/>
                <w:lang w:val="en-GB"/>
              </w:rPr>
            </w:pPr>
            <w:r>
              <w:rPr>
                <w:color w:val="000000"/>
                <w:sz w:val="22"/>
                <w:szCs w:val="22"/>
                <w:lang w:val="en-GB"/>
              </w:rPr>
              <w:t xml:space="preserve">Value added </w:t>
            </w:r>
            <w:r w:rsidRPr="00B1798F">
              <w:rPr>
                <w:color w:val="000000"/>
                <w:sz w:val="22"/>
                <w:szCs w:val="22"/>
                <w:lang w:val="en-GB"/>
              </w:rPr>
              <w:t>multiplier</w:t>
            </w:r>
          </w:p>
        </w:tc>
        <w:tc>
          <w:tcPr>
            <w:tcW w:w="1476" w:type="dxa"/>
            <w:tcBorders>
              <w:top w:val="single" w:sz="4" w:space="0" w:color="auto"/>
              <w:left w:val="nil"/>
              <w:bottom w:val="single" w:sz="4" w:space="0" w:color="auto"/>
              <w:right w:val="single" w:sz="4" w:space="0" w:color="auto"/>
            </w:tcBorders>
            <w:shd w:val="clear" w:color="auto" w:fill="auto"/>
            <w:noWrap/>
            <w:hideMark/>
          </w:tcPr>
          <w:p w:rsidR="000D13B9" w:rsidRPr="00B1798F" w:rsidRDefault="000D13B9" w:rsidP="00BC021F">
            <w:pPr>
              <w:jc w:val="center"/>
              <w:rPr>
                <w:color w:val="000000"/>
                <w:sz w:val="22"/>
                <w:szCs w:val="22"/>
                <w:lang w:val="en-GB"/>
              </w:rPr>
            </w:pPr>
            <w:r w:rsidRPr="00B1798F">
              <w:rPr>
                <w:color w:val="000000"/>
                <w:sz w:val="22"/>
                <w:szCs w:val="22"/>
                <w:lang w:val="en-GB"/>
              </w:rPr>
              <w:t>Sector</w:t>
            </w:r>
            <w:r>
              <w:rPr>
                <w:color w:val="000000"/>
                <w:sz w:val="22"/>
                <w:szCs w:val="22"/>
                <w:lang w:val="en-GB"/>
              </w:rPr>
              <w:t xml:space="preserve"> code</w:t>
            </w:r>
          </w:p>
        </w:tc>
        <w:tc>
          <w:tcPr>
            <w:tcW w:w="1084" w:type="dxa"/>
            <w:tcBorders>
              <w:top w:val="single" w:sz="4" w:space="0" w:color="auto"/>
              <w:left w:val="nil"/>
              <w:bottom w:val="single" w:sz="4" w:space="0" w:color="auto"/>
              <w:right w:val="single" w:sz="4" w:space="0" w:color="auto"/>
            </w:tcBorders>
            <w:shd w:val="clear" w:color="auto" w:fill="auto"/>
            <w:noWrap/>
            <w:hideMark/>
          </w:tcPr>
          <w:p w:rsidR="000D13B9" w:rsidRPr="00B1798F" w:rsidRDefault="000D13B9" w:rsidP="00BC021F">
            <w:pPr>
              <w:jc w:val="center"/>
              <w:rPr>
                <w:color w:val="000000"/>
                <w:sz w:val="22"/>
                <w:szCs w:val="22"/>
                <w:lang w:val="en-GB"/>
              </w:rPr>
            </w:pPr>
            <w:r>
              <w:rPr>
                <w:color w:val="000000"/>
                <w:sz w:val="22"/>
                <w:szCs w:val="22"/>
                <w:lang w:val="en-GB"/>
              </w:rPr>
              <w:t xml:space="preserve">Value added </w:t>
            </w:r>
            <w:r w:rsidRPr="00B1798F">
              <w:rPr>
                <w:color w:val="000000"/>
                <w:sz w:val="22"/>
                <w:szCs w:val="22"/>
                <w:lang w:val="en-GB"/>
              </w:rPr>
              <w:t>multiplier</w:t>
            </w:r>
          </w:p>
        </w:tc>
      </w:tr>
      <w:tr w:rsidR="000D13B9" w:rsidRPr="00423027" w:rsidTr="000D13B9">
        <w:trPr>
          <w:trHeight w:val="300"/>
        </w:trPr>
        <w:tc>
          <w:tcPr>
            <w:tcW w:w="779" w:type="dxa"/>
            <w:tcBorders>
              <w:top w:val="nil"/>
              <w:left w:val="single" w:sz="4" w:space="0" w:color="auto"/>
              <w:bottom w:val="single" w:sz="4" w:space="0" w:color="auto"/>
              <w:right w:val="single" w:sz="4" w:space="0" w:color="auto"/>
            </w:tcBorders>
            <w:shd w:val="clear" w:color="auto" w:fill="auto"/>
            <w:noWrap/>
            <w:hideMark/>
          </w:tcPr>
          <w:p w:rsidR="000D13B9" w:rsidRPr="00B1798F" w:rsidRDefault="000D13B9" w:rsidP="00BC021F">
            <w:pPr>
              <w:jc w:val="left"/>
              <w:rPr>
                <w:color w:val="000000"/>
                <w:sz w:val="22"/>
                <w:szCs w:val="22"/>
                <w:lang w:val="en-GB"/>
              </w:rPr>
            </w:pPr>
            <w:r w:rsidRPr="00B1798F">
              <w:rPr>
                <w:color w:val="000000"/>
                <w:sz w:val="22"/>
                <w:szCs w:val="22"/>
                <w:lang w:val="en-GB"/>
              </w:rPr>
              <w:t>30</w:t>
            </w:r>
          </w:p>
        </w:tc>
        <w:tc>
          <w:tcPr>
            <w:tcW w:w="1084" w:type="dxa"/>
            <w:tcBorders>
              <w:top w:val="nil"/>
              <w:left w:val="nil"/>
              <w:bottom w:val="single" w:sz="4" w:space="0" w:color="auto"/>
              <w:right w:val="single" w:sz="4" w:space="0" w:color="auto"/>
            </w:tcBorders>
            <w:shd w:val="clear" w:color="000000" w:fill="FFFFFF"/>
            <w:noWrap/>
            <w:hideMark/>
          </w:tcPr>
          <w:p w:rsidR="000D13B9" w:rsidRPr="00B1798F" w:rsidRDefault="000D13B9" w:rsidP="00BC021F">
            <w:pPr>
              <w:jc w:val="center"/>
              <w:rPr>
                <w:color w:val="000000"/>
                <w:sz w:val="22"/>
                <w:szCs w:val="22"/>
                <w:lang w:val="en-GB"/>
              </w:rPr>
            </w:pPr>
            <w:r w:rsidRPr="00B1798F">
              <w:rPr>
                <w:color w:val="000000"/>
                <w:sz w:val="22"/>
                <w:szCs w:val="22"/>
                <w:lang w:val="en-GB"/>
              </w:rPr>
              <w:t>1.682</w:t>
            </w:r>
          </w:p>
        </w:tc>
        <w:tc>
          <w:tcPr>
            <w:tcW w:w="1476" w:type="dxa"/>
            <w:vMerge w:val="restart"/>
            <w:tcBorders>
              <w:top w:val="nil"/>
              <w:left w:val="single" w:sz="4" w:space="0" w:color="auto"/>
              <w:bottom w:val="single" w:sz="4" w:space="0" w:color="auto"/>
              <w:right w:val="single" w:sz="4" w:space="0" w:color="auto"/>
            </w:tcBorders>
            <w:shd w:val="clear" w:color="auto" w:fill="auto"/>
            <w:noWrap/>
            <w:hideMark/>
          </w:tcPr>
          <w:p w:rsidR="000D13B9" w:rsidRPr="00B1798F" w:rsidRDefault="000D13B9" w:rsidP="00BC021F">
            <w:pPr>
              <w:jc w:val="left"/>
              <w:rPr>
                <w:sz w:val="22"/>
                <w:szCs w:val="22"/>
                <w:lang w:val="en-GB"/>
              </w:rPr>
            </w:pPr>
            <w:r w:rsidRPr="00B1798F">
              <w:rPr>
                <w:sz w:val="22"/>
                <w:szCs w:val="22"/>
                <w:lang w:val="en-GB"/>
              </w:rPr>
              <w:t>CPA_C26</w:t>
            </w:r>
          </w:p>
        </w:tc>
        <w:tc>
          <w:tcPr>
            <w:tcW w:w="1084" w:type="dxa"/>
            <w:vMerge w:val="restart"/>
            <w:tcBorders>
              <w:top w:val="nil"/>
              <w:left w:val="single" w:sz="4" w:space="0" w:color="auto"/>
              <w:bottom w:val="single" w:sz="4" w:space="0" w:color="auto"/>
              <w:right w:val="single" w:sz="4" w:space="0" w:color="auto"/>
            </w:tcBorders>
            <w:shd w:val="clear" w:color="auto" w:fill="auto"/>
            <w:noWrap/>
            <w:hideMark/>
          </w:tcPr>
          <w:p w:rsidR="000D13B9" w:rsidRPr="00B1798F" w:rsidRDefault="000D13B9" w:rsidP="00BC021F">
            <w:pPr>
              <w:jc w:val="center"/>
              <w:rPr>
                <w:color w:val="000000"/>
                <w:sz w:val="22"/>
                <w:szCs w:val="22"/>
                <w:lang w:val="en-GB"/>
              </w:rPr>
            </w:pPr>
            <w:r w:rsidRPr="00B1798F">
              <w:rPr>
                <w:color w:val="000000"/>
                <w:sz w:val="22"/>
                <w:szCs w:val="22"/>
                <w:lang w:val="en-GB"/>
              </w:rPr>
              <w:t>1.631</w:t>
            </w:r>
          </w:p>
        </w:tc>
      </w:tr>
      <w:tr w:rsidR="000D13B9" w:rsidRPr="00423027" w:rsidTr="000D13B9">
        <w:trPr>
          <w:trHeight w:val="300"/>
        </w:trPr>
        <w:tc>
          <w:tcPr>
            <w:tcW w:w="779" w:type="dxa"/>
            <w:tcBorders>
              <w:top w:val="nil"/>
              <w:left w:val="single" w:sz="4" w:space="0" w:color="auto"/>
              <w:bottom w:val="single" w:sz="4" w:space="0" w:color="auto"/>
              <w:right w:val="single" w:sz="4" w:space="0" w:color="auto"/>
            </w:tcBorders>
            <w:shd w:val="clear" w:color="auto" w:fill="auto"/>
            <w:noWrap/>
            <w:hideMark/>
          </w:tcPr>
          <w:p w:rsidR="000D13B9" w:rsidRPr="00B1798F" w:rsidRDefault="000D13B9" w:rsidP="00BC021F">
            <w:pPr>
              <w:jc w:val="left"/>
              <w:rPr>
                <w:color w:val="000000"/>
                <w:sz w:val="22"/>
                <w:szCs w:val="22"/>
                <w:lang w:val="en-GB"/>
              </w:rPr>
            </w:pPr>
            <w:r w:rsidRPr="00B1798F">
              <w:rPr>
                <w:color w:val="000000"/>
                <w:sz w:val="22"/>
                <w:szCs w:val="22"/>
                <w:lang w:val="en-GB"/>
              </w:rPr>
              <w:t>32</w:t>
            </w:r>
          </w:p>
        </w:tc>
        <w:tc>
          <w:tcPr>
            <w:tcW w:w="1084" w:type="dxa"/>
            <w:tcBorders>
              <w:top w:val="nil"/>
              <w:left w:val="nil"/>
              <w:bottom w:val="single" w:sz="4" w:space="0" w:color="auto"/>
              <w:right w:val="single" w:sz="4" w:space="0" w:color="auto"/>
            </w:tcBorders>
            <w:shd w:val="clear" w:color="000000" w:fill="FFFFFF"/>
            <w:noWrap/>
            <w:hideMark/>
          </w:tcPr>
          <w:p w:rsidR="000D13B9" w:rsidRPr="00B1798F" w:rsidRDefault="000D13B9" w:rsidP="00BC021F">
            <w:pPr>
              <w:jc w:val="center"/>
              <w:rPr>
                <w:color w:val="000000"/>
                <w:sz w:val="22"/>
                <w:szCs w:val="22"/>
                <w:lang w:val="en-GB"/>
              </w:rPr>
            </w:pPr>
            <w:r w:rsidRPr="00B1798F">
              <w:rPr>
                <w:color w:val="000000"/>
                <w:sz w:val="22"/>
                <w:szCs w:val="22"/>
                <w:lang w:val="en-GB"/>
              </w:rPr>
              <w:t>1.875</w:t>
            </w:r>
          </w:p>
        </w:tc>
        <w:tc>
          <w:tcPr>
            <w:tcW w:w="1476" w:type="dxa"/>
            <w:vMerge/>
            <w:tcBorders>
              <w:top w:val="nil"/>
              <w:left w:val="single" w:sz="4" w:space="0" w:color="auto"/>
              <w:bottom w:val="single" w:sz="4" w:space="0" w:color="auto"/>
              <w:right w:val="single" w:sz="4" w:space="0" w:color="auto"/>
            </w:tcBorders>
            <w:hideMark/>
          </w:tcPr>
          <w:p w:rsidR="000D13B9" w:rsidRPr="00B1798F" w:rsidRDefault="000D13B9" w:rsidP="00BC021F">
            <w:pPr>
              <w:jc w:val="left"/>
              <w:rPr>
                <w:color w:val="000000"/>
                <w:sz w:val="22"/>
                <w:szCs w:val="22"/>
                <w:lang w:val="en-GB"/>
              </w:rPr>
            </w:pPr>
          </w:p>
        </w:tc>
        <w:tc>
          <w:tcPr>
            <w:tcW w:w="1084" w:type="dxa"/>
            <w:vMerge/>
            <w:tcBorders>
              <w:top w:val="nil"/>
              <w:left w:val="single" w:sz="4" w:space="0" w:color="auto"/>
              <w:bottom w:val="single" w:sz="4" w:space="0" w:color="auto"/>
              <w:right w:val="single" w:sz="4" w:space="0" w:color="auto"/>
            </w:tcBorders>
            <w:hideMark/>
          </w:tcPr>
          <w:p w:rsidR="000D13B9" w:rsidRPr="00B1798F" w:rsidRDefault="000D13B9" w:rsidP="00BC021F">
            <w:pPr>
              <w:jc w:val="center"/>
              <w:rPr>
                <w:color w:val="000000"/>
                <w:sz w:val="22"/>
                <w:szCs w:val="22"/>
                <w:lang w:val="en-GB"/>
              </w:rPr>
            </w:pPr>
          </w:p>
        </w:tc>
      </w:tr>
      <w:tr w:rsidR="000D13B9" w:rsidRPr="00423027" w:rsidTr="000D13B9">
        <w:trPr>
          <w:trHeight w:val="300"/>
        </w:trPr>
        <w:tc>
          <w:tcPr>
            <w:tcW w:w="779" w:type="dxa"/>
            <w:tcBorders>
              <w:top w:val="nil"/>
              <w:left w:val="single" w:sz="4" w:space="0" w:color="auto"/>
              <w:bottom w:val="single" w:sz="4" w:space="0" w:color="auto"/>
              <w:right w:val="single" w:sz="4" w:space="0" w:color="auto"/>
            </w:tcBorders>
            <w:shd w:val="clear" w:color="auto" w:fill="auto"/>
            <w:noWrap/>
            <w:hideMark/>
          </w:tcPr>
          <w:p w:rsidR="000D13B9" w:rsidRPr="00B1798F" w:rsidRDefault="000D13B9" w:rsidP="00BC021F">
            <w:pPr>
              <w:jc w:val="left"/>
              <w:rPr>
                <w:color w:val="000000"/>
                <w:sz w:val="22"/>
                <w:szCs w:val="22"/>
                <w:lang w:val="en-GB"/>
              </w:rPr>
            </w:pPr>
            <w:r w:rsidRPr="00B1798F">
              <w:rPr>
                <w:color w:val="000000"/>
                <w:sz w:val="22"/>
                <w:szCs w:val="22"/>
                <w:lang w:val="en-GB"/>
              </w:rPr>
              <w:t>51</w:t>
            </w:r>
          </w:p>
        </w:tc>
        <w:tc>
          <w:tcPr>
            <w:tcW w:w="1084" w:type="dxa"/>
            <w:tcBorders>
              <w:top w:val="nil"/>
              <w:left w:val="nil"/>
              <w:bottom w:val="single" w:sz="4" w:space="0" w:color="auto"/>
              <w:right w:val="single" w:sz="4" w:space="0" w:color="auto"/>
            </w:tcBorders>
            <w:shd w:val="clear" w:color="000000" w:fill="FFFFFF"/>
            <w:noWrap/>
            <w:hideMark/>
          </w:tcPr>
          <w:p w:rsidR="000D13B9" w:rsidRPr="00B1798F" w:rsidRDefault="000D13B9" w:rsidP="00BC021F">
            <w:pPr>
              <w:jc w:val="center"/>
              <w:rPr>
                <w:color w:val="000000"/>
                <w:sz w:val="22"/>
                <w:szCs w:val="22"/>
                <w:lang w:val="en-GB"/>
              </w:rPr>
            </w:pPr>
            <w:r w:rsidRPr="00B1798F">
              <w:rPr>
                <w:color w:val="000000"/>
                <w:sz w:val="22"/>
                <w:szCs w:val="22"/>
                <w:lang w:val="en-GB"/>
              </w:rPr>
              <w:t>1.651</w:t>
            </w:r>
          </w:p>
        </w:tc>
        <w:tc>
          <w:tcPr>
            <w:tcW w:w="1476" w:type="dxa"/>
            <w:tcBorders>
              <w:top w:val="nil"/>
              <w:left w:val="nil"/>
              <w:bottom w:val="single" w:sz="4" w:space="0" w:color="auto"/>
              <w:right w:val="single" w:sz="4" w:space="0" w:color="auto"/>
            </w:tcBorders>
            <w:shd w:val="clear" w:color="auto" w:fill="auto"/>
            <w:noWrap/>
            <w:hideMark/>
          </w:tcPr>
          <w:p w:rsidR="000D13B9" w:rsidRPr="00B1798F" w:rsidRDefault="000D13B9" w:rsidP="00BC021F">
            <w:pPr>
              <w:jc w:val="left"/>
              <w:rPr>
                <w:sz w:val="22"/>
                <w:szCs w:val="22"/>
                <w:lang w:val="en-GB"/>
              </w:rPr>
            </w:pPr>
            <w:r w:rsidRPr="00B1798F">
              <w:rPr>
                <w:sz w:val="22"/>
                <w:szCs w:val="22"/>
                <w:lang w:val="en-GB"/>
              </w:rPr>
              <w:t>CPA_G46</w:t>
            </w:r>
          </w:p>
        </w:tc>
        <w:tc>
          <w:tcPr>
            <w:tcW w:w="1084" w:type="dxa"/>
            <w:tcBorders>
              <w:top w:val="nil"/>
              <w:left w:val="nil"/>
              <w:bottom w:val="single" w:sz="4" w:space="0" w:color="auto"/>
              <w:right w:val="single" w:sz="4" w:space="0" w:color="auto"/>
            </w:tcBorders>
            <w:shd w:val="clear" w:color="000000" w:fill="FFFFFF"/>
            <w:noWrap/>
            <w:hideMark/>
          </w:tcPr>
          <w:p w:rsidR="000D13B9" w:rsidRPr="00B1798F" w:rsidRDefault="000D13B9" w:rsidP="00BC021F">
            <w:pPr>
              <w:jc w:val="center"/>
              <w:rPr>
                <w:color w:val="000000"/>
                <w:sz w:val="22"/>
                <w:szCs w:val="22"/>
                <w:lang w:val="en-GB"/>
              </w:rPr>
            </w:pPr>
            <w:r w:rsidRPr="00B1798F">
              <w:rPr>
                <w:color w:val="000000"/>
                <w:sz w:val="22"/>
                <w:szCs w:val="22"/>
                <w:lang w:val="en-GB"/>
              </w:rPr>
              <w:t>1.600</w:t>
            </w:r>
          </w:p>
        </w:tc>
      </w:tr>
      <w:tr w:rsidR="000D13B9" w:rsidRPr="00423027" w:rsidTr="000D13B9">
        <w:trPr>
          <w:trHeight w:val="300"/>
        </w:trPr>
        <w:tc>
          <w:tcPr>
            <w:tcW w:w="779" w:type="dxa"/>
            <w:tcBorders>
              <w:top w:val="nil"/>
              <w:left w:val="single" w:sz="4" w:space="0" w:color="auto"/>
              <w:bottom w:val="single" w:sz="4" w:space="0" w:color="auto"/>
              <w:right w:val="single" w:sz="4" w:space="0" w:color="auto"/>
            </w:tcBorders>
            <w:shd w:val="clear" w:color="auto" w:fill="auto"/>
            <w:noWrap/>
            <w:hideMark/>
          </w:tcPr>
          <w:p w:rsidR="000D13B9" w:rsidRPr="00B1798F" w:rsidRDefault="000D13B9" w:rsidP="00BC021F">
            <w:pPr>
              <w:jc w:val="left"/>
              <w:rPr>
                <w:color w:val="000000"/>
                <w:sz w:val="22"/>
                <w:szCs w:val="22"/>
                <w:lang w:val="en-GB"/>
              </w:rPr>
            </w:pPr>
            <w:r w:rsidRPr="00B1798F">
              <w:rPr>
                <w:color w:val="000000"/>
                <w:sz w:val="22"/>
                <w:szCs w:val="22"/>
                <w:lang w:val="en-GB"/>
              </w:rPr>
              <w:t>64</w:t>
            </w:r>
          </w:p>
        </w:tc>
        <w:tc>
          <w:tcPr>
            <w:tcW w:w="1084" w:type="dxa"/>
            <w:tcBorders>
              <w:top w:val="nil"/>
              <w:left w:val="nil"/>
              <w:bottom w:val="single" w:sz="4" w:space="0" w:color="auto"/>
              <w:right w:val="single" w:sz="4" w:space="0" w:color="auto"/>
            </w:tcBorders>
            <w:shd w:val="clear" w:color="000000" w:fill="FFFFFF"/>
            <w:noWrap/>
            <w:hideMark/>
          </w:tcPr>
          <w:p w:rsidR="000D13B9" w:rsidRPr="00B1798F" w:rsidRDefault="000D13B9" w:rsidP="00BC021F">
            <w:pPr>
              <w:jc w:val="center"/>
              <w:rPr>
                <w:color w:val="000000"/>
                <w:sz w:val="22"/>
                <w:szCs w:val="22"/>
                <w:lang w:val="en-GB"/>
              </w:rPr>
            </w:pPr>
            <w:r w:rsidRPr="00B1798F">
              <w:rPr>
                <w:color w:val="000000"/>
                <w:sz w:val="22"/>
                <w:szCs w:val="22"/>
                <w:lang w:val="en-GB"/>
              </w:rPr>
              <w:t>1.489</w:t>
            </w:r>
          </w:p>
        </w:tc>
        <w:tc>
          <w:tcPr>
            <w:tcW w:w="1476" w:type="dxa"/>
            <w:tcBorders>
              <w:top w:val="nil"/>
              <w:left w:val="nil"/>
              <w:bottom w:val="single" w:sz="4" w:space="0" w:color="auto"/>
              <w:right w:val="single" w:sz="4" w:space="0" w:color="auto"/>
            </w:tcBorders>
            <w:shd w:val="clear" w:color="auto" w:fill="auto"/>
            <w:noWrap/>
            <w:hideMark/>
          </w:tcPr>
          <w:p w:rsidR="000D13B9" w:rsidRPr="00B1798F" w:rsidRDefault="000D13B9" w:rsidP="00BC021F">
            <w:pPr>
              <w:jc w:val="left"/>
              <w:rPr>
                <w:sz w:val="22"/>
                <w:szCs w:val="22"/>
                <w:lang w:val="en-GB"/>
              </w:rPr>
            </w:pPr>
            <w:r w:rsidRPr="00B1798F">
              <w:rPr>
                <w:sz w:val="22"/>
                <w:szCs w:val="22"/>
                <w:lang w:val="en-GB"/>
              </w:rPr>
              <w:t>CPA_J61</w:t>
            </w:r>
          </w:p>
        </w:tc>
        <w:tc>
          <w:tcPr>
            <w:tcW w:w="1084" w:type="dxa"/>
            <w:tcBorders>
              <w:top w:val="nil"/>
              <w:left w:val="nil"/>
              <w:bottom w:val="single" w:sz="4" w:space="0" w:color="auto"/>
              <w:right w:val="single" w:sz="4" w:space="0" w:color="auto"/>
            </w:tcBorders>
            <w:shd w:val="clear" w:color="000000" w:fill="FFFFFF"/>
            <w:noWrap/>
            <w:hideMark/>
          </w:tcPr>
          <w:p w:rsidR="000D13B9" w:rsidRPr="00B1798F" w:rsidRDefault="000D13B9" w:rsidP="00BC021F">
            <w:pPr>
              <w:jc w:val="center"/>
              <w:rPr>
                <w:color w:val="000000"/>
                <w:sz w:val="22"/>
                <w:szCs w:val="22"/>
                <w:lang w:val="en-GB"/>
              </w:rPr>
            </w:pPr>
            <w:r w:rsidRPr="00B1798F">
              <w:rPr>
                <w:color w:val="000000"/>
                <w:sz w:val="22"/>
                <w:szCs w:val="22"/>
                <w:lang w:val="en-GB"/>
              </w:rPr>
              <w:t>1.404</w:t>
            </w:r>
          </w:p>
        </w:tc>
      </w:tr>
      <w:tr w:rsidR="000D13B9" w:rsidRPr="00423027" w:rsidTr="000D13B9">
        <w:trPr>
          <w:trHeight w:val="300"/>
        </w:trPr>
        <w:tc>
          <w:tcPr>
            <w:tcW w:w="779" w:type="dxa"/>
            <w:vMerge w:val="restart"/>
            <w:tcBorders>
              <w:top w:val="nil"/>
              <w:left w:val="single" w:sz="4" w:space="0" w:color="auto"/>
              <w:bottom w:val="single" w:sz="4" w:space="0" w:color="auto"/>
              <w:right w:val="single" w:sz="4" w:space="0" w:color="auto"/>
            </w:tcBorders>
            <w:shd w:val="clear" w:color="auto" w:fill="auto"/>
            <w:noWrap/>
            <w:hideMark/>
          </w:tcPr>
          <w:p w:rsidR="000D13B9" w:rsidRPr="00B1798F" w:rsidRDefault="000D13B9" w:rsidP="00BC021F">
            <w:pPr>
              <w:jc w:val="left"/>
              <w:rPr>
                <w:color w:val="000000"/>
                <w:sz w:val="22"/>
                <w:szCs w:val="22"/>
                <w:lang w:val="en-GB"/>
              </w:rPr>
            </w:pPr>
            <w:r w:rsidRPr="00B1798F">
              <w:rPr>
                <w:color w:val="000000"/>
                <w:sz w:val="22"/>
                <w:szCs w:val="22"/>
                <w:lang w:val="en-GB"/>
              </w:rPr>
              <w:t>72</w:t>
            </w:r>
          </w:p>
        </w:tc>
        <w:tc>
          <w:tcPr>
            <w:tcW w:w="1084" w:type="dxa"/>
            <w:vMerge w:val="restart"/>
            <w:tcBorders>
              <w:top w:val="nil"/>
              <w:left w:val="single" w:sz="4" w:space="0" w:color="auto"/>
              <w:bottom w:val="single" w:sz="4" w:space="0" w:color="auto"/>
              <w:right w:val="single" w:sz="4" w:space="0" w:color="auto"/>
            </w:tcBorders>
            <w:shd w:val="clear" w:color="auto" w:fill="auto"/>
            <w:noWrap/>
            <w:hideMark/>
          </w:tcPr>
          <w:p w:rsidR="000D13B9" w:rsidRPr="00B1798F" w:rsidRDefault="000D13B9" w:rsidP="00BC021F">
            <w:pPr>
              <w:jc w:val="center"/>
              <w:rPr>
                <w:color w:val="000000"/>
                <w:sz w:val="22"/>
                <w:szCs w:val="22"/>
                <w:lang w:val="en-GB"/>
              </w:rPr>
            </w:pPr>
            <w:r w:rsidRPr="00B1798F">
              <w:rPr>
                <w:color w:val="000000"/>
                <w:sz w:val="22"/>
                <w:szCs w:val="22"/>
                <w:lang w:val="en-GB"/>
              </w:rPr>
              <w:t>1.426</w:t>
            </w:r>
          </w:p>
        </w:tc>
        <w:tc>
          <w:tcPr>
            <w:tcW w:w="1476" w:type="dxa"/>
            <w:tcBorders>
              <w:top w:val="nil"/>
              <w:left w:val="nil"/>
              <w:bottom w:val="single" w:sz="4" w:space="0" w:color="auto"/>
              <w:right w:val="single" w:sz="4" w:space="0" w:color="auto"/>
            </w:tcBorders>
            <w:shd w:val="clear" w:color="auto" w:fill="auto"/>
            <w:noWrap/>
            <w:hideMark/>
          </w:tcPr>
          <w:p w:rsidR="000D13B9" w:rsidRPr="00B1798F" w:rsidRDefault="000D13B9" w:rsidP="00BC021F">
            <w:pPr>
              <w:jc w:val="left"/>
              <w:rPr>
                <w:sz w:val="22"/>
                <w:szCs w:val="22"/>
                <w:lang w:val="en-GB"/>
              </w:rPr>
            </w:pPr>
            <w:r w:rsidRPr="00B1798F">
              <w:rPr>
                <w:sz w:val="22"/>
                <w:szCs w:val="22"/>
                <w:lang w:val="en-GB"/>
              </w:rPr>
              <w:t>CPA_J58</w:t>
            </w:r>
          </w:p>
        </w:tc>
        <w:tc>
          <w:tcPr>
            <w:tcW w:w="1084" w:type="dxa"/>
            <w:tcBorders>
              <w:top w:val="nil"/>
              <w:left w:val="nil"/>
              <w:bottom w:val="single" w:sz="4" w:space="0" w:color="auto"/>
              <w:right w:val="single" w:sz="4" w:space="0" w:color="auto"/>
            </w:tcBorders>
            <w:shd w:val="clear" w:color="000000" w:fill="FFFFFF"/>
            <w:noWrap/>
            <w:hideMark/>
          </w:tcPr>
          <w:p w:rsidR="000D13B9" w:rsidRPr="00B1798F" w:rsidRDefault="000D13B9" w:rsidP="00BC021F">
            <w:pPr>
              <w:jc w:val="center"/>
              <w:rPr>
                <w:color w:val="000000"/>
                <w:sz w:val="22"/>
                <w:szCs w:val="22"/>
                <w:lang w:val="en-GB"/>
              </w:rPr>
            </w:pPr>
            <w:r w:rsidRPr="00B1798F">
              <w:rPr>
                <w:color w:val="000000"/>
                <w:sz w:val="22"/>
                <w:szCs w:val="22"/>
                <w:lang w:val="en-GB"/>
              </w:rPr>
              <w:t>1.835</w:t>
            </w:r>
          </w:p>
        </w:tc>
      </w:tr>
      <w:tr w:rsidR="000D13B9" w:rsidRPr="00423027" w:rsidTr="000D13B9">
        <w:trPr>
          <w:trHeight w:val="300"/>
        </w:trPr>
        <w:tc>
          <w:tcPr>
            <w:tcW w:w="779" w:type="dxa"/>
            <w:vMerge/>
            <w:tcBorders>
              <w:top w:val="nil"/>
              <w:left w:val="single" w:sz="4" w:space="0" w:color="auto"/>
              <w:bottom w:val="single" w:sz="4" w:space="0" w:color="auto"/>
              <w:right w:val="single" w:sz="4" w:space="0" w:color="auto"/>
            </w:tcBorders>
            <w:vAlign w:val="center"/>
            <w:hideMark/>
          </w:tcPr>
          <w:p w:rsidR="000D13B9" w:rsidRPr="00B1798F" w:rsidRDefault="000D13B9" w:rsidP="00BC021F">
            <w:pPr>
              <w:rPr>
                <w:color w:val="000000"/>
                <w:sz w:val="22"/>
                <w:szCs w:val="22"/>
                <w:lang w:val="en-GB"/>
              </w:rPr>
            </w:pPr>
          </w:p>
        </w:tc>
        <w:tc>
          <w:tcPr>
            <w:tcW w:w="1084" w:type="dxa"/>
            <w:vMerge/>
            <w:tcBorders>
              <w:top w:val="nil"/>
              <w:left w:val="single" w:sz="4" w:space="0" w:color="auto"/>
              <w:bottom w:val="single" w:sz="4" w:space="0" w:color="auto"/>
              <w:right w:val="single" w:sz="4" w:space="0" w:color="auto"/>
            </w:tcBorders>
            <w:vAlign w:val="center"/>
            <w:hideMark/>
          </w:tcPr>
          <w:p w:rsidR="000D13B9" w:rsidRPr="00B1798F" w:rsidRDefault="000D13B9" w:rsidP="00BC021F">
            <w:pPr>
              <w:rPr>
                <w:color w:val="000000"/>
                <w:sz w:val="22"/>
                <w:szCs w:val="22"/>
                <w:lang w:val="en-GB"/>
              </w:rPr>
            </w:pPr>
          </w:p>
        </w:tc>
        <w:tc>
          <w:tcPr>
            <w:tcW w:w="1476" w:type="dxa"/>
            <w:tcBorders>
              <w:top w:val="nil"/>
              <w:left w:val="nil"/>
              <w:bottom w:val="single" w:sz="4" w:space="0" w:color="auto"/>
              <w:right w:val="single" w:sz="4" w:space="0" w:color="auto"/>
            </w:tcBorders>
            <w:shd w:val="clear" w:color="auto" w:fill="auto"/>
            <w:noWrap/>
            <w:hideMark/>
          </w:tcPr>
          <w:p w:rsidR="000D13B9" w:rsidRPr="00B1798F" w:rsidRDefault="000D13B9" w:rsidP="00BC021F">
            <w:pPr>
              <w:jc w:val="left"/>
              <w:rPr>
                <w:sz w:val="22"/>
                <w:szCs w:val="22"/>
                <w:lang w:val="en-GB"/>
              </w:rPr>
            </w:pPr>
            <w:r w:rsidRPr="00B1798F">
              <w:rPr>
                <w:sz w:val="22"/>
                <w:szCs w:val="22"/>
                <w:lang w:val="en-GB"/>
              </w:rPr>
              <w:t>CPA_J62_J63</w:t>
            </w:r>
          </w:p>
        </w:tc>
        <w:tc>
          <w:tcPr>
            <w:tcW w:w="1084" w:type="dxa"/>
            <w:tcBorders>
              <w:top w:val="nil"/>
              <w:left w:val="nil"/>
              <w:bottom w:val="single" w:sz="4" w:space="0" w:color="auto"/>
              <w:right w:val="single" w:sz="4" w:space="0" w:color="auto"/>
            </w:tcBorders>
            <w:shd w:val="clear" w:color="000000" w:fill="FFFFFF"/>
            <w:noWrap/>
            <w:hideMark/>
          </w:tcPr>
          <w:p w:rsidR="000D13B9" w:rsidRPr="00B1798F" w:rsidRDefault="000D13B9" w:rsidP="00BC021F">
            <w:pPr>
              <w:jc w:val="center"/>
              <w:rPr>
                <w:color w:val="000000"/>
                <w:sz w:val="22"/>
                <w:szCs w:val="22"/>
                <w:lang w:val="en-GB"/>
              </w:rPr>
            </w:pPr>
            <w:r w:rsidRPr="00B1798F">
              <w:rPr>
                <w:color w:val="000000"/>
                <w:sz w:val="22"/>
                <w:szCs w:val="22"/>
                <w:lang w:val="en-GB"/>
              </w:rPr>
              <w:t>1.407</w:t>
            </w:r>
          </w:p>
        </w:tc>
      </w:tr>
      <w:tr w:rsidR="000D13B9" w:rsidRPr="00423027" w:rsidTr="000D13B9">
        <w:trPr>
          <w:trHeight w:val="527"/>
        </w:trPr>
        <w:tc>
          <w:tcPr>
            <w:tcW w:w="779" w:type="dxa"/>
            <w:vMerge/>
            <w:tcBorders>
              <w:top w:val="nil"/>
              <w:left w:val="single" w:sz="4" w:space="0" w:color="auto"/>
              <w:bottom w:val="single" w:sz="4" w:space="0" w:color="auto"/>
              <w:right w:val="single" w:sz="4" w:space="0" w:color="auto"/>
            </w:tcBorders>
            <w:vAlign w:val="center"/>
            <w:hideMark/>
          </w:tcPr>
          <w:p w:rsidR="000D13B9" w:rsidRPr="00B1798F" w:rsidRDefault="000D13B9" w:rsidP="00BC021F">
            <w:pPr>
              <w:rPr>
                <w:color w:val="000000"/>
                <w:sz w:val="22"/>
                <w:szCs w:val="22"/>
                <w:lang w:val="en-GB"/>
              </w:rPr>
            </w:pPr>
          </w:p>
        </w:tc>
        <w:tc>
          <w:tcPr>
            <w:tcW w:w="1084" w:type="dxa"/>
            <w:vMerge/>
            <w:tcBorders>
              <w:top w:val="nil"/>
              <w:left w:val="single" w:sz="4" w:space="0" w:color="auto"/>
              <w:bottom w:val="single" w:sz="4" w:space="0" w:color="auto"/>
              <w:right w:val="single" w:sz="4" w:space="0" w:color="auto"/>
            </w:tcBorders>
            <w:vAlign w:val="center"/>
            <w:hideMark/>
          </w:tcPr>
          <w:p w:rsidR="000D13B9" w:rsidRPr="00B1798F" w:rsidRDefault="000D13B9" w:rsidP="00BC021F">
            <w:pPr>
              <w:rPr>
                <w:color w:val="000000"/>
                <w:sz w:val="22"/>
                <w:szCs w:val="22"/>
                <w:lang w:val="en-GB"/>
              </w:rPr>
            </w:pPr>
          </w:p>
        </w:tc>
        <w:tc>
          <w:tcPr>
            <w:tcW w:w="1476" w:type="dxa"/>
            <w:tcBorders>
              <w:top w:val="nil"/>
              <w:left w:val="nil"/>
              <w:bottom w:val="single" w:sz="4" w:space="0" w:color="auto"/>
              <w:right w:val="single" w:sz="4" w:space="0" w:color="auto"/>
            </w:tcBorders>
            <w:shd w:val="clear" w:color="auto" w:fill="auto"/>
            <w:noWrap/>
            <w:hideMark/>
          </w:tcPr>
          <w:p w:rsidR="000D13B9" w:rsidRPr="00B1798F" w:rsidRDefault="000D13B9" w:rsidP="00BC021F">
            <w:pPr>
              <w:jc w:val="left"/>
              <w:rPr>
                <w:color w:val="000000"/>
                <w:sz w:val="22"/>
                <w:szCs w:val="22"/>
                <w:lang w:val="en-GB"/>
              </w:rPr>
            </w:pPr>
            <w:r w:rsidRPr="00B1798F">
              <w:rPr>
                <w:sz w:val="22"/>
                <w:szCs w:val="22"/>
                <w:lang w:val="en-GB"/>
              </w:rPr>
              <w:t>CPA_S95</w:t>
            </w:r>
          </w:p>
        </w:tc>
        <w:tc>
          <w:tcPr>
            <w:tcW w:w="1084" w:type="dxa"/>
            <w:tcBorders>
              <w:top w:val="nil"/>
              <w:left w:val="nil"/>
              <w:bottom w:val="single" w:sz="4" w:space="0" w:color="auto"/>
              <w:right w:val="single" w:sz="4" w:space="0" w:color="auto"/>
            </w:tcBorders>
            <w:shd w:val="clear" w:color="000000" w:fill="FFFFFF"/>
            <w:noWrap/>
            <w:hideMark/>
          </w:tcPr>
          <w:p w:rsidR="000D13B9" w:rsidRPr="00B1798F" w:rsidRDefault="000D13B9" w:rsidP="00BC021F">
            <w:pPr>
              <w:jc w:val="center"/>
              <w:rPr>
                <w:color w:val="000000"/>
                <w:sz w:val="22"/>
                <w:szCs w:val="22"/>
                <w:lang w:val="en-GB"/>
              </w:rPr>
            </w:pPr>
            <w:r w:rsidRPr="00B1798F">
              <w:rPr>
                <w:color w:val="000000"/>
                <w:sz w:val="22"/>
                <w:szCs w:val="22"/>
                <w:lang w:val="en-GB"/>
              </w:rPr>
              <w:t>1.418</w:t>
            </w:r>
          </w:p>
        </w:tc>
      </w:tr>
    </w:tbl>
    <w:p w:rsidR="000D13B9" w:rsidRDefault="000D13B9" w:rsidP="000D13B9">
      <w:pPr>
        <w:spacing w:before="0"/>
        <w:rPr>
          <w:rFonts w:eastAsiaTheme="minorEastAsia"/>
          <w:lang w:val="en-GB"/>
        </w:rPr>
      </w:pPr>
    </w:p>
    <w:p w:rsidR="000D13B9" w:rsidRDefault="000D13B9" w:rsidP="000D13B9">
      <w:pPr>
        <w:pStyle w:val="Tijeloteksta"/>
        <w:spacing w:before="0"/>
        <w:ind w:left="771" w:hanging="782"/>
        <w:jc w:val="left"/>
        <w:rPr>
          <w:rFonts w:eastAsiaTheme="minorEastAsia"/>
          <w:b w:val="0"/>
          <w:sz w:val="22"/>
          <w:szCs w:val="22"/>
        </w:rPr>
      </w:pPr>
      <w:r w:rsidRPr="00174F15">
        <w:rPr>
          <w:b w:val="0"/>
          <w:sz w:val="22"/>
          <w:szCs w:val="22"/>
        </w:rPr>
        <w:t xml:space="preserve">Table 2: </w:t>
      </w:r>
      <w:r w:rsidRPr="00174F15">
        <w:rPr>
          <w:rFonts w:eastAsiaTheme="minorEastAsia"/>
          <w:b w:val="0"/>
          <w:sz w:val="22"/>
          <w:szCs w:val="22"/>
        </w:rPr>
        <w:t>Output multiplier</w:t>
      </w:r>
      <w:r>
        <w:rPr>
          <w:rFonts w:eastAsiaTheme="minorEastAsia"/>
          <w:b w:val="0"/>
          <w:sz w:val="22"/>
          <w:szCs w:val="22"/>
        </w:rPr>
        <w:t>s</w:t>
      </w:r>
      <w:r w:rsidRPr="00174F15">
        <w:rPr>
          <w:rFonts w:eastAsiaTheme="minorEastAsia"/>
          <w:b w:val="0"/>
          <w:sz w:val="22"/>
          <w:szCs w:val="22"/>
        </w:rPr>
        <w:t xml:space="preserve"> for ICT sectors </w:t>
      </w:r>
      <w:r>
        <w:rPr>
          <w:rFonts w:eastAsiaTheme="minorEastAsia"/>
          <w:b w:val="0"/>
          <w:sz w:val="22"/>
          <w:szCs w:val="22"/>
        </w:rPr>
        <w:t xml:space="preserve">               </w:t>
      </w:r>
      <w:r w:rsidRPr="00174F15">
        <w:rPr>
          <w:b w:val="0"/>
          <w:sz w:val="22"/>
          <w:szCs w:val="22"/>
        </w:rPr>
        <w:t xml:space="preserve">Table 3: </w:t>
      </w:r>
      <w:r w:rsidRPr="00174F15">
        <w:rPr>
          <w:rFonts w:eastAsiaTheme="minorEastAsia"/>
          <w:b w:val="0"/>
          <w:sz w:val="22"/>
          <w:szCs w:val="22"/>
        </w:rPr>
        <w:t>Value added multiplier</w:t>
      </w:r>
      <w:r>
        <w:rPr>
          <w:rFonts w:eastAsiaTheme="minorEastAsia"/>
          <w:b w:val="0"/>
          <w:sz w:val="22"/>
          <w:szCs w:val="22"/>
        </w:rPr>
        <w:t>s</w:t>
      </w:r>
      <w:r w:rsidRPr="00174F15">
        <w:rPr>
          <w:rFonts w:eastAsiaTheme="minorEastAsia"/>
          <w:b w:val="0"/>
          <w:sz w:val="22"/>
          <w:szCs w:val="22"/>
        </w:rPr>
        <w:t xml:space="preserve"> for ICT sectors </w:t>
      </w:r>
    </w:p>
    <w:p w:rsidR="000D13B9" w:rsidRPr="000D13B9" w:rsidRDefault="000D13B9" w:rsidP="000D13B9">
      <w:pPr>
        <w:pStyle w:val="Tijeloteksta"/>
        <w:spacing w:before="0"/>
        <w:ind w:left="771" w:hanging="782"/>
        <w:jc w:val="left"/>
        <w:rPr>
          <w:b w:val="0"/>
          <w:sz w:val="22"/>
          <w:szCs w:val="22"/>
        </w:rPr>
      </w:pPr>
      <w:r>
        <w:rPr>
          <w:rFonts w:eastAsiaTheme="minorEastAsia"/>
          <w:b w:val="0"/>
          <w:sz w:val="22"/>
          <w:szCs w:val="22"/>
        </w:rPr>
        <w:t xml:space="preserve">              </w:t>
      </w:r>
      <w:proofErr w:type="gramStart"/>
      <w:r w:rsidRPr="00174F15">
        <w:rPr>
          <w:rFonts w:eastAsiaTheme="minorEastAsia"/>
          <w:b w:val="0"/>
          <w:sz w:val="22"/>
          <w:szCs w:val="22"/>
        </w:rPr>
        <w:t>for</w:t>
      </w:r>
      <w:proofErr w:type="gramEnd"/>
      <w:r w:rsidRPr="00174F15">
        <w:rPr>
          <w:rFonts w:eastAsiaTheme="minorEastAsia"/>
          <w:b w:val="0"/>
          <w:sz w:val="22"/>
          <w:szCs w:val="22"/>
        </w:rPr>
        <w:t xml:space="preserve"> 2004 and 2010</w:t>
      </w:r>
      <w:r>
        <w:rPr>
          <w:b w:val="0"/>
          <w:sz w:val="22"/>
          <w:szCs w:val="22"/>
        </w:rPr>
        <w:t xml:space="preserve">                                                        </w:t>
      </w:r>
      <w:r w:rsidRPr="00174F15">
        <w:rPr>
          <w:rFonts w:eastAsiaTheme="minorEastAsia"/>
          <w:b w:val="0"/>
          <w:sz w:val="22"/>
          <w:szCs w:val="22"/>
        </w:rPr>
        <w:t>for 2004 and 2010</w:t>
      </w:r>
    </w:p>
    <w:p w:rsidR="00174F15" w:rsidRPr="00423027" w:rsidRDefault="00C62C13" w:rsidP="00174F15">
      <w:pPr>
        <w:rPr>
          <w:rFonts w:eastAsiaTheme="minorEastAsia"/>
          <w:lang w:val="en-GB"/>
        </w:rPr>
      </w:pPr>
      <w:r>
        <w:rPr>
          <w:rFonts w:eastAsiaTheme="minorEastAsia"/>
          <w:lang w:val="en-GB"/>
        </w:rPr>
        <w:t>In</w:t>
      </w:r>
      <w:r w:rsidR="00174F15" w:rsidRPr="00423027">
        <w:rPr>
          <w:rFonts w:eastAsiaTheme="minorEastAsia"/>
          <w:lang w:val="en-GB"/>
        </w:rPr>
        <w:t xml:space="preserve"> case of the ICT sectors</w:t>
      </w:r>
      <w:r w:rsidR="00DA7C0F">
        <w:rPr>
          <w:rFonts w:eastAsiaTheme="minorEastAsia"/>
          <w:lang w:val="en-GB"/>
        </w:rPr>
        <w:t xml:space="preserve"> for 2010</w:t>
      </w:r>
      <w:r w:rsidR="00174F15" w:rsidRPr="00423027">
        <w:rPr>
          <w:rFonts w:eastAsiaTheme="minorEastAsia"/>
          <w:lang w:val="en-GB"/>
        </w:rPr>
        <w:t>, Table 2, the largest</w:t>
      </w:r>
      <w:r w:rsidR="00295137">
        <w:rPr>
          <w:rFonts w:eastAsiaTheme="minorEastAsia"/>
          <w:lang w:val="en-GB"/>
        </w:rPr>
        <w:t xml:space="preserve"> </w:t>
      </w:r>
      <w:r w:rsidR="006A3959">
        <w:rPr>
          <w:rFonts w:eastAsiaTheme="minorEastAsia"/>
          <w:lang w:val="en-GB"/>
        </w:rPr>
        <w:t>output multiplier of 1.691 has</w:t>
      </w:r>
      <w:r w:rsidR="00094C59">
        <w:rPr>
          <w:rFonts w:eastAsiaTheme="minorEastAsia"/>
          <w:lang w:val="en-GB"/>
        </w:rPr>
        <w:t xml:space="preserve"> </w:t>
      </w:r>
      <w:r w:rsidR="00174F15" w:rsidRPr="00423027">
        <w:rPr>
          <w:rFonts w:eastAsiaTheme="minorEastAsia"/>
          <w:lang w:val="en-GB"/>
        </w:rPr>
        <w:t xml:space="preserve">sector </w:t>
      </w:r>
      <w:r w:rsidR="00174F15" w:rsidRPr="00423027">
        <w:rPr>
          <w:lang w:val="en-GB"/>
        </w:rPr>
        <w:t>CPA_J58</w:t>
      </w:r>
      <w:r w:rsidR="00174F15" w:rsidRPr="00423027">
        <w:rPr>
          <w:rFonts w:eastAsiaTheme="minorEastAsia"/>
          <w:lang w:val="en-GB"/>
        </w:rPr>
        <w:t xml:space="preserve">, which means that a unit increase in final demand </w:t>
      </w:r>
      <w:proofErr w:type="gramStart"/>
      <w:r w:rsidR="00174F15" w:rsidRPr="00423027">
        <w:rPr>
          <w:rFonts w:eastAsiaTheme="minorEastAsia"/>
          <w:lang w:val="en-GB"/>
        </w:rPr>
        <w:t>is expected</w:t>
      </w:r>
      <w:proofErr w:type="gramEnd"/>
      <w:r w:rsidR="00174F15" w:rsidRPr="00423027">
        <w:rPr>
          <w:rFonts w:eastAsiaTheme="minorEastAsia"/>
          <w:lang w:val="en-GB"/>
        </w:rPr>
        <w:t xml:space="preserve"> to increase national output by around 1.691 units. Medium output multipliers </w:t>
      </w:r>
      <w:proofErr w:type="gramStart"/>
      <w:r w:rsidR="00174F15" w:rsidRPr="00423027">
        <w:rPr>
          <w:rFonts w:eastAsiaTheme="minorEastAsia"/>
          <w:lang w:val="en-GB"/>
        </w:rPr>
        <w:t>are identified</w:t>
      </w:r>
      <w:proofErr w:type="gramEnd"/>
      <w:r w:rsidR="00174F15" w:rsidRPr="00423027">
        <w:rPr>
          <w:rFonts w:eastAsiaTheme="minorEastAsia"/>
          <w:lang w:val="en-GB"/>
        </w:rPr>
        <w:t xml:space="preserve"> in sectors </w:t>
      </w:r>
      <w:r w:rsidR="00174F15" w:rsidRPr="00423027">
        <w:rPr>
          <w:lang w:val="en-GB"/>
        </w:rPr>
        <w:t>CPA_C26</w:t>
      </w:r>
      <w:r w:rsidR="00174F15" w:rsidRPr="00423027">
        <w:rPr>
          <w:rFonts w:eastAsiaTheme="minorEastAsia"/>
          <w:lang w:val="en-GB"/>
        </w:rPr>
        <w:t xml:space="preserve"> and </w:t>
      </w:r>
      <w:r w:rsidR="00174F15" w:rsidRPr="00423027">
        <w:rPr>
          <w:lang w:val="en-GB"/>
        </w:rPr>
        <w:t>CPA_G46</w:t>
      </w:r>
      <w:r w:rsidR="00174F15" w:rsidRPr="00423027">
        <w:rPr>
          <w:rFonts w:eastAsiaTheme="minorEastAsia"/>
          <w:lang w:val="en-GB"/>
        </w:rPr>
        <w:t xml:space="preserve"> with values of 1.581 and 1.601 respectively. The lowest output multiplier of 1.456 was in sector </w:t>
      </w:r>
      <w:r w:rsidR="00174F15" w:rsidRPr="00423027">
        <w:rPr>
          <w:lang w:val="en-GB"/>
        </w:rPr>
        <w:t>CPA_S95</w:t>
      </w:r>
      <w:r w:rsidR="00295137">
        <w:rPr>
          <w:lang w:val="en-GB"/>
        </w:rPr>
        <w:t>,</w:t>
      </w:r>
      <w:r w:rsidR="00174F15" w:rsidRPr="00423027">
        <w:rPr>
          <w:rFonts w:eastAsiaTheme="minorEastAsia"/>
          <w:lang w:val="en-GB"/>
        </w:rPr>
        <w:t xml:space="preserve"> which </w:t>
      </w:r>
      <w:proofErr w:type="gramStart"/>
      <w:r w:rsidR="00174F15" w:rsidRPr="00423027">
        <w:rPr>
          <w:rFonts w:eastAsiaTheme="minorEastAsia"/>
          <w:lang w:val="en-GB"/>
        </w:rPr>
        <w:t>could be related</w:t>
      </w:r>
      <w:proofErr w:type="gramEnd"/>
      <w:r w:rsidR="00174F15" w:rsidRPr="00423027">
        <w:rPr>
          <w:rFonts w:eastAsiaTheme="minorEastAsia"/>
          <w:lang w:val="en-GB"/>
        </w:rPr>
        <w:t xml:space="preserve"> to the fact that the performance</w:t>
      </w:r>
      <w:r w:rsidR="00094C59">
        <w:rPr>
          <w:rFonts w:eastAsiaTheme="minorEastAsia"/>
          <w:lang w:val="en-GB"/>
        </w:rPr>
        <w:t xml:space="preserve"> of ICT technology is</w:t>
      </w:r>
      <w:r w:rsidR="00174F15" w:rsidRPr="00423027">
        <w:rPr>
          <w:rFonts w:eastAsiaTheme="minorEastAsia"/>
          <w:lang w:val="en-GB"/>
        </w:rPr>
        <w:t xml:space="preserve"> rapidly changing </w:t>
      </w:r>
      <w:r w:rsidR="00094C59">
        <w:rPr>
          <w:rFonts w:eastAsiaTheme="minorEastAsia"/>
          <w:lang w:val="en-GB"/>
        </w:rPr>
        <w:t xml:space="preserve">on a daily basis </w:t>
      </w:r>
      <w:r w:rsidR="00174F15" w:rsidRPr="00423027">
        <w:rPr>
          <w:rFonts w:eastAsiaTheme="minorEastAsia"/>
          <w:lang w:val="en-GB"/>
        </w:rPr>
        <w:t>and affordability of this technology has b</w:t>
      </w:r>
      <w:r w:rsidR="00295137">
        <w:rPr>
          <w:rFonts w:eastAsiaTheme="minorEastAsia"/>
          <w:lang w:val="en-GB"/>
        </w:rPr>
        <w:t>ecome acceptable. Therefore,</w:t>
      </w:r>
      <w:r w:rsidR="00174F15" w:rsidRPr="00423027">
        <w:rPr>
          <w:rFonts w:eastAsiaTheme="minorEastAsia"/>
          <w:lang w:val="en-GB"/>
        </w:rPr>
        <w:t xml:space="preserve"> more users</w:t>
      </w:r>
      <w:r w:rsidR="00295137">
        <w:rPr>
          <w:rFonts w:eastAsiaTheme="minorEastAsia"/>
          <w:lang w:val="en-GB"/>
        </w:rPr>
        <w:t xml:space="preserve"> decide to buy a new technology</w:t>
      </w:r>
      <w:r w:rsidR="00174F15" w:rsidRPr="00423027">
        <w:rPr>
          <w:rFonts w:eastAsiaTheme="minorEastAsia"/>
          <w:lang w:val="en-GB"/>
        </w:rPr>
        <w:t xml:space="preserve"> rathe</w:t>
      </w:r>
      <w:r w:rsidR="00094C59">
        <w:rPr>
          <w:rFonts w:eastAsiaTheme="minorEastAsia"/>
          <w:lang w:val="en-GB"/>
        </w:rPr>
        <w:t>r than repairing or upgrading the</w:t>
      </w:r>
      <w:r w:rsidR="00174F15" w:rsidRPr="00423027">
        <w:rPr>
          <w:rFonts w:eastAsiaTheme="minorEastAsia"/>
          <w:lang w:val="en-GB"/>
        </w:rPr>
        <w:t xml:space="preserve"> existing one. Sectors </w:t>
      </w:r>
      <w:r w:rsidR="00174F15" w:rsidRPr="00423027">
        <w:rPr>
          <w:lang w:val="en-GB"/>
        </w:rPr>
        <w:t>CPA_J61</w:t>
      </w:r>
      <w:r w:rsidR="00174F15" w:rsidRPr="00423027">
        <w:rPr>
          <w:rFonts w:eastAsiaTheme="minorEastAsia"/>
          <w:lang w:val="en-GB"/>
        </w:rPr>
        <w:t xml:space="preserve"> and </w:t>
      </w:r>
      <w:r w:rsidR="00174F15" w:rsidRPr="00423027">
        <w:rPr>
          <w:lang w:val="en-GB"/>
        </w:rPr>
        <w:t>CPA_J62_</w:t>
      </w:r>
      <w:proofErr w:type="gramStart"/>
      <w:r w:rsidR="00174F15" w:rsidRPr="00423027">
        <w:rPr>
          <w:lang w:val="en-GB"/>
        </w:rPr>
        <w:t xml:space="preserve">J63 </w:t>
      </w:r>
      <w:r w:rsidR="00174F15" w:rsidRPr="00423027">
        <w:rPr>
          <w:rFonts w:eastAsiaTheme="minorEastAsia"/>
          <w:lang w:val="en-GB"/>
        </w:rPr>
        <w:t>which</w:t>
      </w:r>
      <w:proofErr w:type="gramEnd"/>
      <w:r w:rsidR="00174F15" w:rsidRPr="00423027">
        <w:rPr>
          <w:rFonts w:eastAsiaTheme="minorEastAsia"/>
          <w:lang w:val="en-GB"/>
        </w:rPr>
        <w:t xml:space="preserve"> are, as previously mentioned</w:t>
      </w:r>
      <w:r w:rsidR="00094C59">
        <w:rPr>
          <w:rFonts w:eastAsiaTheme="minorEastAsia"/>
          <w:lang w:val="en-GB"/>
        </w:rPr>
        <w:t xml:space="preserve"> in</w:t>
      </w:r>
      <w:r w:rsidR="00174F15" w:rsidRPr="00423027">
        <w:rPr>
          <w:rFonts w:eastAsiaTheme="minorEastAsia"/>
          <w:lang w:val="en-GB"/>
        </w:rPr>
        <w:t xml:space="preserve"> sector </w:t>
      </w:r>
      <w:r w:rsidR="00174F15" w:rsidRPr="00423027">
        <w:rPr>
          <w:lang w:val="en-GB"/>
        </w:rPr>
        <w:t>CPA_S95</w:t>
      </w:r>
      <w:r w:rsidR="00174F15" w:rsidRPr="00423027">
        <w:rPr>
          <w:rFonts w:eastAsiaTheme="minorEastAsia"/>
          <w:lang w:val="en-GB"/>
        </w:rPr>
        <w:t xml:space="preserve">, part of ICT services industries had relatively low output multipliers, values below 1.5. Similar conclusion of </w:t>
      </w:r>
      <w:r w:rsidR="00094C59">
        <w:rPr>
          <w:rFonts w:eastAsiaTheme="minorEastAsia"/>
          <w:lang w:val="en-GB"/>
        </w:rPr>
        <w:t xml:space="preserve">the </w:t>
      </w:r>
      <w:proofErr w:type="gramStart"/>
      <w:r w:rsidR="00174F15" w:rsidRPr="00423027">
        <w:rPr>
          <w:rFonts w:eastAsiaTheme="minorEastAsia"/>
          <w:lang w:val="en-GB"/>
        </w:rPr>
        <w:t>above mentioned</w:t>
      </w:r>
      <w:proofErr w:type="gramEnd"/>
      <w:r w:rsidR="00174F15" w:rsidRPr="00423027">
        <w:rPr>
          <w:rFonts w:eastAsiaTheme="minorEastAsia"/>
          <w:lang w:val="en-GB"/>
        </w:rPr>
        <w:t xml:space="preserve"> sectors can also be dr</w:t>
      </w:r>
      <w:r w:rsidR="00174F15">
        <w:rPr>
          <w:rFonts w:eastAsiaTheme="minorEastAsia"/>
          <w:lang w:val="en-GB"/>
        </w:rPr>
        <w:t>awn for value added multiplier.</w:t>
      </w:r>
    </w:p>
    <w:p w:rsidR="00174F15" w:rsidRPr="00423027" w:rsidRDefault="00174F15" w:rsidP="00174F15">
      <w:pPr>
        <w:rPr>
          <w:rFonts w:eastAsiaTheme="minorEastAsia"/>
          <w:lang w:val="en-GB"/>
        </w:rPr>
      </w:pPr>
      <w:r w:rsidRPr="00423027">
        <w:rPr>
          <w:rFonts w:eastAsiaTheme="minorEastAsia"/>
          <w:lang w:val="en-GB"/>
        </w:rPr>
        <w:t>In an attempt to compare the values of the output multiplier and value added multiplier of the ICT sectors for 2004 and 2010 in Croatian economy, for 2010 the decrease in the values of the multipliers compared to 2004 are observed, but not significant (Table 2, Table 3).</w:t>
      </w:r>
    </w:p>
    <w:p w:rsidR="00174F15" w:rsidRPr="00591943" w:rsidRDefault="00174F15" w:rsidP="00174F15">
      <w:pPr>
        <w:rPr>
          <w:rFonts w:eastAsiaTheme="minorEastAsia"/>
          <w:lang w:val="en-GB"/>
        </w:rPr>
      </w:pPr>
      <w:r w:rsidRPr="00591943">
        <w:rPr>
          <w:rFonts w:eastAsiaTheme="minorEastAsia"/>
          <w:lang w:val="en-GB"/>
        </w:rPr>
        <w:t xml:space="preserve">Similarly, the authors </w:t>
      </w:r>
      <w:r w:rsidR="007E7F02">
        <w:rPr>
          <w:rFonts w:eastAsiaTheme="minorEastAsia"/>
          <w:lang w:val="en-GB"/>
        </w:rPr>
        <w:t xml:space="preserve">in </w:t>
      </w:r>
      <w:r w:rsidRPr="00591943">
        <w:rPr>
          <w:rFonts w:eastAsiaTheme="minorEastAsia"/>
          <w:lang w:val="en-GB"/>
        </w:rPr>
        <w:t>[</w:t>
      </w:r>
      <w:r w:rsidR="001F299B">
        <w:rPr>
          <w:rFonts w:eastAsiaTheme="minorEastAsia"/>
          <w:lang w:val="en-GB"/>
        </w:rPr>
        <w:t>26</w:t>
      </w:r>
      <w:r w:rsidRPr="00591943">
        <w:rPr>
          <w:rFonts w:eastAsiaTheme="minorEastAsia"/>
          <w:lang w:val="en-GB"/>
        </w:rPr>
        <w:t xml:space="preserve">] are, based on the calculations of total sectoral multipliers for all sectors of the Croatian economy using symmetric </w:t>
      </w:r>
      <w:r w:rsidR="00785D17" w:rsidRPr="00423027">
        <w:rPr>
          <w:lang w:val="en-GB"/>
        </w:rPr>
        <w:t xml:space="preserve">IO </w:t>
      </w:r>
      <w:r w:rsidRPr="00591943">
        <w:rPr>
          <w:rFonts w:eastAsiaTheme="minorEastAsia"/>
          <w:lang w:val="en-GB"/>
        </w:rPr>
        <w:t>tables for 2004 and 2010, concluded that significant changes in cross-sectoral relations during these two periods did not occur and that in most comparable activities overall sectoral multiplier decreased.</w:t>
      </w:r>
    </w:p>
    <w:p w:rsidR="00991598" w:rsidRDefault="00DA7C0F" w:rsidP="00991598">
      <w:pPr>
        <w:rPr>
          <w:rFonts w:eastAsiaTheme="minorEastAsia"/>
          <w:lang w:val="en-GB"/>
        </w:rPr>
      </w:pPr>
      <w:r w:rsidRPr="00AD3747">
        <w:rPr>
          <w:rFonts w:eastAsiaTheme="minorEastAsia"/>
          <w:lang w:val="en-GB"/>
        </w:rPr>
        <w:t>Hereafter, output and value added multipliers for new and long-standing members of EU are discussed</w:t>
      </w:r>
      <w:r w:rsidR="007E7F02">
        <w:rPr>
          <w:rFonts w:eastAsiaTheme="minorEastAsia"/>
          <w:lang w:val="en-GB"/>
        </w:rPr>
        <w:t xml:space="preserve"> (Table 4, </w:t>
      </w:r>
      <w:r w:rsidR="007E7F02" w:rsidRPr="002C0EB2">
        <w:rPr>
          <w:rFonts w:eastAsiaTheme="minorEastAsia"/>
          <w:lang w:val="en-GB"/>
        </w:rPr>
        <w:t>Appendix 1</w:t>
      </w:r>
      <w:r w:rsidR="007E7F02">
        <w:rPr>
          <w:rFonts w:eastAsiaTheme="minorEastAsia"/>
          <w:lang w:val="en-GB"/>
        </w:rPr>
        <w:t xml:space="preserve"> and Table 5, Appendix 2)</w:t>
      </w:r>
      <w:r w:rsidRPr="00AD3747">
        <w:rPr>
          <w:rFonts w:eastAsiaTheme="minorEastAsia"/>
          <w:lang w:val="en-GB"/>
        </w:rPr>
        <w:t>.</w:t>
      </w:r>
      <w:r w:rsidR="007E7F02">
        <w:rPr>
          <w:rFonts w:eastAsiaTheme="minorEastAsia"/>
          <w:lang w:val="en-GB"/>
        </w:rPr>
        <w:t xml:space="preserve"> </w:t>
      </w:r>
      <w:r w:rsidR="00991598" w:rsidRPr="00AD3747">
        <w:rPr>
          <w:rFonts w:eastAsiaTheme="minorEastAsia"/>
          <w:lang w:val="en-GB"/>
        </w:rPr>
        <w:t>By</w:t>
      </w:r>
      <w:r w:rsidR="00991598" w:rsidRPr="00423027">
        <w:rPr>
          <w:rFonts w:eastAsiaTheme="minorEastAsia"/>
          <w:lang w:val="en-GB"/>
        </w:rPr>
        <w:t xml:space="preserve"> comparing the minimum and maximum values of the output and value added multipliers for almost all ICT sectors</w:t>
      </w:r>
      <w:r w:rsidR="00094C59">
        <w:rPr>
          <w:rFonts w:eastAsiaTheme="minorEastAsia"/>
          <w:lang w:val="en-GB"/>
        </w:rPr>
        <w:t>, a</w:t>
      </w:r>
      <w:r w:rsidR="00991598" w:rsidRPr="00423027">
        <w:rPr>
          <w:rFonts w:eastAsiaTheme="minorEastAsia"/>
          <w:lang w:val="en-GB"/>
        </w:rPr>
        <w:t xml:space="preserve"> gap between the new and long-standing members in the minimum and maximum values has been observed, which indicates that the long-standing members utilized ICT in economic growth and development purposes</w:t>
      </w:r>
      <w:r w:rsidR="00094C59">
        <w:rPr>
          <w:rFonts w:eastAsiaTheme="minorEastAsia"/>
          <w:lang w:val="en-GB"/>
        </w:rPr>
        <w:t xml:space="preserve"> </w:t>
      </w:r>
      <w:r w:rsidR="00094C59" w:rsidRPr="00423027">
        <w:rPr>
          <w:rFonts w:eastAsiaTheme="minorEastAsia"/>
          <w:lang w:val="en-GB"/>
        </w:rPr>
        <w:t>more efficiently</w:t>
      </w:r>
      <w:r w:rsidR="00991598" w:rsidRPr="00423027">
        <w:rPr>
          <w:rFonts w:eastAsiaTheme="minorEastAsia"/>
          <w:lang w:val="en-GB"/>
        </w:rPr>
        <w:t>.</w:t>
      </w:r>
    </w:p>
    <w:p w:rsidR="00991598" w:rsidRPr="00CE7384" w:rsidRDefault="00991598" w:rsidP="00991598">
      <w:pPr>
        <w:rPr>
          <w:rFonts w:eastAsiaTheme="minorEastAsia"/>
          <w:lang w:val="en-GB"/>
        </w:rPr>
      </w:pPr>
      <w:r w:rsidRPr="00423027">
        <w:rPr>
          <w:rFonts w:eastAsiaTheme="minorEastAsia"/>
          <w:lang w:val="en-GB"/>
        </w:rPr>
        <w:t xml:space="preserve">In fact, for the sector </w:t>
      </w:r>
      <w:r w:rsidRPr="00423027">
        <w:rPr>
          <w:lang w:val="en-GB"/>
        </w:rPr>
        <w:t>CPA_C26</w:t>
      </w:r>
      <w:r w:rsidR="00094C59">
        <w:rPr>
          <w:lang w:val="en-GB"/>
        </w:rPr>
        <w:t>,</w:t>
      </w:r>
      <w:r w:rsidRPr="00423027">
        <w:rPr>
          <w:lang w:val="en-GB"/>
        </w:rPr>
        <w:t xml:space="preserve"> which is included in manufacturing, new member states of EU had the lowest output multiplie</w:t>
      </w:r>
      <w:r>
        <w:rPr>
          <w:lang w:val="en-GB"/>
        </w:rPr>
        <w:t>r of 1.1</w:t>
      </w:r>
      <w:r w:rsidR="00DA7C0F">
        <w:rPr>
          <w:lang w:val="en-GB"/>
        </w:rPr>
        <w:t>31</w:t>
      </w:r>
      <w:r>
        <w:rPr>
          <w:lang w:val="en-GB"/>
        </w:rPr>
        <w:t xml:space="preserve"> (Hungary), and the high</w:t>
      </w:r>
      <w:r w:rsidRPr="00423027">
        <w:rPr>
          <w:lang w:val="en-GB"/>
        </w:rPr>
        <w:t>est of 1.59</w:t>
      </w:r>
      <w:r w:rsidR="00DA7C0F">
        <w:rPr>
          <w:lang w:val="en-GB"/>
        </w:rPr>
        <w:t>5</w:t>
      </w:r>
      <w:r w:rsidRPr="00423027">
        <w:rPr>
          <w:lang w:val="en-GB"/>
        </w:rPr>
        <w:t xml:space="preserve"> (Slovenia). For the same sector, but for the long-standing member states of EU, the lowest value </w:t>
      </w:r>
      <w:r w:rsidR="00DA7C0F">
        <w:rPr>
          <w:lang w:val="en-GB"/>
        </w:rPr>
        <w:t xml:space="preserve">of output multiplier </w:t>
      </w:r>
      <w:proofErr w:type="gramStart"/>
      <w:r w:rsidRPr="00423027">
        <w:rPr>
          <w:lang w:val="en-GB"/>
        </w:rPr>
        <w:t>was detected</w:t>
      </w:r>
      <w:proofErr w:type="gramEnd"/>
      <w:r w:rsidRPr="00423027">
        <w:rPr>
          <w:lang w:val="en-GB"/>
        </w:rPr>
        <w:t xml:space="preserve"> for Belgium (1.524) and the highest for France (1.849). </w:t>
      </w:r>
      <w:r w:rsidRPr="00423027">
        <w:rPr>
          <w:rFonts w:eastAsiaTheme="minorEastAsia"/>
          <w:lang w:val="en-GB"/>
        </w:rPr>
        <w:t xml:space="preserve">In the ICT trade sector </w:t>
      </w:r>
      <w:r w:rsidRPr="00423027">
        <w:rPr>
          <w:lang w:val="en-GB"/>
        </w:rPr>
        <w:t>CPA_G46</w:t>
      </w:r>
      <w:r w:rsidR="00094C59">
        <w:rPr>
          <w:lang w:val="en-GB"/>
        </w:rPr>
        <w:t>,</w:t>
      </w:r>
      <w:r w:rsidRPr="00423027">
        <w:rPr>
          <w:rFonts w:eastAsiaTheme="minorEastAsia"/>
          <w:lang w:val="en-GB"/>
        </w:rPr>
        <w:t xml:space="preserve"> difference in the maximum (0.011) and in the minimum values (0.028) of </w:t>
      </w:r>
      <w:r w:rsidRPr="00423027">
        <w:rPr>
          <w:rFonts w:eastAsiaTheme="minorEastAsia"/>
          <w:lang w:val="en-GB"/>
        </w:rPr>
        <w:lastRenderedPageBreak/>
        <w:t>output multiplier for new and long-standing member states of EU is almost negligible.</w:t>
      </w:r>
      <w:r w:rsidR="00094C59">
        <w:rPr>
          <w:rFonts w:eastAsiaTheme="minorEastAsia"/>
          <w:lang w:val="en-GB"/>
        </w:rPr>
        <w:t xml:space="preserve"> </w:t>
      </w:r>
      <w:r w:rsidRPr="00CE7384">
        <w:rPr>
          <w:rFonts w:eastAsiaTheme="minorEastAsia"/>
          <w:lang w:val="en-GB"/>
        </w:rPr>
        <w:t xml:space="preserve">Among the services ICT sectors, differences between sectors </w:t>
      </w:r>
      <w:proofErr w:type="gramStart"/>
      <w:r w:rsidRPr="00CE7384">
        <w:rPr>
          <w:lang w:val="en-GB"/>
        </w:rPr>
        <w:t>CPA_J58</w:t>
      </w:r>
      <w:r w:rsidRPr="00CE7384">
        <w:rPr>
          <w:rFonts w:eastAsiaTheme="minorEastAsia"/>
          <w:lang w:val="en-GB"/>
        </w:rPr>
        <w:t xml:space="preserve"> and </w:t>
      </w:r>
      <w:r w:rsidRPr="00CE7384">
        <w:rPr>
          <w:lang w:val="en-GB"/>
        </w:rPr>
        <w:t>CPA_J61</w:t>
      </w:r>
      <w:proofErr w:type="gramEnd"/>
      <w:r w:rsidRPr="00CE7384">
        <w:rPr>
          <w:rFonts w:eastAsiaTheme="minorEastAsia"/>
          <w:lang w:val="en-GB"/>
        </w:rPr>
        <w:t xml:space="preserve"> and sectors </w:t>
      </w:r>
      <w:r w:rsidRPr="00CE7384">
        <w:rPr>
          <w:lang w:val="en-GB"/>
        </w:rPr>
        <w:t xml:space="preserve">CPA_J62_J63 </w:t>
      </w:r>
      <w:r w:rsidRPr="00CE7384">
        <w:rPr>
          <w:rFonts w:eastAsiaTheme="minorEastAsia"/>
          <w:lang w:val="en-GB"/>
        </w:rPr>
        <w:t xml:space="preserve">and </w:t>
      </w:r>
      <w:r w:rsidR="007E7F02">
        <w:rPr>
          <w:lang w:val="en-GB"/>
        </w:rPr>
        <w:t xml:space="preserve">CPA_S95 are </w:t>
      </w:r>
      <w:r w:rsidRPr="00CE7384">
        <w:rPr>
          <w:lang w:val="en-GB"/>
        </w:rPr>
        <w:t>found</w:t>
      </w:r>
      <w:r w:rsidRPr="00CE7384">
        <w:rPr>
          <w:rFonts w:eastAsiaTheme="minorEastAsia"/>
          <w:lang w:val="en-GB"/>
        </w:rPr>
        <w:t>.</w:t>
      </w:r>
      <w:r w:rsidR="00094C59">
        <w:rPr>
          <w:rFonts w:eastAsiaTheme="minorEastAsia"/>
          <w:lang w:val="en-GB"/>
        </w:rPr>
        <w:t xml:space="preserve"> </w:t>
      </w:r>
      <w:r w:rsidRPr="00CE7384">
        <w:rPr>
          <w:lang w:val="en-GB"/>
        </w:rPr>
        <w:t>In sectors CPA_J58</w:t>
      </w:r>
      <w:r w:rsidRPr="00CE7384">
        <w:rPr>
          <w:rFonts w:eastAsiaTheme="minorEastAsia"/>
          <w:lang w:val="en-GB"/>
        </w:rPr>
        <w:t xml:space="preserve"> and </w:t>
      </w:r>
      <w:r w:rsidRPr="00CE7384">
        <w:rPr>
          <w:lang w:val="en-GB"/>
        </w:rPr>
        <w:t>CPA_J61</w:t>
      </w:r>
      <w:r w:rsidRPr="00CE7384">
        <w:rPr>
          <w:rFonts w:eastAsiaTheme="minorEastAsia"/>
          <w:lang w:val="en-GB"/>
        </w:rPr>
        <w:t xml:space="preserve"> for </w:t>
      </w:r>
      <w:r w:rsidRPr="00CE7384">
        <w:rPr>
          <w:lang w:val="en-GB"/>
        </w:rPr>
        <w:t>new member states of EU</w:t>
      </w:r>
      <w:r w:rsidR="00094C59">
        <w:rPr>
          <w:lang w:val="en-GB"/>
        </w:rPr>
        <w:t>,</w:t>
      </w:r>
      <w:r w:rsidRPr="00CE7384">
        <w:rPr>
          <w:rFonts w:eastAsiaTheme="minorEastAsia"/>
          <w:lang w:val="en-GB"/>
        </w:rPr>
        <w:t xml:space="preserve"> lower minimum values of the multipliers </w:t>
      </w:r>
      <w:proofErr w:type="gramStart"/>
      <w:r w:rsidRPr="00CE7384">
        <w:rPr>
          <w:rFonts w:eastAsiaTheme="minorEastAsia"/>
          <w:lang w:val="en-GB"/>
        </w:rPr>
        <w:t>are occurred</w:t>
      </w:r>
      <w:proofErr w:type="gramEnd"/>
      <w:r w:rsidRPr="00CE7384">
        <w:rPr>
          <w:rFonts w:eastAsiaTheme="minorEastAsia"/>
          <w:lang w:val="en-GB"/>
        </w:rPr>
        <w:t xml:space="preserve"> than for long-standing members, as well as lower maximum multiplier values.</w:t>
      </w:r>
      <w:r w:rsidR="00094C59">
        <w:rPr>
          <w:rFonts w:eastAsiaTheme="minorEastAsia"/>
          <w:lang w:val="en-GB"/>
        </w:rPr>
        <w:t xml:space="preserve"> </w:t>
      </w:r>
      <w:r w:rsidRPr="00CE7384">
        <w:rPr>
          <w:rFonts w:eastAsiaTheme="minorEastAsia"/>
          <w:lang w:val="en-GB"/>
        </w:rPr>
        <w:t xml:space="preserve">In contrast, sectors </w:t>
      </w:r>
      <w:r w:rsidRPr="00CE7384">
        <w:rPr>
          <w:lang w:val="en-GB"/>
        </w:rPr>
        <w:t>CPA_J62_J63</w:t>
      </w:r>
      <w:r w:rsidRPr="00CE7384">
        <w:rPr>
          <w:rFonts w:eastAsiaTheme="minorEastAsia"/>
          <w:lang w:val="en-GB"/>
        </w:rPr>
        <w:t xml:space="preserve"> and </w:t>
      </w:r>
      <w:r w:rsidRPr="00CE7384">
        <w:rPr>
          <w:lang w:val="en-GB"/>
        </w:rPr>
        <w:t>CPA_S95</w:t>
      </w:r>
      <w:r w:rsidRPr="00CE7384">
        <w:rPr>
          <w:rFonts w:eastAsiaTheme="minorEastAsia"/>
          <w:lang w:val="en-GB"/>
        </w:rPr>
        <w:t xml:space="preserve"> had lower minimum values of the multiplier in </w:t>
      </w:r>
      <w:r w:rsidRPr="00CE7384">
        <w:rPr>
          <w:lang w:val="en-GB"/>
        </w:rPr>
        <w:t>new member states of EU</w:t>
      </w:r>
      <w:r w:rsidRPr="00CE7384">
        <w:rPr>
          <w:rFonts w:eastAsiaTheme="minorEastAsia"/>
          <w:lang w:val="en-GB"/>
        </w:rPr>
        <w:t>, but greater maximal values of the multipliers in long-standing</w:t>
      </w:r>
      <w:r w:rsidRPr="00CE7384">
        <w:rPr>
          <w:lang w:val="en-GB"/>
        </w:rPr>
        <w:t xml:space="preserve"> member states of EU</w:t>
      </w:r>
      <w:r w:rsidRPr="00CE7384">
        <w:rPr>
          <w:rFonts w:eastAsiaTheme="minorEastAsia"/>
          <w:lang w:val="en-GB"/>
        </w:rPr>
        <w:t>. Differences in the minimum and maximum values of the value added</w:t>
      </w:r>
      <w:r w:rsidR="00094C59">
        <w:rPr>
          <w:rFonts w:eastAsiaTheme="minorEastAsia"/>
          <w:lang w:val="en-GB"/>
        </w:rPr>
        <w:t xml:space="preserve"> multiplier for the </w:t>
      </w:r>
      <w:proofErr w:type="gramStart"/>
      <w:r w:rsidR="00094C59">
        <w:rPr>
          <w:rFonts w:eastAsiaTheme="minorEastAsia"/>
          <w:lang w:val="en-GB"/>
        </w:rPr>
        <w:t xml:space="preserve">above </w:t>
      </w:r>
      <w:proofErr w:type="spellStart"/>
      <w:r w:rsidR="00094C59">
        <w:rPr>
          <w:rFonts w:eastAsiaTheme="minorEastAsia"/>
          <w:lang w:val="en-GB"/>
        </w:rPr>
        <w:t>analyz</w:t>
      </w:r>
      <w:r w:rsidRPr="00CE7384">
        <w:rPr>
          <w:rFonts w:eastAsiaTheme="minorEastAsia"/>
          <w:lang w:val="en-GB"/>
        </w:rPr>
        <w:t>ed</w:t>
      </w:r>
      <w:proofErr w:type="spellEnd"/>
      <w:proofErr w:type="gramEnd"/>
      <w:r w:rsidRPr="00CE7384">
        <w:rPr>
          <w:rFonts w:eastAsiaTheme="minorEastAsia"/>
          <w:lang w:val="en-GB"/>
        </w:rPr>
        <w:t xml:space="preserve"> sectors between </w:t>
      </w:r>
      <w:r w:rsidRPr="00CE7384">
        <w:rPr>
          <w:lang w:val="en-GB"/>
        </w:rPr>
        <w:t>new</w:t>
      </w:r>
      <w:r w:rsidRPr="00CE7384">
        <w:rPr>
          <w:rFonts w:eastAsiaTheme="minorEastAsia"/>
          <w:lang w:val="en-GB"/>
        </w:rPr>
        <w:t xml:space="preserve"> and long-standing</w:t>
      </w:r>
      <w:r w:rsidRPr="00CE7384">
        <w:rPr>
          <w:lang w:val="en-GB"/>
        </w:rPr>
        <w:t xml:space="preserve"> member states of EU</w:t>
      </w:r>
      <w:r w:rsidRPr="00CE7384">
        <w:rPr>
          <w:rFonts w:eastAsiaTheme="minorEastAsia"/>
          <w:lang w:val="en-GB"/>
        </w:rPr>
        <w:t xml:space="preserve"> </w:t>
      </w:r>
      <w:r w:rsidR="00094C59">
        <w:rPr>
          <w:rFonts w:eastAsiaTheme="minorEastAsia"/>
          <w:lang w:val="en-GB"/>
        </w:rPr>
        <w:t xml:space="preserve">do </w:t>
      </w:r>
      <w:r w:rsidRPr="00CE7384">
        <w:rPr>
          <w:rFonts w:eastAsiaTheme="minorEastAsia"/>
          <w:lang w:val="en-GB"/>
        </w:rPr>
        <w:t>exist, but they are not significant.</w:t>
      </w:r>
    </w:p>
    <w:p w:rsidR="00991598" w:rsidRDefault="00991598" w:rsidP="00B47F38">
      <w:pPr>
        <w:spacing w:before="0"/>
        <w:rPr>
          <w:rFonts w:eastAsiaTheme="minorEastAsia"/>
          <w:lang w:val="en-GB"/>
        </w:rPr>
      </w:pPr>
    </w:p>
    <w:p w:rsidR="00991598" w:rsidRDefault="00991598" w:rsidP="00991598">
      <w:pPr>
        <w:spacing w:before="0"/>
        <w:rPr>
          <w:rFonts w:eastAsiaTheme="minorEastAsia"/>
          <w:b/>
          <w:sz w:val="28"/>
          <w:szCs w:val="28"/>
          <w:lang w:val="en-GB"/>
        </w:rPr>
      </w:pPr>
      <w:r>
        <w:rPr>
          <w:rFonts w:eastAsiaTheme="minorEastAsia"/>
          <w:b/>
          <w:sz w:val="28"/>
          <w:szCs w:val="28"/>
          <w:lang w:val="en-GB"/>
        </w:rPr>
        <w:t>4. C</w:t>
      </w:r>
      <w:r w:rsidRPr="00CE7384">
        <w:rPr>
          <w:rFonts w:eastAsiaTheme="minorEastAsia"/>
          <w:b/>
          <w:sz w:val="28"/>
          <w:szCs w:val="28"/>
          <w:lang w:val="en-GB"/>
        </w:rPr>
        <w:t>onclusion</w:t>
      </w:r>
    </w:p>
    <w:p w:rsidR="00991598" w:rsidRPr="00CE7384" w:rsidRDefault="00991598" w:rsidP="00991598">
      <w:pPr>
        <w:spacing w:before="0"/>
        <w:rPr>
          <w:rFonts w:eastAsiaTheme="minorEastAsia"/>
          <w:b/>
          <w:sz w:val="28"/>
          <w:szCs w:val="28"/>
          <w:lang w:val="en-GB"/>
        </w:rPr>
      </w:pPr>
    </w:p>
    <w:p w:rsidR="00991598" w:rsidRPr="001E1636" w:rsidRDefault="00991598" w:rsidP="00991598">
      <w:pPr>
        <w:spacing w:before="0"/>
        <w:rPr>
          <w:color w:val="FF0000"/>
          <w:lang w:val="en-GB"/>
        </w:rPr>
      </w:pPr>
      <w:r w:rsidRPr="00CE7384">
        <w:rPr>
          <w:lang w:val="en-GB"/>
        </w:rPr>
        <w:t>Rapid technological progress in production of ICT goods and services and faster growth and development of the sole ICT productive sector</w:t>
      </w:r>
      <w:r w:rsidR="00094C59">
        <w:rPr>
          <w:lang w:val="en-GB"/>
        </w:rPr>
        <w:t xml:space="preserve"> </w:t>
      </w:r>
      <w:r>
        <w:rPr>
          <w:rFonts w:eastAsiaTheme="minorEastAsia"/>
          <w:lang w:val="en-GB"/>
        </w:rPr>
        <w:t>has a significant im</w:t>
      </w:r>
      <w:r w:rsidR="00785D17">
        <w:rPr>
          <w:rFonts w:eastAsiaTheme="minorEastAsia"/>
          <w:lang w:val="en-GB"/>
        </w:rPr>
        <w:t>pact on productivity and</w:t>
      </w:r>
      <w:r w:rsidRPr="00CE7384">
        <w:rPr>
          <w:rFonts w:eastAsiaTheme="minorEastAsia"/>
          <w:lang w:val="en-GB"/>
        </w:rPr>
        <w:t xml:space="preserve"> efficiency</w:t>
      </w:r>
      <w:r>
        <w:rPr>
          <w:rFonts w:eastAsiaTheme="minorEastAsia"/>
          <w:lang w:val="en-GB"/>
        </w:rPr>
        <w:t xml:space="preserve"> of all the other sectors of nat</w:t>
      </w:r>
      <w:r w:rsidRPr="00CE7384">
        <w:rPr>
          <w:rFonts w:eastAsiaTheme="minorEastAsia"/>
          <w:lang w:val="en-GB"/>
        </w:rPr>
        <w:t>ional econom</w:t>
      </w:r>
      <w:r>
        <w:rPr>
          <w:rFonts w:eastAsiaTheme="minorEastAsia"/>
          <w:lang w:val="en-GB"/>
        </w:rPr>
        <w:t>ie</w:t>
      </w:r>
      <w:r w:rsidRPr="00CE7384">
        <w:rPr>
          <w:rFonts w:eastAsiaTheme="minorEastAsia"/>
          <w:lang w:val="en-GB"/>
        </w:rPr>
        <w:t>s</w:t>
      </w:r>
      <w:r w:rsidR="00094C59">
        <w:rPr>
          <w:rFonts w:eastAsiaTheme="minorEastAsia"/>
          <w:lang w:val="en-GB"/>
        </w:rPr>
        <w:t>,</w:t>
      </w:r>
      <w:r w:rsidRPr="00CE7384">
        <w:rPr>
          <w:rFonts w:eastAsiaTheme="minorEastAsia"/>
          <w:lang w:val="en-GB"/>
        </w:rPr>
        <w:t xml:space="preserve"> as well as on </w:t>
      </w:r>
      <w:r w:rsidRPr="00CE7384">
        <w:rPr>
          <w:lang w:val="en-GB"/>
        </w:rPr>
        <w:t>growth and total development</w:t>
      </w:r>
      <w:r w:rsidRPr="00CE7384">
        <w:rPr>
          <w:rFonts w:eastAsiaTheme="minorEastAsia"/>
          <w:lang w:val="en-GB"/>
        </w:rPr>
        <w:t xml:space="preserve"> of </w:t>
      </w:r>
      <w:r w:rsidR="009A629F">
        <w:rPr>
          <w:lang w:val="en-GB"/>
        </w:rPr>
        <w:t>social and economic sy</w:t>
      </w:r>
      <w:r w:rsidR="00DA2AAE">
        <w:rPr>
          <w:lang w:val="en-GB"/>
        </w:rPr>
        <w:t>stems as a</w:t>
      </w:r>
      <w:r w:rsidRPr="00CE7384">
        <w:rPr>
          <w:lang w:val="en-GB"/>
        </w:rPr>
        <w:t xml:space="preserve"> whole. </w:t>
      </w:r>
      <w:r w:rsidR="00094C59">
        <w:rPr>
          <w:lang w:val="en-GB"/>
        </w:rPr>
        <w:t xml:space="preserve">During work, the impact of ICT via IO method </w:t>
      </w:r>
      <w:proofErr w:type="gramStart"/>
      <w:r w:rsidR="00094C59">
        <w:rPr>
          <w:lang w:val="en-GB"/>
        </w:rPr>
        <w:t>is quantified</w:t>
      </w:r>
      <w:proofErr w:type="gramEnd"/>
      <w:r w:rsidR="00094C59">
        <w:rPr>
          <w:lang w:val="en-GB"/>
        </w:rPr>
        <w:t xml:space="preserve"> by</w:t>
      </w:r>
      <w:r w:rsidR="00DA2AAE">
        <w:rPr>
          <w:lang w:val="en-GB"/>
        </w:rPr>
        <w:t xml:space="preserve"> calculating simple multiplie</w:t>
      </w:r>
      <w:r w:rsidR="00094C59">
        <w:rPr>
          <w:lang w:val="en-GB"/>
        </w:rPr>
        <w:t xml:space="preserve">rs of output and </w:t>
      </w:r>
      <w:r w:rsidR="007E7F02">
        <w:rPr>
          <w:lang w:val="en-GB"/>
        </w:rPr>
        <w:t xml:space="preserve">value </w:t>
      </w:r>
      <w:r w:rsidR="00094C59">
        <w:rPr>
          <w:lang w:val="en-GB"/>
        </w:rPr>
        <w:t>added.</w:t>
      </w:r>
      <w:r w:rsidR="001E1636">
        <w:rPr>
          <w:lang w:val="en-GB"/>
        </w:rPr>
        <w:t xml:space="preserve"> The data used for conducting the analysis were taken from the </w:t>
      </w:r>
      <w:proofErr w:type="gramStart"/>
      <w:r w:rsidR="001E1636">
        <w:rPr>
          <w:lang w:val="en-GB"/>
        </w:rPr>
        <w:t>data base</w:t>
      </w:r>
      <w:proofErr w:type="gramEnd"/>
      <w:r w:rsidR="001E1636">
        <w:rPr>
          <w:lang w:val="en-GB"/>
        </w:rPr>
        <w:t xml:space="preserve"> of </w:t>
      </w:r>
      <w:r w:rsidR="007E7F02" w:rsidRPr="007E7F02">
        <w:rPr>
          <w:lang w:val="en-GB"/>
        </w:rPr>
        <w:t>Croatian Bureau of Statistics and Eurostat</w:t>
      </w:r>
      <w:r w:rsidRPr="00CE7384">
        <w:rPr>
          <w:lang w:val="en-GB"/>
        </w:rPr>
        <w:t xml:space="preserve"> </w:t>
      </w:r>
      <w:r w:rsidR="001E1636">
        <w:rPr>
          <w:lang w:val="en-GB"/>
        </w:rPr>
        <w:t>for 2004 and 2010.</w:t>
      </w:r>
      <w:r w:rsidRPr="00CE7384">
        <w:rPr>
          <w:lang w:val="en-GB"/>
        </w:rPr>
        <w:t xml:space="preserve">  </w:t>
      </w:r>
      <w:r w:rsidR="001E1636">
        <w:rPr>
          <w:lang w:val="en-GB"/>
        </w:rPr>
        <w:t>A comp</w:t>
      </w:r>
      <w:r w:rsidR="00DA2AAE">
        <w:rPr>
          <w:lang w:val="en-GB"/>
        </w:rPr>
        <w:t>arative analysis of multiplie</w:t>
      </w:r>
      <w:r w:rsidR="001E1636">
        <w:rPr>
          <w:lang w:val="en-GB"/>
        </w:rPr>
        <w:t xml:space="preserve">rs based on accessible symmetric IO tables </w:t>
      </w:r>
      <w:proofErr w:type="gramStart"/>
      <w:r w:rsidR="001E1636">
        <w:rPr>
          <w:lang w:val="en-GB"/>
        </w:rPr>
        <w:t>was made</w:t>
      </w:r>
      <w:proofErr w:type="gramEnd"/>
      <w:r w:rsidR="001E1636">
        <w:rPr>
          <w:lang w:val="en-GB"/>
        </w:rPr>
        <w:t xml:space="preserve"> for the ICT production, service and trade sectors of Croatian economy. The analysis results indicate that t</w:t>
      </w:r>
      <w:r w:rsidR="00DA2AAE">
        <w:rPr>
          <w:lang w:val="en-GB"/>
        </w:rPr>
        <w:t>he differences in multiplie</w:t>
      </w:r>
      <w:r w:rsidR="009A629F">
        <w:rPr>
          <w:lang w:val="en-GB"/>
        </w:rPr>
        <w:t>r</w:t>
      </w:r>
      <w:r w:rsidR="001E1636">
        <w:rPr>
          <w:lang w:val="en-GB"/>
        </w:rPr>
        <w:t xml:space="preserve"> values in the period in question for the sectors mentioned were not significant. </w:t>
      </w:r>
      <w:proofErr w:type="gramStart"/>
      <w:r w:rsidR="00DA2AAE">
        <w:rPr>
          <w:lang w:val="en-GB"/>
        </w:rPr>
        <w:t>The values of output multiplie</w:t>
      </w:r>
      <w:r w:rsidR="009A629F">
        <w:rPr>
          <w:lang w:val="en-GB"/>
        </w:rPr>
        <w:t>r</w:t>
      </w:r>
      <w:r w:rsidR="00D40062">
        <w:rPr>
          <w:lang w:val="en-GB"/>
        </w:rPr>
        <w:t xml:space="preserve"> for ICT sectors ranged from 1.479 to 1.798 in 2004 and from 1.456 to 1.691 for 2010, whi</w:t>
      </w:r>
      <w:r w:rsidR="00DA2AAE">
        <w:rPr>
          <w:lang w:val="en-GB"/>
        </w:rPr>
        <w:t xml:space="preserve">le the values of </w:t>
      </w:r>
      <w:r w:rsidR="007E7F02">
        <w:rPr>
          <w:lang w:val="en-GB"/>
        </w:rPr>
        <w:t xml:space="preserve">value </w:t>
      </w:r>
      <w:r w:rsidR="00DA2AAE">
        <w:rPr>
          <w:lang w:val="en-GB"/>
        </w:rPr>
        <w:t>added multiplie</w:t>
      </w:r>
      <w:r w:rsidR="009A629F">
        <w:rPr>
          <w:lang w:val="en-GB"/>
        </w:rPr>
        <w:t>r</w:t>
      </w:r>
      <w:r w:rsidR="00D40062">
        <w:rPr>
          <w:lang w:val="en-GB"/>
        </w:rPr>
        <w:t xml:space="preserve"> ranged from 1.426 to 1.875 in 2004 and from 1.407 to 1.835 for 2010, which leads to conclusion that the ICT contribution to growth and development in Croatian economy decreased with years.</w:t>
      </w:r>
      <w:proofErr w:type="gramEnd"/>
    </w:p>
    <w:p w:rsidR="00991598" w:rsidRDefault="007136E6" w:rsidP="00991598">
      <w:pPr>
        <w:rPr>
          <w:lang w:val="en-GB"/>
        </w:rPr>
      </w:pPr>
      <w:r>
        <w:rPr>
          <w:lang w:val="en-GB"/>
        </w:rPr>
        <w:t>By using the latest data for</w:t>
      </w:r>
      <w:r w:rsidR="002F2132">
        <w:rPr>
          <w:lang w:val="en-GB"/>
        </w:rPr>
        <w:t xml:space="preserve"> 201</w:t>
      </w:r>
      <w:r w:rsidR="009A629F">
        <w:rPr>
          <w:lang w:val="en-GB"/>
        </w:rPr>
        <w:t xml:space="preserve">0, an analysis of </w:t>
      </w:r>
      <w:r w:rsidR="00DA2AAE">
        <w:rPr>
          <w:lang w:val="en-GB"/>
        </w:rPr>
        <w:t>output and value</w:t>
      </w:r>
      <w:r w:rsidR="007E7F02">
        <w:rPr>
          <w:lang w:val="en-GB"/>
        </w:rPr>
        <w:t xml:space="preserve"> added</w:t>
      </w:r>
      <w:r w:rsidR="00DA2AAE">
        <w:rPr>
          <w:lang w:val="en-GB"/>
        </w:rPr>
        <w:t xml:space="preserve"> multiplie</w:t>
      </w:r>
      <w:r w:rsidR="009A629F">
        <w:rPr>
          <w:lang w:val="en-GB"/>
        </w:rPr>
        <w:t>r</w:t>
      </w:r>
      <w:r w:rsidR="00DA2AAE">
        <w:rPr>
          <w:lang w:val="en-GB"/>
        </w:rPr>
        <w:t>s</w:t>
      </w:r>
      <w:r w:rsidR="002F2132">
        <w:rPr>
          <w:lang w:val="en-GB"/>
        </w:rPr>
        <w:t xml:space="preserve"> was made for all sectors of Croatian economy</w:t>
      </w:r>
      <w:r w:rsidR="009A629F">
        <w:rPr>
          <w:lang w:val="en-GB"/>
        </w:rPr>
        <w:t>,</w:t>
      </w:r>
      <w:r w:rsidR="002F2132">
        <w:rPr>
          <w:lang w:val="en-GB"/>
        </w:rPr>
        <w:t xml:space="preserve"> which were classified according to NKD 2007 activity sections and </w:t>
      </w:r>
      <w:r w:rsidR="00DA2AAE">
        <w:rPr>
          <w:lang w:val="en-GB"/>
        </w:rPr>
        <w:t>a comparison to the multiplie</w:t>
      </w:r>
      <w:r w:rsidR="002F2132">
        <w:rPr>
          <w:lang w:val="en-GB"/>
        </w:rPr>
        <w:t>rs of the ICT sector</w:t>
      </w:r>
      <w:r>
        <w:rPr>
          <w:lang w:val="en-GB"/>
        </w:rPr>
        <w:t>s</w:t>
      </w:r>
      <w:r w:rsidR="002F2132">
        <w:rPr>
          <w:lang w:val="en-GB"/>
        </w:rPr>
        <w:t xml:space="preserve"> was made. </w:t>
      </w:r>
      <w:proofErr w:type="gramStart"/>
      <w:r w:rsidR="002F2132">
        <w:rPr>
          <w:lang w:val="en-GB"/>
        </w:rPr>
        <w:t xml:space="preserve">Results show that the </w:t>
      </w:r>
      <w:r w:rsidR="009A629F">
        <w:rPr>
          <w:lang w:val="en-GB"/>
        </w:rPr>
        <w:t xml:space="preserve">average values of </w:t>
      </w:r>
      <w:r w:rsidR="002F2132">
        <w:rPr>
          <w:lang w:val="en-GB"/>
        </w:rPr>
        <w:t>output</w:t>
      </w:r>
      <w:r w:rsidR="009A629F">
        <w:rPr>
          <w:lang w:val="en-GB"/>
        </w:rPr>
        <w:t>,</w:t>
      </w:r>
      <w:r w:rsidR="002F2132">
        <w:rPr>
          <w:lang w:val="en-GB"/>
        </w:rPr>
        <w:t xml:space="preserve"> as well as of </w:t>
      </w:r>
      <w:r>
        <w:rPr>
          <w:lang w:val="en-GB"/>
        </w:rPr>
        <w:t xml:space="preserve">value </w:t>
      </w:r>
      <w:r w:rsidR="002F2132">
        <w:rPr>
          <w:lang w:val="en-GB"/>
        </w:rPr>
        <w:t xml:space="preserve">added </w:t>
      </w:r>
      <w:r w:rsidR="00DA2AAE">
        <w:rPr>
          <w:lang w:val="en-GB"/>
        </w:rPr>
        <w:t xml:space="preserve">multipliers </w:t>
      </w:r>
      <w:r>
        <w:rPr>
          <w:lang w:val="en-GB"/>
        </w:rPr>
        <w:t>for all</w:t>
      </w:r>
      <w:r w:rsidR="002F2132">
        <w:rPr>
          <w:lang w:val="en-GB"/>
        </w:rPr>
        <w:t xml:space="preserve"> ICT sector</w:t>
      </w:r>
      <w:r>
        <w:rPr>
          <w:lang w:val="en-GB"/>
        </w:rPr>
        <w:t>s</w:t>
      </w:r>
      <w:r w:rsidR="002F2132">
        <w:rPr>
          <w:lang w:val="en-GB"/>
        </w:rPr>
        <w:t xml:space="preserve"> range at about 1.5, which is </w:t>
      </w:r>
      <w:proofErr w:type="spellStart"/>
      <w:r w:rsidR="002F2132">
        <w:rPr>
          <w:lang w:val="en-GB"/>
        </w:rPr>
        <w:t>consistant</w:t>
      </w:r>
      <w:proofErr w:type="spellEnd"/>
      <w:r w:rsidR="00DA2AAE">
        <w:rPr>
          <w:lang w:val="en-GB"/>
        </w:rPr>
        <w:t xml:space="preserve"> to the majority of multiplie</w:t>
      </w:r>
      <w:r w:rsidR="002F2132">
        <w:rPr>
          <w:lang w:val="en-GB"/>
        </w:rPr>
        <w:t>r values for all other activity</w:t>
      </w:r>
      <w:r w:rsidR="00D458FE">
        <w:rPr>
          <w:lang w:val="en-GB"/>
        </w:rPr>
        <w:t xml:space="preserve"> sections</w:t>
      </w:r>
      <w:r w:rsidR="002F2132">
        <w:rPr>
          <w:lang w:val="en-GB"/>
        </w:rPr>
        <w:t xml:space="preserve"> according to NKD 2007, with the exception of </w:t>
      </w:r>
      <w:r>
        <w:rPr>
          <w:lang w:val="en-GB"/>
        </w:rPr>
        <w:t>activity section L - R</w:t>
      </w:r>
      <w:r w:rsidR="00502D2F" w:rsidRPr="002F2132">
        <w:rPr>
          <w:lang w:val="en-GB"/>
        </w:rPr>
        <w:t>eal estate activit</w:t>
      </w:r>
      <w:r w:rsidR="00DA2AAE">
        <w:rPr>
          <w:lang w:val="en-GB"/>
        </w:rPr>
        <w:t>i</w:t>
      </w:r>
      <w:r w:rsidR="00502D2F" w:rsidRPr="002F2132">
        <w:rPr>
          <w:lang w:val="en-GB"/>
        </w:rPr>
        <w:t xml:space="preserve">es </w:t>
      </w:r>
      <w:r w:rsidR="002F2132">
        <w:rPr>
          <w:lang w:val="en-GB"/>
        </w:rPr>
        <w:t>and activity</w:t>
      </w:r>
      <w:r>
        <w:rPr>
          <w:lang w:val="en-GB"/>
        </w:rPr>
        <w:t xml:space="preserve"> section </w:t>
      </w:r>
      <w:r w:rsidR="00D458FE" w:rsidRPr="00D458FE">
        <w:rPr>
          <w:lang w:val="en-GB"/>
        </w:rPr>
        <w:t xml:space="preserve">O+P+Q </w:t>
      </w:r>
      <w:r w:rsidR="00D458FE">
        <w:rPr>
          <w:lang w:val="en-GB"/>
        </w:rPr>
        <w:t xml:space="preserve">- </w:t>
      </w:r>
      <w:r>
        <w:rPr>
          <w:lang w:val="en-GB"/>
        </w:rPr>
        <w:t>P</w:t>
      </w:r>
      <w:r w:rsidR="00991598" w:rsidRPr="002F2132">
        <w:rPr>
          <w:lang w:val="en-GB"/>
        </w:rPr>
        <w:t>ublic administration and defenc</w:t>
      </w:r>
      <w:r w:rsidR="002F2132">
        <w:rPr>
          <w:lang w:val="en-GB"/>
        </w:rPr>
        <w:t>e; compulsory social security; education; h</w:t>
      </w:r>
      <w:r w:rsidR="00991598" w:rsidRPr="002F2132">
        <w:rPr>
          <w:lang w:val="en-GB"/>
        </w:rPr>
        <w:t>uman health and social work activities</w:t>
      </w:r>
      <w:r w:rsidR="00991598" w:rsidRPr="001E1636">
        <w:rPr>
          <w:color w:val="FF0000"/>
          <w:lang w:val="en-GB"/>
        </w:rPr>
        <w:t xml:space="preserve"> </w:t>
      </w:r>
      <w:r w:rsidR="00CE5B3F" w:rsidRPr="00CE5B3F">
        <w:rPr>
          <w:lang w:val="en-GB"/>
        </w:rPr>
        <w:t xml:space="preserve">with the lowest </w:t>
      </w:r>
      <w:r w:rsidR="00DA2AAE">
        <w:rPr>
          <w:lang w:val="en-GB"/>
        </w:rPr>
        <w:t>multiplier</w:t>
      </w:r>
      <w:r w:rsidR="00CE5B3F" w:rsidRPr="00CE5B3F">
        <w:rPr>
          <w:lang w:val="en-GB"/>
        </w:rPr>
        <w:t xml:space="preserve"> values</w:t>
      </w:r>
      <w:r w:rsidR="00CE5B3F">
        <w:rPr>
          <w:color w:val="FF0000"/>
          <w:lang w:val="en-GB"/>
        </w:rPr>
        <w:t xml:space="preserve"> </w:t>
      </w:r>
      <w:r w:rsidR="00CE5B3F" w:rsidRPr="00CE5B3F">
        <w:rPr>
          <w:lang w:val="en-GB"/>
        </w:rPr>
        <w:t>and the activity</w:t>
      </w:r>
      <w:r w:rsidR="00D458FE">
        <w:rPr>
          <w:lang w:val="en-GB"/>
        </w:rPr>
        <w:t xml:space="preserve"> section F - C</w:t>
      </w:r>
      <w:r w:rsidR="00991598" w:rsidRPr="00CE5B3F">
        <w:rPr>
          <w:lang w:val="en-GB"/>
        </w:rPr>
        <w:t xml:space="preserve">onstruction </w:t>
      </w:r>
      <w:r w:rsidR="00D458FE">
        <w:rPr>
          <w:lang w:val="en-GB"/>
        </w:rPr>
        <w:t xml:space="preserve">and the activity section </w:t>
      </w:r>
      <w:r w:rsidR="00D458FE">
        <w:rPr>
          <w:color w:val="000000"/>
          <w:sz w:val="22"/>
          <w:szCs w:val="22"/>
          <w:lang w:val="en-GB"/>
        </w:rPr>
        <w:t>B+C+</w:t>
      </w:r>
      <w:r w:rsidR="00D458FE" w:rsidRPr="00600340">
        <w:rPr>
          <w:color w:val="000000"/>
          <w:sz w:val="22"/>
          <w:szCs w:val="22"/>
          <w:lang w:val="en-GB"/>
        </w:rPr>
        <w:t>D+E</w:t>
      </w:r>
      <w:r w:rsidR="00D458FE">
        <w:rPr>
          <w:color w:val="000000"/>
          <w:sz w:val="22"/>
          <w:szCs w:val="22"/>
          <w:lang w:val="en-GB"/>
        </w:rPr>
        <w:t xml:space="preserve"> -</w:t>
      </w:r>
      <w:r w:rsidR="00D458FE">
        <w:rPr>
          <w:lang w:val="en-GB"/>
        </w:rPr>
        <w:t xml:space="preserve"> M</w:t>
      </w:r>
      <w:r w:rsidR="00CE5B3F">
        <w:rPr>
          <w:lang w:val="en-GB"/>
        </w:rPr>
        <w:t xml:space="preserve">ining and </w:t>
      </w:r>
      <w:proofErr w:type="spellStart"/>
      <w:r w:rsidR="00CE5B3F">
        <w:rPr>
          <w:lang w:val="en-GB"/>
        </w:rPr>
        <w:t>querrying</w:t>
      </w:r>
      <w:proofErr w:type="spellEnd"/>
      <w:r w:rsidR="00CE5B3F">
        <w:rPr>
          <w:lang w:val="en-GB"/>
        </w:rPr>
        <w:t>; manufacturing; e</w:t>
      </w:r>
      <w:r w:rsidR="00991598" w:rsidRPr="00CE5B3F">
        <w:rPr>
          <w:lang w:val="en-GB"/>
        </w:rPr>
        <w:t xml:space="preserve">lectricity, gas, steam and air conditioning supply, sewerage, waste </w:t>
      </w:r>
      <w:r w:rsidR="00D458FE">
        <w:rPr>
          <w:lang w:val="en-GB"/>
        </w:rPr>
        <w:t xml:space="preserve">management, </w:t>
      </w:r>
      <w:r w:rsidR="00991598" w:rsidRPr="00CE5B3F">
        <w:rPr>
          <w:lang w:val="en-GB"/>
        </w:rPr>
        <w:t>remediation activities</w:t>
      </w:r>
      <w:r w:rsidR="00CE5B3F">
        <w:rPr>
          <w:color w:val="FF0000"/>
          <w:lang w:val="en-GB"/>
        </w:rPr>
        <w:t xml:space="preserve"> </w:t>
      </w:r>
      <w:r w:rsidR="00CE5B3F" w:rsidRPr="00CE5B3F">
        <w:rPr>
          <w:lang w:val="en-GB"/>
        </w:rPr>
        <w:t>with the highest values</w:t>
      </w:r>
      <w:r w:rsidR="00991598" w:rsidRPr="00CE5B3F">
        <w:rPr>
          <w:lang w:val="en-GB"/>
        </w:rPr>
        <w:t>.</w:t>
      </w:r>
      <w:proofErr w:type="gramEnd"/>
      <w:r w:rsidR="00991598" w:rsidRPr="001E1636">
        <w:rPr>
          <w:color w:val="FF0000"/>
          <w:lang w:val="en-GB"/>
        </w:rPr>
        <w:t xml:space="preserve"> </w:t>
      </w:r>
      <w:r w:rsidR="00CE5B3F" w:rsidRPr="00CE5B3F">
        <w:rPr>
          <w:lang w:val="en-GB"/>
        </w:rPr>
        <w:t>More</w:t>
      </w:r>
      <w:r w:rsidR="00DA2AAE">
        <w:rPr>
          <w:lang w:val="en-GB"/>
        </w:rPr>
        <w:t>over, a comparative multiplie</w:t>
      </w:r>
      <w:r w:rsidR="00CE5B3F" w:rsidRPr="00CE5B3F">
        <w:rPr>
          <w:lang w:val="en-GB"/>
        </w:rPr>
        <w:t xml:space="preserve">r analysis was conducted for a couple of </w:t>
      </w:r>
      <w:r w:rsidR="00BE531C">
        <w:rPr>
          <w:lang w:val="en-GB"/>
        </w:rPr>
        <w:t xml:space="preserve">EU </w:t>
      </w:r>
      <w:proofErr w:type="gramStart"/>
      <w:r w:rsidR="00CE5B3F" w:rsidRPr="00CE5B3F">
        <w:rPr>
          <w:lang w:val="en-GB"/>
        </w:rPr>
        <w:t>countries</w:t>
      </w:r>
      <w:r w:rsidR="00CE5B3F">
        <w:rPr>
          <w:color w:val="FF0000"/>
          <w:lang w:val="en-GB"/>
        </w:rPr>
        <w:t xml:space="preserve"> </w:t>
      </w:r>
      <w:r w:rsidR="00CE5B3F" w:rsidRPr="00CE5B3F">
        <w:rPr>
          <w:lang w:val="en-GB"/>
        </w:rPr>
        <w:t>which</w:t>
      </w:r>
      <w:proofErr w:type="gramEnd"/>
      <w:r w:rsidR="00CE5B3F" w:rsidRPr="00CE5B3F">
        <w:rPr>
          <w:lang w:val="en-GB"/>
        </w:rPr>
        <w:t xml:space="preserve"> were, for the purpose of this thesis, classified in </w:t>
      </w:r>
      <w:r w:rsidR="00CE5B3F">
        <w:rPr>
          <w:lang w:val="en-GB"/>
        </w:rPr>
        <w:t>two groups:</w:t>
      </w:r>
      <w:r w:rsidR="00CE5B3F" w:rsidRPr="00CE5B3F">
        <w:rPr>
          <w:lang w:val="en-GB"/>
        </w:rPr>
        <w:t xml:space="preserve"> the new and the long-standing EU</w:t>
      </w:r>
      <w:r w:rsidR="00D458FE">
        <w:rPr>
          <w:lang w:val="en-GB"/>
        </w:rPr>
        <w:t xml:space="preserve"> </w:t>
      </w:r>
      <w:r w:rsidR="00CE5B3F" w:rsidRPr="00CE5B3F">
        <w:rPr>
          <w:lang w:val="en-GB"/>
        </w:rPr>
        <w:t>members, with the purpos</w:t>
      </w:r>
      <w:r w:rsidR="00DA2AAE">
        <w:rPr>
          <w:lang w:val="en-GB"/>
        </w:rPr>
        <w:t>e of establishing whether</w:t>
      </w:r>
      <w:r w:rsidR="00CE5B3F" w:rsidRPr="00CE5B3F">
        <w:rPr>
          <w:lang w:val="en-GB"/>
        </w:rPr>
        <w:t xml:space="preserve"> the ICT contribut</w:t>
      </w:r>
      <w:r w:rsidR="00DA2AAE">
        <w:rPr>
          <w:lang w:val="en-GB"/>
        </w:rPr>
        <w:t>es to</w:t>
      </w:r>
      <w:r w:rsidR="00CE5B3F" w:rsidRPr="00CE5B3F">
        <w:rPr>
          <w:lang w:val="en-GB"/>
        </w:rPr>
        <w:t xml:space="preserve"> growth a</w:t>
      </w:r>
      <w:r w:rsidR="00D458FE">
        <w:rPr>
          <w:lang w:val="en-GB"/>
        </w:rPr>
        <w:t xml:space="preserve">nd development </w:t>
      </w:r>
      <w:r w:rsidR="00CE5B3F" w:rsidRPr="00CE5B3F">
        <w:rPr>
          <w:lang w:val="en-GB"/>
        </w:rPr>
        <w:t xml:space="preserve">equally in </w:t>
      </w:r>
      <w:r w:rsidR="00D458FE" w:rsidRPr="00CE5B3F">
        <w:rPr>
          <w:lang w:val="en-GB"/>
        </w:rPr>
        <w:t xml:space="preserve">long-standing </w:t>
      </w:r>
      <w:r w:rsidR="00DA2AAE">
        <w:rPr>
          <w:lang w:val="en-GB"/>
        </w:rPr>
        <w:t>member countries</w:t>
      </w:r>
      <w:r w:rsidR="009A629F">
        <w:rPr>
          <w:lang w:val="en-GB"/>
        </w:rPr>
        <w:t>,</w:t>
      </w:r>
      <w:r w:rsidR="00CE5B3F" w:rsidRPr="00CE5B3F">
        <w:rPr>
          <w:lang w:val="en-GB"/>
        </w:rPr>
        <w:t xml:space="preserve"> as opposed to the </w:t>
      </w:r>
      <w:r w:rsidR="00D458FE" w:rsidRPr="00CE5B3F">
        <w:rPr>
          <w:lang w:val="en-GB"/>
        </w:rPr>
        <w:t>new</w:t>
      </w:r>
      <w:r w:rsidR="00CE5B3F" w:rsidRPr="00CE5B3F">
        <w:rPr>
          <w:lang w:val="en-GB"/>
        </w:rPr>
        <w:t xml:space="preserve"> members.</w:t>
      </w:r>
      <w:r w:rsidR="00CE5B3F">
        <w:rPr>
          <w:color w:val="FF0000"/>
          <w:lang w:val="en-GB"/>
        </w:rPr>
        <w:t xml:space="preserve"> </w:t>
      </w:r>
      <w:r w:rsidR="00CE5B3F" w:rsidRPr="00CE5B3F">
        <w:rPr>
          <w:lang w:val="en-GB"/>
        </w:rPr>
        <w:t xml:space="preserve">The results acquired indicate the divide in the </w:t>
      </w:r>
      <w:r w:rsidR="00DA2AAE">
        <w:rPr>
          <w:lang w:val="en-GB"/>
        </w:rPr>
        <w:t>multiplie</w:t>
      </w:r>
      <w:r w:rsidR="00CE5B3F" w:rsidRPr="00CE5B3F">
        <w:rPr>
          <w:lang w:val="en-GB"/>
        </w:rPr>
        <w:t>r values between the new and long-standing members</w:t>
      </w:r>
      <w:r w:rsidR="00CE5B3F">
        <w:rPr>
          <w:color w:val="FF0000"/>
          <w:lang w:val="en-GB"/>
        </w:rPr>
        <w:t xml:space="preserve"> </w:t>
      </w:r>
      <w:r w:rsidR="00CE5B3F" w:rsidRPr="009A629F">
        <w:rPr>
          <w:lang w:val="en-GB"/>
        </w:rPr>
        <w:t>and the conclusion of this analysis is that long-standing members have capitalized the ICT sector</w:t>
      </w:r>
      <w:r w:rsidR="005D62C3">
        <w:rPr>
          <w:lang w:val="en-GB"/>
        </w:rPr>
        <w:t>s</w:t>
      </w:r>
      <w:r w:rsidR="00CE5B3F" w:rsidRPr="009A629F">
        <w:rPr>
          <w:lang w:val="en-GB"/>
        </w:rPr>
        <w:t xml:space="preserve"> potentials</w:t>
      </w:r>
      <w:r w:rsidR="009A629F" w:rsidRPr="009A629F">
        <w:rPr>
          <w:lang w:val="en-GB"/>
        </w:rPr>
        <w:t xml:space="preserve"> more with the purpose of growth and development</w:t>
      </w:r>
      <w:r w:rsidR="009A629F">
        <w:rPr>
          <w:lang w:val="en-GB"/>
        </w:rPr>
        <w:t>,</w:t>
      </w:r>
      <w:r w:rsidR="009A629F" w:rsidRPr="009A629F">
        <w:rPr>
          <w:lang w:val="en-GB"/>
        </w:rPr>
        <w:t xml:space="preserve"> as opposed to the </w:t>
      </w:r>
      <w:proofErr w:type="gramStart"/>
      <w:r w:rsidR="009A629F" w:rsidRPr="009A629F">
        <w:rPr>
          <w:lang w:val="en-GB"/>
        </w:rPr>
        <w:t>members which</w:t>
      </w:r>
      <w:proofErr w:type="gramEnd"/>
      <w:r w:rsidR="009A629F" w:rsidRPr="009A629F">
        <w:rPr>
          <w:lang w:val="en-GB"/>
        </w:rPr>
        <w:t xml:space="preserve"> have subsequently joined the EU. </w:t>
      </w:r>
    </w:p>
    <w:p w:rsidR="000D13B9" w:rsidRDefault="000D13B9" w:rsidP="00991598">
      <w:pPr>
        <w:rPr>
          <w:lang w:val="en-GB"/>
        </w:rPr>
      </w:pPr>
    </w:p>
    <w:p w:rsidR="000D13B9" w:rsidRPr="001C29F5" w:rsidRDefault="000D13B9" w:rsidP="000D13B9">
      <w:pPr>
        <w:autoSpaceDE w:val="0"/>
        <w:autoSpaceDN w:val="0"/>
        <w:adjustRightInd w:val="0"/>
        <w:spacing w:before="0"/>
        <w:rPr>
          <w:b/>
          <w:sz w:val="28"/>
          <w:szCs w:val="28"/>
          <w:lang w:val="hr-HR" w:eastAsia="hr-HR"/>
        </w:rPr>
      </w:pPr>
      <w:proofErr w:type="spellStart"/>
      <w:r w:rsidRPr="001C29F5">
        <w:rPr>
          <w:b/>
          <w:sz w:val="28"/>
          <w:szCs w:val="28"/>
          <w:lang w:val="hr-HR" w:eastAsia="hr-HR"/>
        </w:rPr>
        <w:lastRenderedPageBreak/>
        <w:t>References</w:t>
      </w:r>
      <w:proofErr w:type="spellEnd"/>
    </w:p>
    <w:p w:rsidR="000D13B9" w:rsidRDefault="000D13B9" w:rsidP="000D13B9">
      <w:pPr>
        <w:autoSpaceDE w:val="0"/>
        <w:autoSpaceDN w:val="0"/>
        <w:adjustRightInd w:val="0"/>
        <w:spacing w:before="0"/>
        <w:rPr>
          <w:sz w:val="22"/>
          <w:szCs w:val="22"/>
          <w:lang w:val="hr-HR" w:eastAsia="hr-HR"/>
        </w:rPr>
      </w:pPr>
    </w:p>
    <w:p w:rsidR="000D13B9" w:rsidRPr="00566BD2" w:rsidRDefault="000D13B9" w:rsidP="000D13B9">
      <w:pPr>
        <w:numPr>
          <w:ilvl w:val="0"/>
          <w:numId w:val="16"/>
        </w:numPr>
        <w:rPr>
          <w:lang w:val="en-GB"/>
        </w:rPr>
      </w:pPr>
      <w:r>
        <w:rPr>
          <w:lang w:val="en-GB"/>
        </w:rPr>
        <w:t>Azari, R. and</w:t>
      </w:r>
      <w:r w:rsidRPr="00566BD2">
        <w:rPr>
          <w:lang w:val="en-GB"/>
        </w:rPr>
        <w:t xml:space="preserve"> Pick, J.</w:t>
      </w:r>
      <w:r>
        <w:rPr>
          <w:lang w:val="en-GB"/>
        </w:rPr>
        <w:t xml:space="preserve"> </w:t>
      </w:r>
      <w:r w:rsidRPr="00566BD2">
        <w:rPr>
          <w:lang w:val="en-GB"/>
        </w:rPr>
        <w:t>B. (2005)</w:t>
      </w:r>
      <w:r>
        <w:rPr>
          <w:lang w:val="en-GB"/>
        </w:rPr>
        <w:t>.</w:t>
      </w:r>
      <w:r w:rsidRPr="00566BD2">
        <w:rPr>
          <w:lang w:val="en-GB"/>
        </w:rPr>
        <w:t xml:space="preserve"> Technology and society: socioeconomic influences on technological sectors for United States counties</w:t>
      </w:r>
      <w:r>
        <w:rPr>
          <w:lang w:val="en-GB"/>
        </w:rPr>
        <w:t>.</w:t>
      </w:r>
      <w:r w:rsidRPr="00566BD2">
        <w:rPr>
          <w:lang w:val="en-GB"/>
        </w:rPr>
        <w:t xml:space="preserve"> </w:t>
      </w:r>
      <w:r w:rsidRPr="00F46E53">
        <w:rPr>
          <w:lang w:val="en-GB"/>
        </w:rPr>
        <w:t>International Journal of Information Management</w:t>
      </w:r>
      <w:r>
        <w:rPr>
          <w:lang w:val="en-GB"/>
        </w:rPr>
        <w:t xml:space="preserve">, </w:t>
      </w:r>
      <w:r w:rsidRPr="00566BD2">
        <w:rPr>
          <w:lang w:val="en-GB"/>
        </w:rPr>
        <w:t>25, 21–37.</w:t>
      </w:r>
      <w:r>
        <w:rPr>
          <w:lang w:val="en-GB"/>
        </w:rPr>
        <w:t xml:space="preserve"> </w:t>
      </w:r>
      <w:r w:rsidRPr="00255F42">
        <w:rPr>
          <w:lang w:val="en-GB"/>
        </w:rPr>
        <w:t>doi:10.1016/j.ijinfomgt.2004.10.001</w:t>
      </w:r>
      <w:r>
        <w:rPr>
          <w:lang w:val="en-GB"/>
        </w:rPr>
        <w:t>.</w:t>
      </w:r>
    </w:p>
    <w:p w:rsidR="000D13B9" w:rsidRPr="00D5321A" w:rsidRDefault="000D13B9" w:rsidP="000D13B9">
      <w:pPr>
        <w:pStyle w:val="Odlomakpopisa"/>
        <w:numPr>
          <w:ilvl w:val="0"/>
          <w:numId w:val="16"/>
        </w:numPr>
        <w:autoSpaceDE w:val="0"/>
        <w:autoSpaceDN w:val="0"/>
        <w:adjustRightInd w:val="0"/>
        <w:spacing w:before="0"/>
        <w:rPr>
          <w:lang w:val="en-GB"/>
        </w:rPr>
      </w:pPr>
      <w:proofErr w:type="spellStart"/>
      <w:r w:rsidRPr="00D5321A">
        <w:rPr>
          <w:lang w:val="en-GB"/>
        </w:rPr>
        <w:t>Basu</w:t>
      </w:r>
      <w:proofErr w:type="spellEnd"/>
      <w:r w:rsidRPr="00D5321A">
        <w:rPr>
          <w:lang w:val="en-GB"/>
        </w:rPr>
        <w:t>, S. and Fernald, J. (2006). Information and Communications</w:t>
      </w:r>
      <w:r w:rsidRPr="00D5321A">
        <w:rPr>
          <w:bCs/>
          <w:lang w:val="en-GB"/>
        </w:rPr>
        <w:t xml:space="preserve"> Technology as a General-Purpose Technology: Evidence from U.S Industry Data, </w:t>
      </w:r>
      <w:r w:rsidRPr="00D5321A">
        <w:rPr>
          <w:lang w:val="en-GB"/>
        </w:rPr>
        <w:t>Federal Reserve Bank of San Francisco. http://www.frbsf.org/publications/economics/papers/2006/wp06-29k.pdf [</w:t>
      </w:r>
      <w:r w:rsidRPr="00D5321A">
        <w:rPr>
          <w:rFonts w:eastAsia="Calibri"/>
          <w:lang w:val="en-GB"/>
        </w:rPr>
        <w:t>Accessed</w:t>
      </w:r>
      <w:r w:rsidRPr="00D5321A">
        <w:rPr>
          <w:lang w:val="en-GB"/>
        </w:rPr>
        <w:t xml:space="preserve"> 11/03/13].</w:t>
      </w:r>
    </w:p>
    <w:p w:rsidR="000D13B9" w:rsidRPr="00C67099" w:rsidRDefault="000D13B9" w:rsidP="000D13B9">
      <w:pPr>
        <w:pStyle w:val="Odlomakpopisa"/>
        <w:numPr>
          <w:ilvl w:val="0"/>
          <w:numId w:val="16"/>
        </w:numPr>
        <w:spacing w:before="0" w:after="200" w:line="276" w:lineRule="auto"/>
        <w:contextualSpacing/>
        <w:rPr>
          <w:bCs/>
          <w:lang w:val="en-GB"/>
        </w:rPr>
      </w:pPr>
      <w:proofErr w:type="spellStart"/>
      <w:r w:rsidRPr="00C67099">
        <w:rPr>
          <w:bCs/>
          <w:lang w:val="en-GB"/>
        </w:rPr>
        <w:t>Bazzazan</w:t>
      </w:r>
      <w:proofErr w:type="spellEnd"/>
      <w:r w:rsidRPr="00C67099">
        <w:rPr>
          <w:bCs/>
          <w:lang w:val="en-GB"/>
        </w:rPr>
        <w:t xml:space="preserve">, F. (2009). The Economic Importance of ICT in Iran - Input-Output Approach, </w:t>
      </w:r>
      <w:r w:rsidRPr="00C67099">
        <w:rPr>
          <w:lang w:val="en-GB"/>
        </w:rPr>
        <w:t xml:space="preserve">Paper presented at the </w:t>
      </w:r>
      <w:r w:rsidRPr="00C67099">
        <w:rPr>
          <w:bCs/>
          <w:lang w:val="en-GB"/>
        </w:rPr>
        <w:t xml:space="preserve">International Conference on Information and   Financial Engineering, 17-20 </w:t>
      </w:r>
      <w:proofErr w:type="gramStart"/>
      <w:r w:rsidRPr="00C67099">
        <w:rPr>
          <w:bCs/>
          <w:lang w:val="en-GB"/>
        </w:rPr>
        <w:t>April,</w:t>
      </w:r>
      <w:proofErr w:type="gramEnd"/>
      <w:r w:rsidRPr="00C67099">
        <w:rPr>
          <w:bCs/>
          <w:lang w:val="en-GB"/>
        </w:rPr>
        <w:t xml:space="preserve"> 2009, Singapore. doi:10.1109/ICIFE.2009.11.</w:t>
      </w:r>
    </w:p>
    <w:p w:rsidR="000D13B9" w:rsidRPr="00566BD2" w:rsidRDefault="000D13B9" w:rsidP="000D13B9">
      <w:pPr>
        <w:pStyle w:val="Odlomakpopisa"/>
        <w:numPr>
          <w:ilvl w:val="0"/>
          <w:numId w:val="16"/>
        </w:numPr>
        <w:spacing w:before="0" w:line="276" w:lineRule="auto"/>
        <w:contextualSpacing/>
        <w:rPr>
          <w:lang w:val="en-GB"/>
        </w:rPr>
      </w:pPr>
      <w:r>
        <w:rPr>
          <w:lang w:val="en-GB"/>
        </w:rPr>
        <w:t xml:space="preserve">Bloom, N., </w:t>
      </w:r>
      <w:proofErr w:type="spellStart"/>
      <w:r>
        <w:rPr>
          <w:lang w:val="en-GB"/>
        </w:rPr>
        <w:t>Sadun</w:t>
      </w:r>
      <w:proofErr w:type="spellEnd"/>
      <w:r>
        <w:rPr>
          <w:lang w:val="en-GB"/>
        </w:rPr>
        <w:t>, R., and</w:t>
      </w:r>
      <w:r w:rsidRPr="00566BD2">
        <w:rPr>
          <w:lang w:val="en-GB"/>
        </w:rPr>
        <w:t xml:space="preserve"> Van </w:t>
      </w:r>
      <w:proofErr w:type="spellStart"/>
      <w:r w:rsidRPr="00566BD2">
        <w:rPr>
          <w:lang w:val="en-GB"/>
        </w:rPr>
        <w:t>Reenen</w:t>
      </w:r>
      <w:proofErr w:type="spellEnd"/>
      <w:r w:rsidRPr="00566BD2">
        <w:rPr>
          <w:lang w:val="en-GB"/>
        </w:rPr>
        <w:t>, J. M. (2007)</w:t>
      </w:r>
      <w:r>
        <w:rPr>
          <w:lang w:val="en-GB"/>
        </w:rPr>
        <w:t>.</w:t>
      </w:r>
      <w:r w:rsidRPr="00566BD2">
        <w:rPr>
          <w:lang w:val="en-GB"/>
        </w:rPr>
        <w:t xml:space="preserve"> </w:t>
      </w:r>
      <w:r w:rsidRPr="00BF3BBA">
        <w:rPr>
          <w:lang w:val="en-GB"/>
        </w:rPr>
        <w:t xml:space="preserve">Americans Do I.T. </w:t>
      </w:r>
      <w:proofErr w:type="gramStart"/>
      <w:r w:rsidRPr="00BF3BBA">
        <w:rPr>
          <w:lang w:val="en-GB"/>
        </w:rPr>
        <w:t>Better:</w:t>
      </w:r>
      <w:proofErr w:type="gramEnd"/>
      <w:r w:rsidRPr="00BF3BBA">
        <w:rPr>
          <w:lang w:val="en-GB"/>
        </w:rPr>
        <w:t xml:space="preserve"> US Multinationals and the Productivity Miracle.</w:t>
      </w:r>
      <w:r w:rsidRPr="00566BD2">
        <w:rPr>
          <w:lang w:val="en-GB"/>
        </w:rPr>
        <w:t xml:space="preserve"> SSRN </w:t>
      </w:r>
      <w:proofErr w:type="spellStart"/>
      <w:r w:rsidRPr="00566BD2">
        <w:rPr>
          <w:lang w:val="en-GB"/>
        </w:rPr>
        <w:t>eLibrary</w:t>
      </w:r>
      <w:proofErr w:type="spellEnd"/>
      <w:r w:rsidRPr="00566BD2">
        <w:rPr>
          <w:lang w:val="en-GB"/>
        </w:rPr>
        <w:t>.</w:t>
      </w:r>
      <w:r>
        <w:rPr>
          <w:lang w:val="en-GB"/>
        </w:rPr>
        <w:t xml:space="preserve"> </w:t>
      </w:r>
      <w:proofErr w:type="gramStart"/>
      <w:r>
        <w:rPr>
          <w:lang w:val="en-GB"/>
        </w:rPr>
        <w:t>doi:</w:t>
      </w:r>
      <w:proofErr w:type="gramEnd"/>
      <w:r w:rsidRPr="000B15DB">
        <w:rPr>
          <w:lang w:val="en-GB"/>
        </w:rPr>
        <w:t>10.3386/w13085</w:t>
      </w:r>
      <w:r>
        <w:rPr>
          <w:lang w:val="en-GB"/>
        </w:rPr>
        <w:t>.</w:t>
      </w:r>
    </w:p>
    <w:p w:rsidR="000D13B9" w:rsidRPr="00566BD2" w:rsidRDefault="000D13B9" w:rsidP="000D13B9">
      <w:pPr>
        <w:pStyle w:val="Odlomakpopisa"/>
        <w:numPr>
          <w:ilvl w:val="0"/>
          <w:numId w:val="16"/>
        </w:numPr>
        <w:autoSpaceDE w:val="0"/>
        <w:autoSpaceDN w:val="0"/>
        <w:adjustRightInd w:val="0"/>
        <w:spacing w:before="0" w:line="276" w:lineRule="auto"/>
        <w:contextualSpacing/>
        <w:rPr>
          <w:lang w:val="en-GB"/>
        </w:rPr>
      </w:pPr>
      <w:proofErr w:type="spellStart"/>
      <w:r w:rsidRPr="00566BD2">
        <w:rPr>
          <w:lang w:val="en-GB"/>
        </w:rPr>
        <w:t>Bresn</w:t>
      </w:r>
      <w:r>
        <w:rPr>
          <w:lang w:val="en-GB"/>
        </w:rPr>
        <w:t>ahan</w:t>
      </w:r>
      <w:proofErr w:type="spellEnd"/>
      <w:r>
        <w:rPr>
          <w:lang w:val="en-GB"/>
        </w:rPr>
        <w:t xml:space="preserve">, T. F. and </w:t>
      </w:r>
      <w:proofErr w:type="spellStart"/>
      <w:r>
        <w:rPr>
          <w:lang w:val="en-GB"/>
        </w:rPr>
        <w:t>Trajtenberg</w:t>
      </w:r>
      <w:proofErr w:type="spellEnd"/>
      <w:r>
        <w:rPr>
          <w:lang w:val="en-GB"/>
        </w:rPr>
        <w:t>, M.</w:t>
      </w:r>
      <w:r w:rsidRPr="00566BD2">
        <w:rPr>
          <w:lang w:val="en-GB"/>
        </w:rPr>
        <w:t xml:space="preserve"> </w:t>
      </w:r>
      <w:r>
        <w:rPr>
          <w:lang w:val="en-GB"/>
        </w:rPr>
        <w:t>(</w:t>
      </w:r>
      <w:r w:rsidRPr="00566BD2">
        <w:rPr>
          <w:lang w:val="en-GB"/>
        </w:rPr>
        <w:t>1995</w:t>
      </w:r>
      <w:r>
        <w:rPr>
          <w:lang w:val="en-GB"/>
        </w:rPr>
        <w:t>)</w:t>
      </w:r>
      <w:r w:rsidRPr="00566BD2">
        <w:rPr>
          <w:lang w:val="en-GB"/>
        </w:rPr>
        <w:t>.</w:t>
      </w:r>
      <w:r>
        <w:rPr>
          <w:lang w:val="en-GB"/>
        </w:rPr>
        <w:t xml:space="preserve"> </w:t>
      </w:r>
      <w:proofErr w:type="gramStart"/>
      <w:r>
        <w:rPr>
          <w:lang w:val="en-GB"/>
        </w:rPr>
        <w:t>General purpose</w:t>
      </w:r>
      <w:proofErr w:type="gramEnd"/>
      <w:r>
        <w:rPr>
          <w:lang w:val="en-GB"/>
        </w:rPr>
        <w:t xml:space="preserve"> technologies: E</w:t>
      </w:r>
      <w:r w:rsidRPr="00566BD2">
        <w:rPr>
          <w:lang w:val="en-GB"/>
        </w:rPr>
        <w:t>ngines of growth. Journal of Econometrics</w:t>
      </w:r>
      <w:r>
        <w:rPr>
          <w:lang w:val="en-GB"/>
        </w:rPr>
        <w:t>,</w:t>
      </w:r>
      <w:r w:rsidRPr="00566BD2">
        <w:rPr>
          <w:lang w:val="en-GB"/>
        </w:rPr>
        <w:t xml:space="preserve"> 65, 83-108.</w:t>
      </w:r>
      <w:r>
        <w:rPr>
          <w:lang w:val="en-GB"/>
        </w:rPr>
        <w:t xml:space="preserve"> </w:t>
      </w:r>
      <w:proofErr w:type="gramStart"/>
      <w:r w:rsidRPr="000B2C60">
        <w:rPr>
          <w:lang w:val="en-GB"/>
        </w:rPr>
        <w:t>doi:</w:t>
      </w:r>
      <w:proofErr w:type="gramEnd"/>
      <w:r w:rsidRPr="000B2C60">
        <w:rPr>
          <w:lang w:val="en-GB"/>
        </w:rPr>
        <w:t>10.1016/0304-4076(94)01598-T</w:t>
      </w:r>
      <w:r>
        <w:rPr>
          <w:lang w:val="en-GB"/>
        </w:rPr>
        <w:t>.</w:t>
      </w:r>
    </w:p>
    <w:p w:rsidR="000D13B9" w:rsidRPr="00D5321A" w:rsidRDefault="000D13B9" w:rsidP="000D13B9">
      <w:pPr>
        <w:pStyle w:val="Odlomakpopisa"/>
        <w:numPr>
          <w:ilvl w:val="0"/>
          <w:numId w:val="16"/>
        </w:numPr>
        <w:autoSpaceDE w:val="0"/>
        <w:autoSpaceDN w:val="0"/>
        <w:adjustRightInd w:val="0"/>
        <w:spacing w:before="0"/>
        <w:rPr>
          <w:lang w:val="en-GB"/>
        </w:rPr>
      </w:pPr>
      <w:r w:rsidRPr="00D5321A">
        <w:rPr>
          <w:lang w:val="en-GB"/>
        </w:rPr>
        <w:t>Burrows, L. R. and Botha A. P. (2013). Explaining the changing input-output multipliers in South African: 1980-2010, Paper presented at the Biennial Conference of the Ec</w:t>
      </w:r>
      <w:r>
        <w:rPr>
          <w:lang w:val="en-GB"/>
        </w:rPr>
        <w:t>onomic Society of South Africa,</w:t>
      </w:r>
      <w:r w:rsidRPr="00D5321A">
        <w:rPr>
          <w:lang w:val="en-GB"/>
        </w:rPr>
        <w:t xml:space="preserve"> 25-27 September 2013, Bloemfontein.</w:t>
      </w:r>
    </w:p>
    <w:p w:rsidR="000D13B9" w:rsidRPr="00566BD2" w:rsidRDefault="000D13B9" w:rsidP="000D13B9">
      <w:pPr>
        <w:pStyle w:val="Odlomakpopisa"/>
        <w:numPr>
          <w:ilvl w:val="0"/>
          <w:numId w:val="16"/>
        </w:numPr>
        <w:autoSpaceDE w:val="0"/>
        <w:autoSpaceDN w:val="0"/>
        <w:adjustRightInd w:val="0"/>
        <w:spacing w:before="0"/>
        <w:rPr>
          <w:lang w:val="en-GB"/>
        </w:rPr>
      </w:pPr>
      <w:proofErr w:type="spellStart"/>
      <w:r w:rsidRPr="00566BD2">
        <w:rPr>
          <w:lang w:val="en-GB"/>
        </w:rPr>
        <w:t>Buturac</w:t>
      </w:r>
      <w:proofErr w:type="spellEnd"/>
      <w:r>
        <w:rPr>
          <w:lang w:val="en-GB"/>
        </w:rPr>
        <w:t>,</w:t>
      </w:r>
      <w:r w:rsidRPr="00566BD2">
        <w:rPr>
          <w:lang w:val="en-GB"/>
        </w:rPr>
        <w:t xml:space="preserve"> G., </w:t>
      </w:r>
      <w:proofErr w:type="spellStart"/>
      <w:r w:rsidRPr="00566BD2">
        <w:rPr>
          <w:lang w:val="en-GB"/>
        </w:rPr>
        <w:t>Lovrinčević</w:t>
      </w:r>
      <w:proofErr w:type="spellEnd"/>
      <w:r>
        <w:rPr>
          <w:lang w:val="en-GB"/>
        </w:rPr>
        <w:t>,</w:t>
      </w:r>
      <w:r w:rsidRPr="00566BD2">
        <w:rPr>
          <w:lang w:val="en-GB"/>
        </w:rPr>
        <w:t xml:space="preserve"> </w:t>
      </w:r>
      <w:proofErr w:type="gramStart"/>
      <w:r w:rsidRPr="00566BD2">
        <w:rPr>
          <w:lang w:val="en-GB"/>
        </w:rPr>
        <w:t>Ž.,</w:t>
      </w:r>
      <w:proofErr w:type="gramEnd"/>
      <w:r>
        <w:rPr>
          <w:lang w:val="en-GB"/>
        </w:rPr>
        <w:t xml:space="preserve"> and</w:t>
      </w:r>
      <w:r w:rsidRPr="00566BD2">
        <w:rPr>
          <w:lang w:val="en-GB"/>
        </w:rPr>
        <w:t xml:space="preserve"> </w:t>
      </w:r>
      <w:proofErr w:type="spellStart"/>
      <w:r w:rsidRPr="00566BD2">
        <w:rPr>
          <w:lang w:val="en-GB"/>
        </w:rPr>
        <w:t>Mikulić</w:t>
      </w:r>
      <w:proofErr w:type="spellEnd"/>
      <w:r>
        <w:rPr>
          <w:lang w:val="en-GB"/>
        </w:rPr>
        <w:t>,</w:t>
      </w:r>
      <w:r w:rsidRPr="00566BD2">
        <w:rPr>
          <w:lang w:val="en-GB"/>
        </w:rPr>
        <w:t xml:space="preserve"> D. </w:t>
      </w:r>
      <w:r>
        <w:rPr>
          <w:lang w:val="en-GB"/>
        </w:rPr>
        <w:t>(2014).</w:t>
      </w:r>
      <w:r w:rsidRPr="00566BD2">
        <w:rPr>
          <w:lang w:val="en-GB"/>
        </w:rPr>
        <w:t xml:space="preserve"> </w:t>
      </w:r>
      <w:proofErr w:type="spellStart"/>
      <w:r w:rsidRPr="00566BD2">
        <w:rPr>
          <w:lang w:val="en-GB"/>
        </w:rPr>
        <w:t>Hrvatska</w:t>
      </w:r>
      <w:proofErr w:type="spellEnd"/>
      <w:r w:rsidRPr="00566BD2">
        <w:rPr>
          <w:lang w:val="en-GB"/>
        </w:rPr>
        <w:t xml:space="preserve"> </w:t>
      </w:r>
      <w:proofErr w:type="spellStart"/>
      <w:r w:rsidRPr="00566BD2">
        <w:rPr>
          <w:lang w:val="en-GB"/>
        </w:rPr>
        <w:t>tekstilna</w:t>
      </w:r>
      <w:proofErr w:type="spellEnd"/>
      <w:r w:rsidRPr="00566BD2">
        <w:rPr>
          <w:lang w:val="en-GB"/>
        </w:rPr>
        <w:t xml:space="preserve"> </w:t>
      </w:r>
      <w:proofErr w:type="spellStart"/>
      <w:r w:rsidRPr="00566BD2">
        <w:rPr>
          <w:lang w:val="en-GB"/>
        </w:rPr>
        <w:t>industrija</w:t>
      </w:r>
      <w:proofErr w:type="spellEnd"/>
      <w:r w:rsidRPr="00566BD2">
        <w:rPr>
          <w:lang w:val="en-GB"/>
        </w:rPr>
        <w:t xml:space="preserve"> u </w:t>
      </w:r>
      <w:proofErr w:type="spellStart"/>
      <w:r w:rsidRPr="00566BD2">
        <w:rPr>
          <w:lang w:val="en-GB"/>
        </w:rPr>
        <w:t>Europskoj</w:t>
      </w:r>
      <w:proofErr w:type="spellEnd"/>
      <w:r w:rsidRPr="00566BD2">
        <w:rPr>
          <w:lang w:val="en-GB"/>
        </w:rPr>
        <w:t xml:space="preserve"> </w:t>
      </w:r>
      <w:proofErr w:type="spellStart"/>
      <w:r w:rsidRPr="00566BD2">
        <w:rPr>
          <w:lang w:val="en-GB"/>
        </w:rPr>
        <w:t>uniji</w:t>
      </w:r>
      <w:proofErr w:type="spellEnd"/>
      <w:r w:rsidRPr="00566BD2">
        <w:rPr>
          <w:lang w:val="en-GB"/>
        </w:rPr>
        <w:t xml:space="preserve"> - </w:t>
      </w:r>
      <w:proofErr w:type="spellStart"/>
      <w:r w:rsidRPr="00566BD2">
        <w:rPr>
          <w:lang w:val="en-GB"/>
        </w:rPr>
        <w:t>konkurentnost</w:t>
      </w:r>
      <w:proofErr w:type="spellEnd"/>
      <w:r w:rsidRPr="00566BD2">
        <w:rPr>
          <w:lang w:val="en-GB"/>
        </w:rPr>
        <w:t xml:space="preserve"> </w:t>
      </w:r>
      <w:proofErr w:type="spellStart"/>
      <w:r w:rsidRPr="00566BD2">
        <w:rPr>
          <w:lang w:val="en-GB"/>
        </w:rPr>
        <w:t>i</w:t>
      </w:r>
      <w:proofErr w:type="spellEnd"/>
      <w:r w:rsidRPr="00566BD2">
        <w:rPr>
          <w:lang w:val="en-GB"/>
        </w:rPr>
        <w:t xml:space="preserve"> </w:t>
      </w:r>
      <w:proofErr w:type="spellStart"/>
      <w:r w:rsidRPr="00566BD2">
        <w:rPr>
          <w:lang w:val="en-GB"/>
        </w:rPr>
        <w:t>z</w:t>
      </w:r>
      <w:r>
        <w:rPr>
          <w:lang w:val="en-GB"/>
        </w:rPr>
        <w:t>načenje</w:t>
      </w:r>
      <w:proofErr w:type="spellEnd"/>
      <w:r>
        <w:rPr>
          <w:lang w:val="en-GB"/>
        </w:rPr>
        <w:t xml:space="preserve"> </w:t>
      </w:r>
      <w:proofErr w:type="spellStart"/>
      <w:r>
        <w:rPr>
          <w:lang w:val="en-GB"/>
        </w:rPr>
        <w:t>za</w:t>
      </w:r>
      <w:proofErr w:type="spellEnd"/>
      <w:r>
        <w:rPr>
          <w:lang w:val="en-GB"/>
        </w:rPr>
        <w:t xml:space="preserve"> </w:t>
      </w:r>
      <w:proofErr w:type="spellStart"/>
      <w:r>
        <w:rPr>
          <w:lang w:val="en-GB"/>
        </w:rPr>
        <w:t>ukupno</w:t>
      </w:r>
      <w:proofErr w:type="spellEnd"/>
      <w:r>
        <w:rPr>
          <w:lang w:val="en-GB"/>
        </w:rPr>
        <w:t xml:space="preserve"> </w:t>
      </w:r>
      <w:proofErr w:type="spellStart"/>
      <w:r>
        <w:rPr>
          <w:lang w:val="en-GB"/>
        </w:rPr>
        <w:t>gospodarstvo</w:t>
      </w:r>
      <w:proofErr w:type="spellEnd"/>
      <w:r>
        <w:rPr>
          <w:lang w:val="en-GB"/>
        </w:rPr>
        <w:t>.</w:t>
      </w:r>
      <w:r w:rsidRPr="00566BD2">
        <w:rPr>
          <w:lang w:val="en-GB"/>
        </w:rPr>
        <w:t xml:space="preserve"> </w:t>
      </w:r>
      <w:proofErr w:type="spellStart"/>
      <w:r w:rsidRPr="00566BD2">
        <w:rPr>
          <w:lang w:val="en-GB"/>
        </w:rPr>
        <w:t>Tekstil</w:t>
      </w:r>
      <w:proofErr w:type="spellEnd"/>
      <w:r w:rsidRPr="00566BD2">
        <w:rPr>
          <w:lang w:val="en-GB"/>
        </w:rPr>
        <w:t>, 63(3-4), 113-125</w:t>
      </w:r>
      <w:r>
        <w:rPr>
          <w:lang w:val="en-GB"/>
        </w:rPr>
        <w:t>.</w:t>
      </w:r>
    </w:p>
    <w:p w:rsidR="000D13B9" w:rsidRPr="00566BD2" w:rsidRDefault="000D13B9" w:rsidP="000D13B9">
      <w:pPr>
        <w:pStyle w:val="Odlomakpopisa"/>
        <w:numPr>
          <w:ilvl w:val="0"/>
          <w:numId w:val="16"/>
        </w:numPr>
        <w:spacing w:before="0" w:after="200" w:line="276" w:lineRule="auto"/>
        <w:contextualSpacing/>
        <w:rPr>
          <w:lang w:val="en-GB"/>
        </w:rPr>
      </w:pPr>
      <w:proofErr w:type="spellStart"/>
      <w:r w:rsidRPr="00566BD2">
        <w:rPr>
          <w:lang w:val="en-GB"/>
        </w:rPr>
        <w:t>Buturac</w:t>
      </w:r>
      <w:proofErr w:type="spellEnd"/>
      <w:r>
        <w:rPr>
          <w:lang w:val="en-GB"/>
        </w:rPr>
        <w:t>, G. and</w:t>
      </w:r>
      <w:r w:rsidRPr="00566BD2">
        <w:rPr>
          <w:lang w:val="en-GB"/>
        </w:rPr>
        <w:t xml:space="preserve"> </w:t>
      </w:r>
      <w:proofErr w:type="spellStart"/>
      <w:r w:rsidRPr="00566BD2">
        <w:rPr>
          <w:lang w:val="en-GB"/>
        </w:rPr>
        <w:t>Vizek</w:t>
      </w:r>
      <w:proofErr w:type="spellEnd"/>
      <w:r>
        <w:rPr>
          <w:lang w:val="en-GB"/>
        </w:rPr>
        <w:t>,</w:t>
      </w:r>
      <w:r w:rsidRPr="00566BD2">
        <w:rPr>
          <w:lang w:val="en-GB"/>
        </w:rPr>
        <w:t xml:space="preserve"> M. </w:t>
      </w:r>
      <w:r>
        <w:rPr>
          <w:lang w:val="en-GB"/>
        </w:rPr>
        <w:t>(2015).</w:t>
      </w:r>
      <w:r w:rsidRPr="00566BD2">
        <w:rPr>
          <w:lang w:val="en-GB"/>
        </w:rPr>
        <w:t xml:space="preserve"> </w:t>
      </w:r>
      <w:proofErr w:type="spellStart"/>
      <w:r w:rsidRPr="00566BD2">
        <w:rPr>
          <w:lang w:val="en-GB"/>
        </w:rPr>
        <w:t>Izvoz</w:t>
      </w:r>
      <w:proofErr w:type="spellEnd"/>
      <w:r w:rsidRPr="00566BD2">
        <w:rPr>
          <w:lang w:val="en-GB"/>
        </w:rPr>
        <w:t xml:space="preserve"> </w:t>
      </w:r>
      <w:proofErr w:type="spellStart"/>
      <w:r w:rsidRPr="00566BD2">
        <w:rPr>
          <w:lang w:val="en-GB"/>
        </w:rPr>
        <w:t>prehrambene</w:t>
      </w:r>
      <w:proofErr w:type="spellEnd"/>
      <w:r w:rsidRPr="00566BD2">
        <w:rPr>
          <w:lang w:val="en-GB"/>
        </w:rPr>
        <w:t xml:space="preserve"> </w:t>
      </w:r>
      <w:proofErr w:type="spellStart"/>
      <w:r w:rsidRPr="00566BD2">
        <w:rPr>
          <w:lang w:val="en-GB"/>
        </w:rPr>
        <w:t>industrije</w:t>
      </w:r>
      <w:proofErr w:type="spellEnd"/>
      <w:r w:rsidRPr="00566BD2">
        <w:rPr>
          <w:lang w:val="en-GB"/>
        </w:rPr>
        <w:t xml:space="preserve"> </w:t>
      </w:r>
      <w:proofErr w:type="spellStart"/>
      <w:r w:rsidRPr="00566BD2">
        <w:rPr>
          <w:lang w:val="en-GB"/>
        </w:rPr>
        <w:t>i</w:t>
      </w:r>
      <w:proofErr w:type="spellEnd"/>
      <w:r w:rsidRPr="00566BD2">
        <w:rPr>
          <w:lang w:val="en-GB"/>
        </w:rPr>
        <w:t xml:space="preserve"> </w:t>
      </w:r>
      <w:proofErr w:type="spellStart"/>
      <w:r w:rsidRPr="00566BD2">
        <w:rPr>
          <w:lang w:val="en-GB"/>
        </w:rPr>
        <w:t>učinci</w:t>
      </w:r>
      <w:proofErr w:type="spellEnd"/>
      <w:r w:rsidRPr="00566BD2">
        <w:rPr>
          <w:lang w:val="en-GB"/>
        </w:rPr>
        <w:t xml:space="preserve"> </w:t>
      </w:r>
      <w:proofErr w:type="spellStart"/>
      <w:proofErr w:type="gramStart"/>
      <w:r w:rsidRPr="00566BD2">
        <w:rPr>
          <w:lang w:val="en-GB"/>
        </w:rPr>
        <w:t>n</w:t>
      </w:r>
      <w:r>
        <w:rPr>
          <w:lang w:val="en-GB"/>
        </w:rPr>
        <w:t>a</w:t>
      </w:r>
      <w:proofErr w:type="spellEnd"/>
      <w:proofErr w:type="gramEnd"/>
      <w:r>
        <w:rPr>
          <w:lang w:val="en-GB"/>
        </w:rPr>
        <w:t xml:space="preserve"> </w:t>
      </w:r>
      <w:proofErr w:type="spellStart"/>
      <w:r>
        <w:rPr>
          <w:lang w:val="en-GB"/>
        </w:rPr>
        <w:t>gospodarstvo</w:t>
      </w:r>
      <w:proofErr w:type="spellEnd"/>
      <w:r>
        <w:rPr>
          <w:lang w:val="en-GB"/>
        </w:rPr>
        <w:t xml:space="preserve">: </w:t>
      </w:r>
      <w:proofErr w:type="spellStart"/>
      <w:r>
        <w:rPr>
          <w:lang w:val="en-GB"/>
        </w:rPr>
        <w:t>slučaj</w:t>
      </w:r>
      <w:proofErr w:type="spellEnd"/>
      <w:r>
        <w:rPr>
          <w:lang w:val="en-GB"/>
        </w:rPr>
        <w:t xml:space="preserve"> </w:t>
      </w:r>
      <w:proofErr w:type="spellStart"/>
      <w:r>
        <w:rPr>
          <w:lang w:val="en-GB"/>
        </w:rPr>
        <w:t>Hrvatske</w:t>
      </w:r>
      <w:proofErr w:type="spellEnd"/>
      <w:r>
        <w:rPr>
          <w:lang w:val="en-GB"/>
        </w:rPr>
        <w:t>.</w:t>
      </w:r>
      <w:r w:rsidRPr="00566BD2">
        <w:rPr>
          <w:lang w:val="en-GB"/>
        </w:rPr>
        <w:t xml:space="preserve"> </w:t>
      </w:r>
      <w:proofErr w:type="spellStart"/>
      <w:r w:rsidRPr="00566BD2">
        <w:rPr>
          <w:lang w:val="en-GB"/>
        </w:rPr>
        <w:t>Ekonomski</w:t>
      </w:r>
      <w:proofErr w:type="spellEnd"/>
      <w:r w:rsidRPr="00566BD2">
        <w:rPr>
          <w:lang w:val="en-GB"/>
        </w:rPr>
        <w:t xml:space="preserve"> </w:t>
      </w:r>
      <w:proofErr w:type="spellStart"/>
      <w:r w:rsidRPr="00566BD2">
        <w:rPr>
          <w:lang w:val="en-GB"/>
        </w:rPr>
        <w:t>pregled</w:t>
      </w:r>
      <w:proofErr w:type="spellEnd"/>
      <w:r w:rsidRPr="00566BD2">
        <w:rPr>
          <w:lang w:val="en-GB"/>
        </w:rPr>
        <w:t xml:space="preserve">, </w:t>
      </w:r>
      <w:r>
        <w:rPr>
          <w:lang w:val="en-GB"/>
        </w:rPr>
        <w:t>66</w:t>
      </w:r>
      <w:r w:rsidRPr="00566BD2">
        <w:rPr>
          <w:lang w:val="en-GB"/>
        </w:rPr>
        <w:t xml:space="preserve">(3), </w:t>
      </w:r>
      <w:r>
        <w:rPr>
          <w:lang w:val="en-GB"/>
        </w:rPr>
        <w:t>2</w:t>
      </w:r>
      <w:r w:rsidRPr="00566BD2">
        <w:rPr>
          <w:lang w:val="en-GB"/>
        </w:rPr>
        <w:t>03-230</w:t>
      </w:r>
      <w:r>
        <w:rPr>
          <w:lang w:val="en-GB"/>
        </w:rPr>
        <w:t>.</w:t>
      </w:r>
    </w:p>
    <w:p w:rsidR="000D13B9" w:rsidRDefault="000D13B9" w:rsidP="000D13B9">
      <w:pPr>
        <w:pStyle w:val="Odlomakpopisa"/>
        <w:numPr>
          <w:ilvl w:val="0"/>
          <w:numId w:val="16"/>
        </w:numPr>
        <w:spacing w:before="0" w:line="276" w:lineRule="auto"/>
        <w:contextualSpacing/>
        <w:rPr>
          <w:lang w:val="en-GB"/>
        </w:rPr>
      </w:pPr>
      <w:proofErr w:type="spellStart"/>
      <w:r w:rsidRPr="00566BD2">
        <w:rPr>
          <w:lang w:val="en-GB"/>
        </w:rPr>
        <w:t>Ceccobelli</w:t>
      </w:r>
      <w:proofErr w:type="spellEnd"/>
      <w:r w:rsidRPr="00566BD2">
        <w:rPr>
          <w:lang w:val="en-GB"/>
        </w:rPr>
        <w:t xml:space="preserve">, M., </w:t>
      </w:r>
      <w:proofErr w:type="spellStart"/>
      <w:r w:rsidRPr="00566BD2">
        <w:rPr>
          <w:lang w:val="en-GB"/>
        </w:rPr>
        <w:t>Gitto</w:t>
      </w:r>
      <w:proofErr w:type="spellEnd"/>
      <w:r w:rsidRPr="00566BD2">
        <w:rPr>
          <w:lang w:val="en-GB"/>
        </w:rPr>
        <w:t xml:space="preserve">, S., </w:t>
      </w:r>
      <w:r>
        <w:rPr>
          <w:lang w:val="en-GB"/>
        </w:rPr>
        <w:t xml:space="preserve">and </w:t>
      </w:r>
      <w:r w:rsidRPr="00566BD2">
        <w:rPr>
          <w:lang w:val="en-GB"/>
        </w:rPr>
        <w:t xml:space="preserve">Mancuso, P. (2012). ICT capital and labour productivity growth: A non-parametric analysis of 14 OECD countries. </w:t>
      </w:r>
      <w:r w:rsidRPr="00BF3BBA">
        <w:rPr>
          <w:lang w:val="en-GB"/>
        </w:rPr>
        <w:t>Telecommunications Policy</w:t>
      </w:r>
      <w:r>
        <w:rPr>
          <w:lang w:val="en-GB"/>
        </w:rPr>
        <w:t xml:space="preserve">, </w:t>
      </w:r>
      <w:r w:rsidRPr="00566BD2">
        <w:rPr>
          <w:lang w:val="en-GB"/>
        </w:rPr>
        <w:t>36(4), 282-292.</w:t>
      </w:r>
      <w:r>
        <w:rPr>
          <w:lang w:val="en-GB"/>
        </w:rPr>
        <w:t xml:space="preserve"> </w:t>
      </w:r>
      <w:r w:rsidRPr="005206ED">
        <w:rPr>
          <w:lang w:val="en-GB"/>
        </w:rPr>
        <w:t>doi:10.1016/j.telpol.2011.12.012</w:t>
      </w:r>
      <w:r>
        <w:rPr>
          <w:lang w:val="en-GB"/>
        </w:rPr>
        <w:t>.</w:t>
      </w:r>
    </w:p>
    <w:p w:rsidR="000D13B9" w:rsidRPr="00D5321A" w:rsidRDefault="000D13B9" w:rsidP="000D13B9">
      <w:pPr>
        <w:pStyle w:val="Odlomakpopisa"/>
        <w:numPr>
          <w:ilvl w:val="0"/>
          <w:numId w:val="16"/>
        </w:numPr>
        <w:spacing w:before="0" w:line="276" w:lineRule="auto"/>
        <w:contextualSpacing/>
        <w:rPr>
          <w:lang w:val="en-GB"/>
        </w:rPr>
      </w:pPr>
      <w:r w:rsidRPr="00D5321A">
        <w:rPr>
          <w:lang w:val="en-GB"/>
        </w:rPr>
        <w:t xml:space="preserve">Croatian Bureau of Statistics. </w:t>
      </w:r>
      <w:hyperlink r:id="rId8" w:history="1">
        <w:r w:rsidRPr="00D5321A">
          <w:rPr>
            <w:rStyle w:val="Hiperveza"/>
            <w:color w:val="auto"/>
            <w:u w:val="none"/>
            <w:lang w:val="en-GB"/>
          </w:rPr>
          <w:t>www.dzs.hr</w:t>
        </w:r>
      </w:hyperlink>
      <w:r w:rsidRPr="00D5321A">
        <w:rPr>
          <w:lang w:val="en-GB"/>
        </w:rPr>
        <w:t xml:space="preserve"> [Accessed 15/11/15].</w:t>
      </w:r>
    </w:p>
    <w:p w:rsidR="000D13B9" w:rsidRPr="00566BD2" w:rsidRDefault="000D13B9" w:rsidP="000D13B9">
      <w:pPr>
        <w:pStyle w:val="Odlomakpopisa"/>
        <w:numPr>
          <w:ilvl w:val="0"/>
          <w:numId w:val="16"/>
        </w:numPr>
        <w:autoSpaceDE w:val="0"/>
        <w:autoSpaceDN w:val="0"/>
        <w:adjustRightInd w:val="0"/>
        <w:spacing w:before="0" w:line="276" w:lineRule="auto"/>
        <w:contextualSpacing/>
        <w:rPr>
          <w:bCs/>
          <w:lang w:val="en-GB"/>
        </w:rPr>
      </w:pPr>
      <w:proofErr w:type="spellStart"/>
      <w:r w:rsidRPr="00566BD2">
        <w:rPr>
          <w:lang w:val="en-GB"/>
        </w:rPr>
        <w:t>Daveri</w:t>
      </w:r>
      <w:proofErr w:type="spellEnd"/>
      <w:r w:rsidRPr="00566BD2">
        <w:rPr>
          <w:lang w:val="en-GB"/>
        </w:rPr>
        <w:t>, F. (2002)</w:t>
      </w:r>
      <w:r>
        <w:rPr>
          <w:lang w:val="en-GB"/>
        </w:rPr>
        <w:t>.</w:t>
      </w:r>
      <w:r w:rsidRPr="00566BD2">
        <w:rPr>
          <w:lang w:val="en-GB"/>
        </w:rPr>
        <w:t xml:space="preserve"> The New Economy in Europe, 1992-2001. </w:t>
      </w:r>
      <w:r w:rsidRPr="00BF3BBA">
        <w:rPr>
          <w:lang w:val="en-GB"/>
        </w:rPr>
        <w:t>Oxford Review of Economic Policy</w:t>
      </w:r>
      <w:r>
        <w:rPr>
          <w:lang w:val="en-GB"/>
        </w:rPr>
        <w:t xml:space="preserve">, </w:t>
      </w:r>
      <w:r w:rsidRPr="00566BD2">
        <w:rPr>
          <w:lang w:val="en-GB"/>
        </w:rPr>
        <w:t>18(3), 345–362.</w:t>
      </w:r>
      <w:r>
        <w:rPr>
          <w:lang w:val="en-GB"/>
        </w:rPr>
        <w:t xml:space="preserve"> doi:</w:t>
      </w:r>
      <w:r w:rsidRPr="00A756C6">
        <w:rPr>
          <w:lang w:val="en-GB"/>
        </w:rPr>
        <w:t>10.1093/</w:t>
      </w:r>
      <w:proofErr w:type="spellStart"/>
      <w:r w:rsidRPr="00A756C6">
        <w:rPr>
          <w:lang w:val="en-GB"/>
        </w:rPr>
        <w:t>oxrep</w:t>
      </w:r>
      <w:proofErr w:type="spellEnd"/>
      <w:r w:rsidRPr="00A756C6">
        <w:rPr>
          <w:lang w:val="en-GB"/>
        </w:rPr>
        <w:t>/18.3.345</w:t>
      </w:r>
      <w:r>
        <w:rPr>
          <w:lang w:val="en-GB"/>
        </w:rPr>
        <w:t>.</w:t>
      </w:r>
    </w:p>
    <w:p w:rsidR="000D13B9" w:rsidRPr="00566BD2" w:rsidRDefault="000D13B9" w:rsidP="000D13B9">
      <w:pPr>
        <w:pStyle w:val="Odlomakpopisa"/>
        <w:numPr>
          <w:ilvl w:val="0"/>
          <w:numId w:val="16"/>
        </w:numPr>
        <w:spacing w:before="0" w:line="276" w:lineRule="auto"/>
        <w:contextualSpacing/>
        <w:rPr>
          <w:lang w:val="en-GB"/>
        </w:rPr>
      </w:pPr>
      <w:proofErr w:type="spellStart"/>
      <w:r w:rsidRPr="00566BD2">
        <w:rPr>
          <w:lang w:val="en-GB"/>
        </w:rPr>
        <w:t>Daveri</w:t>
      </w:r>
      <w:proofErr w:type="spellEnd"/>
      <w:r w:rsidRPr="00566BD2">
        <w:rPr>
          <w:lang w:val="en-GB"/>
        </w:rPr>
        <w:t>, F. (2004)</w:t>
      </w:r>
      <w:r>
        <w:rPr>
          <w:lang w:val="en-GB"/>
        </w:rPr>
        <w:t>.</w:t>
      </w:r>
      <w:r w:rsidRPr="00566BD2">
        <w:rPr>
          <w:lang w:val="en-GB"/>
        </w:rPr>
        <w:t xml:space="preserve"> Why Is There a Productivity Problem in Europe?</w:t>
      </w:r>
      <w:r>
        <w:rPr>
          <w:lang w:val="en-GB"/>
        </w:rPr>
        <w:t xml:space="preserve"> CEPS. Working Document</w:t>
      </w:r>
      <w:r w:rsidRPr="00566BD2">
        <w:rPr>
          <w:lang w:val="en-GB"/>
        </w:rPr>
        <w:t xml:space="preserve"> No. 205</w:t>
      </w:r>
      <w:r>
        <w:rPr>
          <w:lang w:val="en-GB"/>
        </w:rPr>
        <w:t xml:space="preserve">, </w:t>
      </w:r>
      <w:proofErr w:type="spellStart"/>
      <w:r w:rsidRPr="00566BD2">
        <w:rPr>
          <w:lang w:val="en-GB"/>
        </w:rPr>
        <w:t>Bruxelles</w:t>
      </w:r>
      <w:proofErr w:type="spellEnd"/>
      <w:r w:rsidRPr="00566BD2">
        <w:rPr>
          <w:lang w:val="en-GB"/>
        </w:rPr>
        <w:t>.</w:t>
      </w:r>
    </w:p>
    <w:p w:rsidR="000D13B9" w:rsidRPr="00D5321A" w:rsidRDefault="000D13B9" w:rsidP="000D13B9">
      <w:pPr>
        <w:pStyle w:val="Odlomakpopisa"/>
        <w:numPr>
          <w:ilvl w:val="0"/>
          <w:numId w:val="16"/>
        </w:numPr>
        <w:autoSpaceDE w:val="0"/>
        <w:autoSpaceDN w:val="0"/>
        <w:adjustRightInd w:val="0"/>
        <w:spacing w:before="0" w:line="276" w:lineRule="auto"/>
        <w:contextualSpacing/>
        <w:rPr>
          <w:bCs/>
          <w:lang w:val="en-GB"/>
        </w:rPr>
      </w:pPr>
      <w:r w:rsidRPr="00D5321A">
        <w:rPr>
          <w:lang w:val="en-GB"/>
        </w:rPr>
        <w:t>Department of Economic and Social Affairs. (2008). International Standard Industrial Classification of All Economic Activities. United Nations. Statistical papers, Series M No. 4/Rev.4, Revision 4, New York.</w:t>
      </w:r>
    </w:p>
    <w:p w:rsidR="000D13B9" w:rsidRPr="00FB6E7F" w:rsidRDefault="000D13B9" w:rsidP="000D13B9">
      <w:pPr>
        <w:pStyle w:val="Odlomakpopisa"/>
        <w:numPr>
          <w:ilvl w:val="0"/>
          <w:numId w:val="16"/>
        </w:numPr>
        <w:autoSpaceDE w:val="0"/>
        <w:autoSpaceDN w:val="0"/>
        <w:adjustRightInd w:val="0"/>
        <w:spacing w:before="0" w:line="276" w:lineRule="auto"/>
        <w:contextualSpacing/>
        <w:rPr>
          <w:bCs/>
          <w:lang w:val="en-GB"/>
        </w:rPr>
      </w:pPr>
      <w:r w:rsidRPr="00FB6E7F">
        <w:rPr>
          <w:bCs/>
          <w:lang w:val="en-GB"/>
        </w:rPr>
        <w:t xml:space="preserve">Di Carlo, C. and </w:t>
      </w:r>
      <w:proofErr w:type="spellStart"/>
      <w:r w:rsidRPr="00FB6E7F">
        <w:rPr>
          <w:bCs/>
          <w:lang w:val="en-GB"/>
        </w:rPr>
        <w:t>Sa</w:t>
      </w:r>
      <w:r w:rsidRPr="00566BD2">
        <w:rPr>
          <w:bCs/>
          <w:lang w:val="en-GB"/>
        </w:rPr>
        <w:t>ntarelli</w:t>
      </w:r>
      <w:proofErr w:type="spellEnd"/>
      <w:r w:rsidRPr="00566BD2">
        <w:rPr>
          <w:bCs/>
          <w:lang w:val="en-GB"/>
        </w:rPr>
        <w:t>,</w:t>
      </w:r>
      <w:r>
        <w:rPr>
          <w:bCs/>
          <w:lang w:val="en-GB"/>
        </w:rPr>
        <w:t xml:space="preserve"> E. (2010).</w:t>
      </w:r>
      <w:r w:rsidRPr="00566BD2">
        <w:rPr>
          <w:bCs/>
          <w:lang w:val="en-GB"/>
        </w:rPr>
        <w:t xml:space="preserve"> </w:t>
      </w:r>
      <w:r w:rsidRPr="00566BD2">
        <w:rPr>
          <w:lang w:val="en-GB"/>
        </w:rPr>
        <w:t xml:space="preserve">Contribution of ICT to economic growth </w:t>
      </w:r>
      <w:r>
        <w:rPr>
          <w:lang w:val="en-GB"/>
        </w:rPr>
        <w:t>in Italy: Input Output analysis.</w:t>
      </w:r>
      <w:r w:rsidRPr="00566BD2">
        <w:rPr>
          <w:lang w:val="en-GB"/>
        </w:rPr>
        <w:t xml:space="preserve"> M</w:t>
      </w:r>
      <w:r>
        <w:rPr>
          <w:lang w:val="en-GB"/>
        </w:rPr>
        <w:t>inistry of Economic Development.</w:t>
      </w:r>
      <w:r w:rsidRPr="00566BD2">
        <w:rPr>
          <w:lang w:val="en-GB"/>
        </w:rPr>
        <w:t xml:space="preserve"> Department of Communications</w:t>
      </w:r>
      <w:r>
        <w:rPr>
          <w:lang w:val="en-GB"/>
        </w:rPr>
        <w:t xml:space="preserve">. </w:t>
      </w:r>
    </w:p>
    <w:p w:rsidR="000D13B9" w:rsidRPr="00566BD2" w:rsidRDefault="000D13B9" w:rsidP="000D13B9">
      <w:pPr>
        <w:pStyle w:val="Odlomakpopisa"/>
        <w:numPr>
          <w:ilvl w:val="0"/>
          <w:numId w:val="16"/>
        </w:numPr>
        <w:spacing w:before="0" w:line="276" w:lineRule="auto"/>
        <w:contextualSpacing/>
        <w:rPr>
          <w:lang w:val="en-GB"/>
        </w:rPr>
      </w:pPr>
      <w:r w:rsidRPr="00566BD2">
        <w:rPr>
          <w:lang w:val="en-GB"/>
        </w:rPr>
        <w:t>European Commission (EC)</w:t>
      </w:r>
      <w:r>
        <w:rPr>
          <w:lang w:val="en-GB"/>
        </w:rPr>
        <w:t>.</w:t>
      </w:r>
      <w:r w:rsidRPr="00566BD2">
        <w:rPr>
          <w:lang w:val="en-GB"/>
        </w:rPr>
        <w:t xml:space="preserve"> (2006</w:t>
      </w:r>
      <w:r w:rsidRPr="00676776">
        <w:rPr>
          <w:lang w:val="en-GB"/>
        </w:rPr>
        <w:t>). i2010 –First Annual Report on the European Information society.</w:t>
      </w:r>
      <w:r w:rsidRPr="00566BD2">
        <w:rPr>
          <w:lang w:val="en-GB"/>
        </w:rPr>
        <w:t xml:space="preserve"> http://eurlex.europa.eu/LexUriServ/site/en/com/2006/com2006_0215en01.pdf [</w:t>
      </w:r>
      <w:r>
        <w:rPr>
          <w:lang w:val="en-GB"/>
        </w:rPr>
        <w:t xml:space="preserve">Accessed </w:t>
      </w:r>
      <w:r w:rsidRPr="00566BD2">
        <w:rPr>
          <w:lang w:val="en-GB"/>
        </w:rPr>
        <w:t>10</w:t>
      </w:r>
      <w:r>
        <w:rPr>
          <w:lang w:val="en-GB"/>
        </w:rPr>
        <w:t>/03/13</w:t>
      </w:r>
      <w:r w:rsidRPr="00566BD2">
        <w:rPr>
          <w:lang w:val="en-GB"/>
        </w:rPr>
        <w:t>]</w:t>
      </w:r>
      <w:r>
        <w:rPr>
          <w:lang w:val="en-GB"/>
        </w:rPr>
        <w:t>.</w:t>
      </w:r>
    </w:p>
    <w:p w:rsidR="000D13B9" w:rsidRPr="00D5321A" w:rsidRDefault="000D13B9" w:rsidP="000D13B9">
      <w:pPr>
        <w:pStyle w:val="Odlomakpopisa"/>
        <w:numPr>
          <w:ilvl w:val="0"/>
          <w:numId w:val="16"/>
        </w:numPr>
        <w:spacing w:before="0" w:line="276" w:lineRule="auto"/>
        <w:contextualSpacing/>
        <w:rPr>
          <w:lang w:val="en-GB"/>
        </w:rPr>
      </w:pPr>
      <w:r w:rsidRPr="00D5321A">
        <w:rPr>
          <w:lang w:val="en-GB"/>
        </w:rPr>
        <w:t xml:space="preserve">Eurostat. </w:t>
      </w:r>
      <w:r w:rsidRPr="00614F8C">
        <w:rPr>
          <w:lang w:val="en-GB"/>
        </w:rPr>
        <w:t>http://ec.europa.eu/eurostat/web/esa-supply-use-input-tables/data/workbooks</w:t>
      </w:r>
      <w:r w:rsidRPr="00D5321A">
        <w:rPr>
          <w:rStyle w:val="Hiperveza"/>
          <w:color w:val="auto"/>
          <w:lang w:val="en-GB"/>
        </w:rPr>
        <w:t xml:space="preserve"> </w:t>
      </w:r>
      <w:r w:rsidRPr="00D5321A">
        <w:rPr>
          <w:lang w:val="en-GB"/>
        </w:rPr>
        <w:t>[Accessed 15/11/15].</w:t>
      </w:r>
    </w:p>
    <w:p w:rsidR="000D13B9" w:rsidRPr="008E2B68" w:rsidRDefault="000D13B9" w:rsidP="000D13B9">
      <w:pPr>
        <w:pStyle w:val="Odlomakpopisa"/>
        <w:numPr>
          <w:ilvl w:val="0"/>
          <w:numId w:val="16"/>
        </w:numPr>
        <w:spacing w:before="0" w:line="276" w:lineRule="auto"/>
        <w:contextualSpacing/>
        <w:rPr>
          <w:lang w:val="en-GB"/>
        </w:rPr>
      </w:pPr>
      <w:r w:rsidRPr="008E2B68">
        <w:rPr>
          <w:lang w:val="en-GB"/>
        </w:rPr>
        <w:lastRenderedPageBreak/>
        <w:t>Gordon, R. J. (2004). Why was Europe Left at the Station When America's Productivity Locomotive Departed</w:t>
      </w:r>
      <w:proofErr w:type="gramStart"/>
      <w:r w:rsidRPr="008E2B68">
        <w:rPr>
          <w:lang w:val="en-GB"/>
        </w:rPr>
        <w:t>?.</w:t>
      </w:r>
      <w:proofErr w:type="gramEnd"/>
      <w:r w:rsidRPr="008E2B68">
        <w:rPr>
          <w:lang w:val="en-GB"/>
        </w:rPr>
        <w:t xml:space="preserve"> National Bureau of Economic Research. Working Paper Series No. 10661.</w:t>
      </w:r>
      <w:r>
        <w:rPr>
          <w:lang w:val="en-GB"/>
        </w:rPr>
        <w:t xml:space="preserve"> </w:t>
      </w:r>
      <w:proofErr w:type="gramStart"/>
      <w:r>
        <w:rPr>
          <w:lang w:val="en-GB"/>
        </w:rPr>
        <w:t>doi:</w:t>
      </w:r>
      <w:proofErr w:type="gramEnd"/>
      <w:r w:rsidRPr="000204A0">
        <w:rPr>
          <w:lang w:val="en-GB"/>
        </w:rPr>
        <w:t>10.3386/w10661</w:t>
      </w:r>
      <w:r>
        <w:rPr>
          <w:lang w:val="en-GB"/>
        </w:rPr>
        <w:t>.</w:t>
      </w:r>
    </w:p>
    <w:p w:rsidR="000D13B9" w:rsidRPr="00566BD2" w:rsidRDefault="000D13B9" w:rsidP="000D13B9">
      <w:pPr>
        <w:pStyle w:val="Odlomakpopisa"/>
        <w:numPr>
          <w:ilvl w:val="0"/>
          <w:numId w:val="16"/>
        </w:numPr>
        <w:spacing w:before="0" w:line="276" w:lineRule="auto"/>
        <w:contextualSpacing/>
        <w:rPr>
          <w:lang w:val="en-GB"/>
        </w:rPr>
      </w:pPr>
      <w:r w:rsidRPr="00566BD2">
        <w:rPr>
          <w:lang w:val="en-GB"/>
        </w:rPr>
        <w:t>Grady</w:t>
      </w:r>
      <w:r>
        <w:rPr>
          <w:lang w:val="en-GB"/>
        </w:rPr>
        <w:t>, P. and</w:t>
      </w:r>
      <w:r w:rsidRPr="00566BD2">
        <w:rPr>
          <w:lang w:val="en-GB"/>
        </w:rPr>
        <w:t xml:space="preserve"> Muller</w:t>
      </w:r>
      <w:r>
        <w:rPr>
          <w:lang w:val="en-GB"/>
        </w:rPr>
        <w:t>, R. A.</w:t>
      </w:r>
      <w:r w:rsidRPr="00566BD2">
        <w:rPr>
          <w:lang w:val="en-GB"/>
        </w:rPr>
        <w:t xml:space="preserve"> </w:t>
      </w:r>
      <w:r>
        <w:rPr>
          <w:lang w:val="en-GB"/>
        </w:rPr>
        <w:t>(</w:t>
      </w:r>
      <w:r w:rsidRPr="00566BD2">
        <w:rPr>
          <w:lang w:val="en-GB"/>
        </w:rPr>
        <w:t>1988</w:t>
      </w:r>
      <w:r>
        <w:rPr>
          <w:lang w:val="en-GB"/>
        </w:rPr>
        <w:t>).</w:t>
      </w:r>
      <w:r w:rsidRPr="00566BD2">
        <w:rPr>
          <w:lang w:val="en-GB"/>
        </w:rPr>
        <w:t xml:space="preserve"> On The Use and Misuse of Input-Output Based</w:t>
      </w:r>
      <w:r>
        <w:rPr>
          <w:lang w:val="en-GB"/>
        </w:rPr>
        <w:t xml:space="preserve"> Impact Analysis in Evaluation.</w:t>
      </w:r>
      <w:r w:rsidRPr="00566BD2">
        <w:rPr>
          <w:lang w:val="en-GB"/>
        </w:rPr>
        <w:t xml:space="preserve"> The Canadian J</w:t>
      </w:r>
      <w:r>
        <w:rPr>
          <w:lang w:val="en-GB"/>
        </w:rPr>
        <w:t>ournal of Program Evaluation, 3</w:t>
      </w:r>
      <w:r w:rsidRPr="00566BD2">
        <w:rPr>
          <w:lang w:val="en-GB"/>
        </w:rPr>
        <w:t>(2), 49-61.</w:t>
      </w:r>
    </w:p>
    <w:p w:rsidR="000D13B9" w:rsidRPr="008E2B68" w:rsidRDefault="000D13B9" w:rsidP="000D13B9">
      <w:pPr>
        <w:pStyle w:val="Odlomakpopisa"/>
        <w:numPr>
          <w:ilvl w:val="0"/>
          <w:numId w:val="16"/>
        </w:numPr>
        <w:spacing w:before="0" w:after="200" w:line="276" w:lineRule="auto"/>
        <w:contextualSpacing/>
        <w:rPr>
          <w:bCs/>
          <w:lang w:val="en-GB"/>
        </w:rPr>
      </w:pPr>
      <w:proofErr w:type="spellStart"/>
      <w:r w:rsidRPr="008E2B68">
        <w:rPr>
          <w:bCs/>
          <w:lang w:val="en-GB"/>
        </w:rPr>
        <w:t>Guerrieri</w:t>
      </w:r>
      <w:proofErr w:type="spellEnd"/>
      <w:r w:rsidRPr="008E2B68">
        <w:rPr>
          <w:bCs/>
          <w:lang w:val="en-GB"/>
        </w:rPr>
        <w:t xml:space="preserve">, P. A. O. L. O. and </w:t>
      </w:r>
      <w:proofErr w:type="spellStart"/>
      <w:r w:rsidRPr="008E2B68">
        <w:rPr>
          <w:bCs/>
          <w:lang w:val="en-GB"/>
        </w:rPr>
        <w:t>Padoan</w:t>
      </w:r>
      <w:proofErr w:type="spellEnd"/>
      <w:r w:rsidRPr="008E2B68">
        <w:rPr>
          <w:bCs/>
          <w:lang w:val="en-GB"/>
        </w:rPr>
        <w:t xml:space="preserve">, P. C. (2007). Modelling ICT as a </w:t>
      </w:r>
      <w:proofErr w:type="gramStart"/>
      <w:r w:rsidRPr="008E2B68">
        <w:rPr>
          <w:bCs/>
          <w:lang w:val="en-GB"/>
        </w:rPr>
        <w:t>general purpose</w:t>
      </w:r>
      <w:proofErr w:type="gramEnd"/>
      <w:r w:rsidRPr="008E2B68">
        <w:rPr>
          <w:bCs/>
          <w:lang w:val="en-GB"/>
        </w:rPr>
        <w:t xml:space="preserve"> technology. Evaluation. http://www.coleurope.eu/content/ publications /pdf/Collegium2035.pdf </w:t>
      </w:r>
      <w:r w:rsidRPr="008E2B68">
        <w:rPr>
          <w:lang w:val="en-GB"/>
        </w:rPr>
        <w:t>[Accessed 10/03/13].</w:t>
      </w:r>
      <w:r w:rsidRPr="008E2B68">
        <w:rPr>
          <w:bCs/>
          <w:lang w:val="en-GB"/>
        </w:rPr>
        <w:t xml:space="preserve"> </w:t>
      </w:r>
    </w:p>
    <w:p w:rsidR="000D13B9" w:rsidRPr="00566BD2" w:rsidRDefault="000D13B9" w:rsidP="000D13B9">
      <w:pPr>
        <w:pStyle w:val="Odlomakpopisa"/>
        <w:numPr>
          <w:ilvl w:val="0"/>
          <w:numId w:val="16"/>
        </w:numPr>
        <w:spacing w:before="0" w:line="276" w:lineRule="auto"/>
        <w:contextualSpacing/>
        <w:rPr>
          <w:lang w:val="en-GB"/>
        </w:rPr>
      </w:pPr>
      <w:proofErr w:type="spellStart"/>
      <w:r w:rsidRPr="00566BD2">
        <w:rPr>
          <w:lang w:val="en-GB"/>
        </w:rPr>
        <w:t>Inklaar</w:t>
      </w:r>
      <w:proofErr w:type="spellEnd"/>
      <w:r w:rsidRPr="00566BD2">
        <w:rPr>
          <w:lang w:val="en-GB"/>
        </w:rPr>
        <w:t xml:space="preserve">, R., </w:t>
      </w:r>
      <w:proofErr w:type="spellStart"/>
      <w:r w:rsidRPr="00566BD2">
        <w:rPr>
          <w:lang w:val="en-GB"/>
        </w:rPr>
        <w:t>O'Mahony</w:t>
      </w:r>
      <w:proofErr w:type="spellEnd"/>
      <w:r w:rsidRPr="00566BD2">
        <w:rPr>
          <w:lang w:val="en-GB"/>
        </w:rPr>
        <w:t>, M.,</w:t>
      </w:r>
      <w:r>
        <w:rPr>
          <w:lang w:val="en-GB"/>
        </w:rPr>
        <w:t xml:space="preserve"> and</w:t>
      </w:r>
      <w:r w:rsidRPr="00566BD2">
        <w:rPr>
          <w:lang w:val="en-GB"/>
        </w:rPr>
        <w:t xml:space="preserve"> </w:t>
      </w:r>
      <w:proofErr w:type="spellStart"/>
      <w:r w:rsidRPr="00566BD2">
        <w:rPr>
          <w:lang w:val="en-GB"/>
        </w:rPr>
        <w:t>Timmer</w:t>
      </w:r>
      <w:proofErr w:type="spellEnd"/>
      <w:r w:rsidRPr="00566BD2">
        <w:rPr>
          <w:lang w:val="en-GB"/>
        </w:rPr>
        <w:t>, M. (2005)</w:t>
      </w:r>
      <w:r>
        <w:rPr>
          <w:lang w:val="en-GB"/>
        </w:rPr>
        <w:t>.</w:t>
      </w:r>
      <w:r w:rsidRPr="00566BD2">
        <w:rPr>
          <w:lang w:val="en-GB"/>
        </w:rPr>
        <w:t xml:space="preserve"> ICT and Europe's productivity performance: Industry-level growth account </w:t>
      </w:r>
      <w:proofErr w:type="spellStart"/>
      <w:r w:rsidRPr="00566BD2">
        <w:rPr>
          <w:lang w:val="en-GB"/>
        </w:rPr>
        <w:t>comparisions</w:t>
      </w:r>
      <w:proofErr w:type="spellEnd"/>
      <w:r w:rsidRPr="00566BD2">
        <w:rPr>
          <w:lang w:val="en-GB"/>
        </w:rPr>
        <w:t xml:space="preserve"> with the United States. </w:t>
      </w:r>
      <w:r w:rsidRPr="00676776">
        <w:rPr>
          <w:lang w:val="en-GB"/>
        </w:rPr>
        <w:t>Review of Income and Wealth</w:t>
      </w:r>
      <w:r>
        <w:rPr>
          <w:lang w:val="en-GB"/>
        </w:rPr>
        <w:t xml:space="preserve">. </w:t>
      </w:r>
      <w:r w:rsidRPr="00566BD2">
        <w:rPr>
          <w:lang w:val="en-GB"/>
        </w:rPr>
        <w:t>51(4), 505–536.</w:t>
      </w:r>
      <w:r>
        <w:rPr>
          <w:lang w:val="en-GB"/>
        </w:rPr>
        <w:t xml:space="preserve"> </w:t>
      </w:r>
      <w:proofErr w:type="spellStart"/>
      <w:proofErr w:type="gramStart"/>
      <w:r w:rsidRPr="00E21A6E">
        <w:rPr>
          <w:lang w:val="en-GB"/>
        </w:rPr>
        <w:t>doi</w:t>
      </w:r>
      <w:proofErr w:type="spellEnd"/>
      <w:proofErr w:type="gramEnd"/>
      <w:r w:rsidRPr="00E21A6E">
        <w:rPr>
          <w:lang w:val="en-GB"/>
        </w:rPr>
        <w:t>: 10.1111/j.1475-4991.2005.00166.x</w:t>
      </w:r>
      <w:r>
        <w:rPr>
          <w:lang w:val="en-GB"/>
        </w:rPr>
        <w:t>.</w:t>
      </w:r>
    </w:p>
    <w:p w:rsidR="000D13B9" w:rsidRPr="00566BD2" w:rsidRDefault="000D13B9" w:rsidP="000D13B9">
      <w:pPr>
        <w:pStyle w:val="Odlomakpopisa"/>
        <w:numPr>
          <w:ilvl w:val="0"/>
          <w:numId w:val="16"/>
        </w:numPr>
        <w:spacing w:before="0" w:line="276" w:lineRule="auto"/>
        <w:contextualSpacing/>
        <w:rPr>
          <w:lang w:val="en-GB"/>
        </w:rPr>
      </w:pPr>
      <w:proofErr w:type="spellStart"/>
      <w:r>
        <w:rPr>
          <w:lang w:val="en-GB"/>
        </w:rPr>
        <w:t>Inklaar</w:t>
      </w:r>
      <w:proofErr w:type="spellEnd"/>
      <w:r>
        <w:rPr>
          <w:lang w:val="en-GB"/>
        </w:rPr>
        <w:t xml:space="preserve">, R., </w:t>
      </w:r>
      <w:proofErr w:type="spellStart"/>
      <w:r>
        <w:rPr>
          <w:lang w:val="en-GB"/>
        </w:rPr>
        <w:t>Timmer</w:t>
      </w:r>
      <w:proofErr w:type="spellEnd"/>
      <w:r>
        <w:rPr>
          <w:lang w:val="en-GB"/>
        </w:rPr>
        <w:t>, M. P., and</w:t>
      </w:r>
      <w:r w:rsidRPr="00566BD2">
        <w:rPr>
          <w:lang w:val="en-GB"/>
        </w:rPr>
        <w:t xml:space="preserve"> van Ark, B. (2007)</w:t>
      </w:r>
      <w:r>
        <w:rPr>
          <w:lang w:val="en-GB"/>
        </w:rPr>
        <w:t>.</w:t>
      </w:r>
      <w:r w:rsidRPr="00566BD2">
        <w:rPr>
          <w:lang w:val="en-GB"/>
        </w:rPr>
        <w:t xml:space="preserve"> Mind the gap! International comparisons of productivity in services and goods production</w:t>
      </w:r>
      <w:r w:rsidRPr="00D6365B">
        <w:rPr>
          <w:lang w:val="en-GB"/>
        </w:rPr>
        <w:t>. German Economic Review</w:t>
      </w:r>
      <w:r>
        <w:rPr>
          <w:lang w:val="en-GB"/>
        </w:rPr>
        <w:t xml:space="preserve">. </w:t>
      </w:r>
      <w:r w:rsidRPr="00566BD2">
        <w:rPr>
          <w:lang w:val="en-GB"/>
        </w:rPr>
        <w:t>8(2), 281–307.</w:t>
      </w:r>
      <w:r>
        <w:rPr>
          <w:lang w:val="en-GB"/>
        </w:rPr>
        <w:t xml:space="preserve"> </w:t>
      </w:r>
      <w:proofErr w:type="spellStart"/>
      <w:proofErr w:type="gramStart"/>
      <w:r w:rsidRPr="000255CF">
        <w:rPr>
          <w:lang w:val="en-GB"/>
        </w:rPr>
        <w:t>doi</w:t>
      </w:r>
      <w:proofErr w:type="spellEnd"/>
      <w:proofErr w:type="gramEnd"/>
      <w:r w:rsidRPr="000255CF">
        <w:rPr>
          <w:lang w:val="en-GB"/>
        </w:rPr>
        <w:t>: 10.1111/j.1468-0475.2007.00408.x</w:t>
      </w:r>
      <w:r>
        <w:rPr>
          <w:lang w:val="en-GB"/>
        </w:rPr>
        <w:t>.</w:t>
      </w:r>
    </w:p>
    <w:p w:rsidR="000D13B9" w:rsidRPr="00566BD2" w:rsidRDefault="000D13B9" w:rsidP="000D13B9">
      <w:pPr>
        <w:pStyle w:val="Odlomakpopisa"/>
        <w:numPr>
          <w:ilvl w:val="0"/>
          <w:numId w:val="16"/>
        </w:numPr>
        <w:spacing w:before="0" w:line="276" w:lineRule="auto"/>
        <w:contextualSpacing/>
        <w:rPr>
          <w:lang w:val="en-GB"/>
        </w:rPr>
      </w:pPr>
      <w:proofErr w:type="spellStart"/>
      <w:r w:rsidRPr="00566BD2">
        <w:rPr>
          <w:lang w:val="en-GB"/>
        </w:rPr>
        <w:t>Inklaar</w:t>
      </w:r>
      <w:proofErr w:type="spellEnd"/>
      <w:r w:rsidRPr="00566BD2">
        <w:rPr>
          <w:lang w:val="en-GB"/>
        </w:rPr>
        <w:t xml:space="preserve">, R., </w:t>
      </w:r>
      <w:proofErr w:type="spellStart"/>
      <w:r w:rsidRPr="00566BD2">
        <w:rPr>
          <w:lang w:val="en-GB"/>
        </w:rPr>
        <w:t>Timmer</w:t>
      </w:r>
      <w:proofErr w:type="spellEnd"/>
      <w:r w:rsidRPr="00566BD2">
        <w:rPr>
          <w:lang w:val="en-GB"/>
        </w:rPr>
        <w:t>, M. P.,</w:t>
      </w:r>
      <w:r>
        <w:rPr>
          <w:lang w:val="en-GB"/>
        </w:rPr>
        <w:t xml:space="preserve"> and</w:t>
      </w:r>
      <w:r w:rsidRPr="00566BD2">
        <w:rPr>
          <w:lang w:val="en-GB"/>
        </w:rPr>
        <w:t xml:space="preserve"> van Ark, B. (2008)</w:t>
      </w:r>
      <w:r>
        <w:rPr>
          <w:lang w:val="en-GB"/>
        </w:rPr>
        <w:t>.</w:t>
      </w:r>
      <w:r w:rsidRPr="00566BD2">
        <w:rPr>
          <w:lang w:val="en-GB"/>
        </w:rPr>
        <w:t xml:space="preserve"> Market services productivity across Europe and the US. </w:t>
      </w:r>
      <w:r w:rsidRPr="00D6365B">
        <w:rPr>
          <w:lang w:val="en-GB"/>
        </w:rPr>
        <w:t>Economic Policy</w:t>
      </w:r>
      <w:r>
        <w:rPr>
          <w:lang w:val="en-GB"/>
        </w:rPr>
        <w:t xml:space="preserve">. </w:t>
      </w:r>
      <w:proofErr w:type="gramStart"/>
      <w:r w:rsidRPr="00566BD2">
        <w:rPr>
          <w:lang w:val="en-GB"/>
        </w:rPr>
        <w:t>53</w:t>
      </w:r>
      <w:proofErr w:type="gramEnd"/>
      <w:r w:rsidRPr="00566BD2">
        <w:rPr>
          <w:lang w:val="en-GB"/>
        </w:rPr>
        <w:t>, 140–194.</w:t>
      </w:r>
      <w:r>
        <w:rPr>
          <w:lang w:val="en-GB"/>
        </w:rPr>
        <w:t xml:space="preserve"> </w:t>
      </w:r>
      <w:proofErr w:type="spellStart"/>
      <w:proofErr w:type="gramStart"/>
      <w:r>
        <w:rPr>
          <w:lang w:val="en-GB"/>
        </w:rPr>
        <w:t>doi</w:t>
      </w:r>
      <w:proofErr w:type="spellEnd"/>
      <w:proofErr w:type="gramEnd"/>
      <w:r>
        <w:rPr>
          <w:lang w:val="en-GB"/>
        </w:rPr>
        <w:t>:</w:t>
      </w:r>
      <w:r w:rsidRPr="00926A55">
        <w:t xml:space="preserve"> </w:t>
      </w:r>
      <w:r w:rsidRPr="00926A55">
        <w:rPr>
          <w:lang w:val="en-GB"/>
        </w:rPr>
        <w:t>http://dx.doi.org/10.1111/j.1468-0327.2007.00194.x</w:t>
      </w:r>
      <w:r>
        <w:rPr>
          <w:lang w:val="en-GB"/>
        </w:rPr>
        <w:t>.</w:t>
      </w:r>
    </w:p>
    <w:p w:rsidR="000D13B9" w:rsidRPr="00C67099" w:rsidRDefault="000D13B9" w:rsidP="000D13B9">
      <w:pPr>
        <w:pStyle w:val="Odlomakpopisa"/>
        <w:numPr>
          <w:ilvl w:val="0"/>
          <w:numId w:val="16"/>
        </w:numPr>
        <w:autoSpaceDE w:val="0"/>
        <w:autoSpaceDN w:val="0"/>
        <w:adjustRightInd w:val="0"/>
        <w:spacing w:before="0" w:line="276" w:lineRule="auto"/>
        <w:contextualSpacing/>
        <w:rPr>
          <w:lang w:val="en-GB"/>
        </w:rPr>
      </w:pPr>
      <w:proofErr w:type="spellStart"/>
      <w:r w:rsidRPr="008E2B68">
        <w:rPr>
          <w:lang w:val="en-GB"/>
        </w:rPr>
        <w:t>Irawan</w:t>
      </w:r>
      <w:proofErr w:type="spellEnd"/>
      <w:r w:rsidRPr="008E2B68">
        <w:rPr>
          <w:lang w:val="en-GB"/>
        </w:rPr>
        <w:t xml:space="preserve">, T. (2014). ICT and economic development: comparing ASEAN member states. </w:t>
      </w:r>
      <w:proofErr w:type="spellStart"/>
      <w:r w:rsidRPr="008E2B68">
        <w:rPr>
          <w:lang w:val="en-GB"/>
        </w:rPr>
        <w:t>Int</w:t>
      </w:r>
      <w:proofErr w:type="spellEnd"/>
      <w:r w:rsidRPr="008E2B68">
        <w:rPr>
          <w:lang w:val="en-GB"/>
        </w:rPr>
        <w:t xml:space="preserve"> Econ </w:t>
      </w:r>
      <w:proofErr w:type="spellStart"/>
      <w:r w:rsidRPr="008E2B68">
        <w:rPr>
          <w:lang w:val="en-GB"/>
        </w:rPr>
        <w:t>Econ</w:t>
      </w:r>
      <w:proofErr w:type="spellEnd"/>
      <w:r w:rsidRPr="008E2B68">
        <w:rPr>
          <w:lang w:val="en-GB"/>
        </w:rPr>
        <w:t xml:space="preserve"> Policy, 11, 97–114</w:t>
      </w:r>
      <w:r w:rsidRPr="00C67099">
        <w:rPr>
          <w:lang w:val="en-GB"/>
        </w:rPr>
        <w:t xml:space="preserve">. </w:t>
      </w:r>
      <w:proofErr w:type="spellStart"/>
      <w:proofErr w:type="gramStart"/>
      <w:r w:rsidRPr="00C67099">
        <w:rPr>
          <w:lang w:val="en-GB"/>
        </w:rPr>
        <w:t>doi</w:t>
      </w:r>
      <w:proofErr w:type="spellEnd"/>
      <w:proofErr w:type="gramEnd"/>
      <w:r w:rsidRPr="00C67099">
        <w:rPr>
          <w:lang w:val="en-GB"/>
        </w:rPr>
        <w:t>: 10.1007/s10368-013-0248-5.</w:t>
      </w:r>
    </w:p>
    <w:p w:rsidR="000D13B9" w:rsidRPr="00566BD2" w:rsidRDefault="000D13B9" w:rsidP="000D13B9">
      <w:pPr>
        <w:pStyle w:val="Odlomakpopisa"/>
        <w:numPr>
          <w:ilvl w:val="0"/>
          <w:numId w:val="16"/>
        </w:numPr>
        <w:spacing w:before="0" w:line="276" w:lineRule="auto"/>
        <w:contextualSpacing/>
        <w:rPr>
          <w:lang w:val="en-GB"/>
        </w:rPr>
      </w:pPr>
      <w:proofErr w:type="spellStart"/>
      <w:r w:rsidRPr="00566BD2">
        <w:rPr>
          <w:rStyle w:val="Hiperveza"/>
          <w:color w:val="auto"/>
          <w:u w:val="none"/>
          <w:lang w:val="en-GB"/>
        </w:rPr>
        <w:t>Jalava</w:t>
      </w:r>
      <w:proofErr w:type="spellEnd"/>
      <w:r w:rsidRPr="00566BD2">
        <w:rPr>
          <w:rStyle w:val="Hiperveza"/>
          <w:color w:val="auto"/>
          <w:u w:val="none"/>
          <w:lang w:val="en-GB"/>
        </w:rPr>
        <w:t xml:space="preserve">, J., </w:t>
      </w:r>
      <w:r>
        <w:rPr>
          <w:rStyle w:val="Hiperveza"/>
          <w:color w:val="auto"/>
          <w:u w:val="none"/>
          <w:lang w:val="en-GB"/>
        </w:rPr>
        <w:t xml:space="preserve">and </w:t>
      </w:r>
      <w:proofErr w:type="spellStart"/>
      <w:r w:rsidRPr="00566BD2">
        <w:rPr>
          <w:rStyle w:val="Hiperveza"/>
          <w:color w:val="auto"/>
          <w:u w:val="none"/>
          <w:lang w:val="en-GB"/>
        </w:rPr>
        <w:t>Pohjola</w:t>
      </w:r>
      <w:proofErr w:type="spellEnd"/>
      <w:r w:rsidRPr="00566BD2">
        <w:rPr>
          <w:rStyle w:val="Hiperveza"/>
          <w:color w:val="auto"/>
          <w:u w:val="none"/>
          <w:lang w:val="en-GB"/>
        </w:rPr>
        <w:t xml:space="preserve">, M. (2008). The roles of electricity and ICT in economic growth: Case Finland. </w:t>
      </w:r>
      <w:r w:rsidRPr="00D6365B">
        <w:rPr>
          <w:rStyle w:val="Hiperveza"/>
          <w:color w:val="auto"/>
          <w:u w:val="none"/>
          <w:lang w:val="en-GB"/>
        </w:rPr>
        <w:t>Explorations in Economic History</w:t>
      </w:r>
      <w:r>
        <w:rPr>
          <w:rStyle w:val="Hiperveza"/>
          <w:color w:val="auto"/>
          <w:u w:val="none"/>
          <w:lang w:val="en-GB"/>
        </w:rPr>
        <w:t xml:space="preserve">, </w:t>
      </w:r>
      <w:r w:rsidRPr="00566BD2">
        <w:rPr>
          <w:rStyle w:val="Hiperveza"/>
          <w:color w:val="auto"/>
          <w:u w:val="none"/>
          <w:lang w:val="en-GB"/>
        </w:rPr>
        <w:t>45(3), 270-287.</w:t>
      </w:r>
      <w:r>
        <w:rPr>
          <w:rStyle w:val="Hiperveza"/>
          <w:color w:val="auto"/>
          <w:u w:val="none"/>
          <w:lang w:val="en-GB"/>
        </w:rPr>
        <w:t xml:space="preserve"> </w:t>
      </w:r>
      <w:r w:rsidRPr="000C43FC">
        <w:rPr>
          <w:rStyle w:val="Hiperveza"/>
          <w:color w:val="auto"/>
          <w:u w:val="none"/>
          <w:lang w:val="en-GB"/>
        </w:rPr>
        <w:t>doi:10.1016/j.eeh.2007.11.001</w:t>
      </w:r>
    </w:p>
    <w:p w:rsidR="000D13B9" w:rsidRPr="00566BD2" w:rsidRDefault="000D13B9" w:rsidP="000D13B9">
      <w:pPr>
        <w:pStyle w:val="Odlomakpopisa"/>
        <w:numPr>
          <w:ilvl w:val="0"/>
          <w:numId w:val="16"/>
        </w:numPr>
        <w:spacing w:before="0" w:line="276" w:lineRule="auto"/>
        <w:contextualSpacing/>
        <w:rPr>
          <w:lang w:val="en-GB"/>
        </w:rPr>
      </w:pPr>
      <w:r w:rsidRPr="00566BD2">
        <w:rPr>
          <w:lang w:val="en-GB"/>
        </w:rPr>
        <w:t xml:space="preserve">Jorgenson, D. W., </w:t>
      </w:r>
      <w:proofErr w:type="spellStart"/>
      <w:r w:rsidRPr="00566BD2">
        <w:rPr>
          <w:lang w:val="en-GB"/>
        </w:rPr>
        <w:t>Ho</w:t>
      </w:r>
      <w:proofErr w:type="spellEnd"/>
      <w:r w:rsidRPr="00566BD2">
        <w:rPr>
          <w:lang w:val="en-GB"/>
        </w:rPr>
        <w:t xml:space="preserve">, M. S., </w:t>
      </w:r>
      <w:r>
        <w:rPr>
          <w:lang w:val="en-GB"/>
        </w:rPr>
        <w:t xml:space="preserve">and </w:t>
      </w:r>
      <w:proofErr w:type="spellStart"/>
      <w:r w:rsidRPr="00566BD2">
        <w:rPr>
          <w:lang w:val="en-GB"/>
        </w:rPr>
        <w:t>Stiroh</w:t>
      </w:r>
      <w:proofErr w:type="spellEnd"/>
      <w:r w:rsidRPr="00566BD2">
        <w:rPr>
          <w:lang w:val="en-GB"/>
        </w:rPr>
        <w:t>, K. J. (2008)</w:t>
      </w:r>
      <w:r>
        <w:rPr>
          <w:lang w:val="en-GB"/>
        </w:rPr>
        <w:t>.</w:t>
      </w:r>
      <w:r w:rsidRPr="00566BD2">
        <w:rPr>
          <w:lang w:val="en-GB"/>
        </w:rPr>
        <w:t xml:space="preserve"> A Retrospective Look at the U.S. Productivity Growth Resurgence. </w:t>
      </w:r>
      <w:r w:rsidRPr="00D6365B">
        <w:rPr>
          <w:lang w:val="en-GB"/>
        </w:rPr>
        <w:t>Journal of Economic Perspectives</w:t>
      </w:r>
      <w:r>
        <w:rPr>
          <w:lang w:val="en-GB"/>
        </w:rPr>
        <w:t>,</w:t>
      </w:r>
      <w:r w:rsidRPr="00566BD2">
        <w:rPr>
          <w:lang w:val="en-GB"/>
        </w:rPr>
        <w:t xml:space="preserve"> 22(1), 3–24.</w:t>
      </w:r>
      <w:r>
        <w:rPr>
          <w:lang w:val="en-GB"/>
        </w:rPr>
        <w:t xml:space="preserve"> </w:t>
      </w:r>
      <w:proofErr w:type="spellStart"/>
      <w:r w:rsidRPr="008711A8">
        <w:rPr>
          <w:lang w:val="en-GB"/>
        </w:rPr>
        <w:t>doi</w:t>
      </w:r>
      <w:proofErr w:type="spellEnd"/>
      <w:r w:rsidRPr="008711A8">
        <w:rPr>
          <w:lang w:val="en-GB"/>
        </w:rPr>
        <w:t>: 10.1257/jep.22.1.3</w:t>
      </w:r>
    </w:p>
    <w:p w:rsidR="000D13B9" w:rsidRPr="008E2B68" w:rsidRDefault="000D13B9" w:rsidP="000D13B9">
      <w:pPr>
        <w:pStyle w:val="Odlomakpopisa"/>
        <w:numPr>
          <w:ilvl w:val="0"/>
          <w:numId w:val="16"/>
        </w:numPr>
        <w:spacing w:before="0" w:after="200" w:line="276" w:lineRule="auto"/>
        <w:contextualSpacing/>
        <w:rPr>
          <w:lang w:val="en-GB"/>
        </w:rPr>
      </w:pPr>
      <w:proofErr w:type="spellStart"/>
      <w:r w:rsidRPr="008E2B68">
        <w:rPr>
          <w:lang w:val="en-GB"/>
        </w:rPr>
        <w:t>Keček</w:t>
      </w:r>
      <w:proofErr w:type="spellEnd"/>
      <w:r w:rsidRPr="008E2B68">
        <w:rPr>
          <w:lang w:val="en-GB"/>
        </w:rPr>
        <w:t xml:space="preserve">, D., </w:t>
      </w:r>
      <w:proofErr w:type="spellStart"/>
      <w:r w:rsidRPr="008E2B68">
        <w:rPr>
          <w:lang w:val="en-GB"/>
        </w:rPr>
        <w:t>Dušak</w:t>
      </w:r>
      <w:proofErr w:type="spellEnd"/>
      <w:r w:rsidRPr="008E2B68">
        <w:rPr>
          <w:lang w:val="en-GB"/>
        </w:rPr>
        <w:t xml:space="preserve">, V., and </w:t>
      </w:r>
      <w:proofErr w:type="spellStart"/>
      <w:r w:rsidRPr="008E2B68">
        <w:rPr>
          <w:lang w:val="en-GB"/>
        </w:rPr>
        <w:t>Žajdela</w:t>
      </w:r>
      <w:proofErr w:type="spellEnd"/>
      <w:r w:rsidRPr="008E2B68">
        <w:rPr>
          <w:lang w:val="en-GB"/>
        </w:rPr>
        <w:t xml:space="preserve"> </w:t>
      </w:r>
      <w:proofErr w:type="spellStart"/>
      <w:r w:rsidRPr="008E2B68">
        <w:rPr>
          <w:lang w:val="en-GB"/>
        </w:rPr>
        <w:t>Hrustek</w:t>
      </w:r>
      <w:proofErr w:type="spellEnd"/>
      <w:r w:rsidRPr="008E2B68">
        <w:rPr>
          <w:lang w:val="en-GB"/>
        </w:rPr>
        <w:t xml:space="preserve"> N. (2015). </w:t>
      </w:r>
      <w:proofErr w:type="spellStart"/>
      <w:r w:rsidRPr="008E2B68">
        <w:rPr>
          <w:lang w:val="en-GB"/>
        </w:rPr>
        <w:t>Sinergijski</w:t>
      </w:r>
      <w:proofErr w:type="spellEnd"/>
      <w:r w:rsidRPr="008E2B68">
        <w:rPr>
          <w:lang w:val="en-GB"/>
        </w:rPr>
        <w:t xml:space="preserve"> </w:t>
      </w:r>
      <w:proofErr w:type="spellStart"/>
      <w:r w:rsidRPr="008E2B68">
        <w:rPr>
          <w:lang w:val="en-GB"/>
        </w:rPr>
        <w:t>učinci</w:t>
      </w:r>
      <w:proofErr w:type="spellEnd"/>
      <w:r w:rsidRPr="008E2B68">
        <w:rPr>
          <w:lang w:val="en-GB"/>
        </w:rPr>
        <w:t xml:space="preserve"> input-output </w:t>
      </w:r>
      <w:proofErr w:type="spellStart"/>
      <w:r w:rsidRPr="008E2B68">
        <w:rPr>
          <w:lang w:val="en-GB"/>
        </w:rPr>
        <w:t>modela</w:t>
      </w:r>
      <w:proofErr w:type="spellEnd"/>
      <w:r w:rsidRPr="008E2B68">
        <w:rPr>
          <w:lang w:val="en-GB"/>
        </w:rPr>
        <w:t xml:space="preserve"> </w:t>
      </w:r>
      <w:proofErr w:type="spellStart"/>
      <w:r w:rsidRPr="008E2B68">
        <w:rPr>
          <w:lang w:val="en-GB"/>
        </w:rPr>
        <w:t>i</w:t>
      </w:r>
      <w:proofErr w:type="spellEnd"/>
      <w:r w:rsidRPr="008E2B68">
        <w:rPr>
          <w:lang w:val="en-GB"/>
        </w:rPr>
        <w:t xml:space="preserve"> </w:t>
      </w:r>
      <w:proofErr w:type="spellStart"/>
      <w:r w:rsidRPr="008E2B68">
        <w:rPr>
          <w:lang w:val="en-GB"/>
        </w:rPr>
        <w:t>Markovljevih</w:t>
      </w:r>
      <w:proofErr w:type="spellEnd"/>
      <w:r w:rsidRPr="008E2B68">
        <w:rPr>
          <w:lang w:val="en-GB"/>
        </w:rPr>
        <w:t xml:space="preserve"> </w:t>
      </w:r>
      <w:proofErr w:type="spellStart"/>
      <w:r w:rsidRPr="008E2B68">
        <w:rPr>
          <w:lang w:val="en-GB"/>
        </w:rPr>
        <w:t>lanaca</w:t>
      </w:r>
      <w:proofErr w:type="spellEnd"/>
      <w:r w:rsidRPr="008E2B68">
        <w:rPr>
          <w:lang w:val="en-GB"/>
        </w:rPr>
        <w:t xml:space="preserve"> </w:t>
      </w:r>
      <w:proofErr w:type="spellStart"/>
      <w:r w:rsidRPr="008E2B68">
        <w:rPr>
          <w:lang w:val="en-GB"/>
        </w:rPr>
        <w:t>za</w:t>
      </w:r>
      <w:proofErr w:type="spellEnd"/>
      <w:r w:rsidRPr="008E2B68">
        <w:rPr>
          <w:lang w:val="en-GB"/>
        </w:rPr>
        <w:t xml:space="preserve"> </w:t>
      </w:r>
      <w:proofErr w:type="spellStart"/>
      <w:r w:rsidRPr="008E2B68">
        <w:rPr>
          <w:lang w:val="en-GB"/>
        </w:rPr>
        <w:t>međusektorsku</w:t>
      </w:r>
      <w:proofErr w:type="spellEnd"/>
      <w:r w:rsidRPr="008E2B68">
        <w:rPr>
          <w:lang w:val="en-GB"/>
        </w:rPr>
        <w:t xml:space="preserve"> </w:t>
      </w:r>
      <w:proofErr w:type="spellStart"/>
      <w:r w:rsidRPr="008E2B68">
        <w:rPr>
          <w:lang w:val="en-GB"/>
        </w:rPr>
        <w:t>analizu</w:t>
      </w:r>
      <w:proofErr w:type="spellEnd"/>
      <w:r w:rsidRPr="008E2B68">
        <w:rPr>
          <w:lang w:val="en-GB"/>
        </w:rPr>
        <w:t xml:space="preserve">. </w:t>
      </w:r>
      <w:proofErr w:type="spellStart"/>
      <w:r w:rsidRPr="008E2B68">
        <w:rPr>
          <w:lang w:val="en-GB"/>
        </w:rPr>
        <w:t>Privredna</w:t>
      </w:r>
      <w:proofErr w:type="spellEnd"/>
      <w:r w:rsidRPr="008E2B68">
        <w:rPr>
          <w:lang w:val="en-GB"/>
        </w:rPr>
        <w:t xml:space="preserve"> </w:t>
      </w:r>
      <w:proofErr w:type="spellStart"/>
      <w:r w:rsidRPr="008E2B68">
        <w:rPr>
          <w:lang w:val="en-GB"/>
        </w:rPr>
        <w:t>kretanja</w:t>
      </w:r>
      <w:proofErr w:type="spellEnd"/>
      <w:r w:rsidRPr="008E2B68">
        <w:rPr>
          <w:lang w:val="en-GB"/>
        </w:rPr>
        <w:t xml:space="preserve"> </w:t>
      </w:r>
      <w:proofErr w:type="spellStart"/>
      <w:r w:rsidRPr="008E2B68">
        <w:rPr>
          <w:lang w:val="en-GB"/>
        </w:rPr>
        <w:t>i</w:t>
      </w:r>
      <w:proofErr w:type="spellEnd"/>
      <w:r w:rsidRPr="008E2B68">
        <w:rPr>
          <w:lang w:val="en-GB"/>
        </w:rPr>
        <w:t xml:space="preserve"> </w:t>
      </w:r>
      <w:proofErr w:type="spellStart"/>
      <w:r w:rsidRPr="008E2B68">
        <w:rPr>
          <w:lang w:val="en-GB"/>
        </w:rPr>
        <w:t>ekonomska</w:t>
      </w:r>
      <w:proofErr w:type="spellEnd"/>
      <w:r w:rsidRPr="008E2B68">
        <w:rPr>
          <w:lang w:val="en-GB"/>
        </w:rPr>
        <w:t xml:space="preserve"> </w:t>
      </w:r>
      <w:proofErr w:type="spellStart"/>
      <w:r w:rsidRPr="008E2B68">
        <w:rPr>
          <w:lang w:val="en-GB"/>
        </w:rPr>
        <w:t>politika</w:t>
      </w:r>
      <w:proofErr w:type="spellEnd"/>
      <w:r w:rsidRPr="008E2B68">
        <w:rPr>
          <w:lang w:val="en-GB"/>
        </w:rPr>
        <w:t>, 137(2), 37-61. (In press).</w:t>
      </w:r>
    </w:p>
    <w:p w:rsidR="000D13B9" w:rsidRPr="00566BD2" w:rsidRDefault="000D13B9" w:rsidP="000D13B9">
      <w:pPr>
        <w:pStyle w:val="Odlomakpopisa"/>
        <w:numPr>
          <w:ilvl w:val="0"/>
          <w:numId w:val="16"/>
        </w:numPr>
        <w:spacing w:before="0" w:line="276" w:lineRule="auto"/>
        <w:contextualSpacing/>
        <w:rPr>
          <w:lang w:val="en-GB"/>
        </w:rPr>
      </w:pPr>
      <w:proofErr w:type="spellStart"/>
      <w:r w:rsidRPr="00566BD2">
        <w:rPr>
          <w:lang w:val="en-GB"/>
        </w:rPr>
        <w:t>Khuong</w:t>
      </w:r>
      <w:proofErr w:type="spellEnd"/>
      <w:r w:rsidRPr="00566BD2">
        <w:rPr>
          <w:lang w:val="en-GB"/>
        </w:rPr>
        <w:t>, M. V.</w:t>
      </w:r>
      <w:r>
        <w:rPr>
          <w:lang w:val="en-GB"/>
        </w:rPr>
        <w:t xml:space="preserve"> </w:t>
      </w:r>
      <w:r w:rsidRPr="00566BD2">
        <w:rPr>
          <w:lang w:val="en-GB"/>
        </w:rPr>
        <w:t>(2011)</w:t>
      </w:r>
      <w:r>
        <w:rPr>
          <w:lang w:val="en-GB"/>
        </w:rPr>
        <w:t>.</w:t>
      </w:r>
      <w:r w:rsidRPr="00566BD2">
        <w:rPr>
          <w:lang w:val="en-GB"/>
        </w:rPr>
        <w:t xml:space="preserve"> ICT as a source of economic growth in the information age: Empirical evidence from the 1996–2005 period. </w:t>
      </w:r>
      <w:r w:rsidRPr="00D6365B">
        <w:rPr>
          <w:lang w:val="en-GB"/>
        </w:rPr>
        <w:t>Telecommunications Policy</w:t>
      </w:r>
      <w:r>
        <w:rPr>
          <w:lang w:val="en-GB"/>
        </w:rPr>
        <w:t>,</w:t>
      </w:r>
      <w:r w:rsidRPr="00566BD2">
        <w:rPr>
          <w:lang w:val="en-GB"/>
        </w:rPr>
        <w:t xml:space="preserve"> 35</w:t>
      </w:r>
      <w:r>
        <w:rPr>
          <w:lang w:val="en-GB"/>
        </w:rPr>
        <w:t>(4)</w:t>
      </w:r>
      <w:r w:rsidRPr="00566BD2">
        <w:rPr>
          <w:lang w:val="en-GB"/>
        </w:rPr>
        <w:t>, 357–372.</w:t>
      </w:r>
      <w:r>
        <w:rPr>
          <w:lang w:val="en-GB"/>
        </w:rPr>
        <w:t xml:space="preserve"> </w:t>
      </w:r>
      <w:r w:rsidRPr="0015713D">
        <w:rPr>
          <w:lang w:val="en-GB"/>
        </w:rPr>
        <w:t>doi:10.1016/j.telpol.2011.02.008</w:t>
      </w:r>
      <w:r>
        <w:rPr>
          <w:lang w:val="en-GB"/>
        </w:rPr>
        <w:t>.</w:t>
      </w:r>
    </w:p>
    <w:p w:rsidR="000D13B9" w:rsidRPr="00F232A8" w:rsidRDefault="000D13B9" w:rsidP="000D13B9">
      <w:pPr>
        <w:pStyle w:val="Odlomakpopisa"/>
        <w:numPr>
          <w:ilvl w:val="0"/>
          <w:numId w:val="16"/>
        </w:numPr>
        <w:autoSpaceDE w:val="0"/>
        <w:autoSpaceDN w:val="0"/>
        <w:adjustRightInd w:val="0"/>
        <w:spacing w:before="0" w:line="276" w:lineRule="auto"/>
        <w:contextualSpacing/>
        <w:rPr>
          <w:lang w:val="en-GB"/>
        </w:rPr>
      </w:pPr>
      <w:proofErr w:type="spellStart"/>
      <w:r w:rsidRPr="008E2B68">
        <w:rPr>
          <w:lang w:val="en-GB"/>
        </w:rPr>
        <w:t>Kretschmer</w:t>
      </w:r>
      <w:proofErr w:type="spellEnd"/>
      <w:r w:rsidRPr="008E2B68">
        <w:rPr>
          <w:lang w:val="en-GB"/>
        </w:rPr>
        <w:t>, T. (2012). Information and communication technologies and productivity growth: a survey of the literature. OECD. Digital Economy Papers No. 195, Paris.</w:t>
      </w:r>
      <w:r>
        <w:rPr>
          <w:lang w:val="en-GB"/>
        </w:rPr>
        <w:t xml:space="preserve"> </w:t>
      </w:r>
      <w:proofErr w:type="gramStart"/>
      <w:r w:rsidRPr="00F232A8">
        <w:rPr>
          <w:lang w:val="en-GB"/>
        </w:rPr>
        <w:t>doi</w:t>
      </w:r>
      <w:r>
        <w:rPr>
          <w:lang w:val="en-GB"/>
        </w:rPr>
        <w:t>:</w:t>
      </w:r>
      <w:proofErr w:type="gramEnd"/>
      <w:r w:rsidRPr="00F232A8">
        <w:rPr>
          <w:lang w:val="en-GB"/>
        </w:rPr>
        <w:t>10.1787/5k9bh3jllgs7-en</w:t>
      </w:r>
      <w:r>
        <w:rPr>
          <w:lang w:val="en-GB"/>
        </w:rPr>
        <w:t>.</w:t>
      </w:r>
    </w:p>
    <w:p w:rsidR="000D13B9" w:rsidRPr="00566BD2" w:rsidRDefault="000D13B9" w:rsidP="000D13B9">
      <w:pPr>
        <w:pStyle w:val="Odlomakpopisa"/>
        <w:numPr>
          <w:ilvl w:val="0"/>
          <w:numId w:val="16"/>
        </w:numPr>
        <w:spacing w:before="0" w:after="200" w:line="276" w:lineRule="auto"/>
        <w:contextualSpacing/>
        <w:rPr>
          <w:lang w:val="en-GB"/>
        </w:rPr>
      </w:pPr>
      <w:proofErr w:type="spellStart"/>
      <w:r w:rsidRPr="00566BD2">
        <w:rPr>
          <w:lang w:val="en-GB"/>
        </w:rPr>
        <w:t>Lovrinčević</w:t>
      </w:r>
      <w:proofErr w:type="spellEnd"/>
      <w:r>
        <w:rPr>
          <w:lang w:val="en-GB"/>
        </w:rPr>
        <w:t>, Ž. and</w:t>
      </w:r>
      <w:r w:rsidRPr="00566BD2">
        <w:rPr>
          <w:lang w:val="en-GB"/>
        </w:rPr>
        <w:t xml:space="preserve"> </w:t>
      </w:r>
      <w:proofErr w:type="spellStart"/>
      <w:r w:rsidRPr="00566BD2">
        <w:rPr>
          <w:lang w:val="en-GB"/>
        </w:rPr>
        <w:t>Mikulić</w:t>
      </w:r>
      <w:proofErr w:type="spellEnd"/>
      <w:r>
        <w:rPr>
          <w:lang w:val="en-GB"/>
        </w:rPr>
        <w:t>, D.</w:t>
      </w:r>
      <w:r w:rsidRPr="00566BD2">
        <w:rPr>
          <w:lang w:val="en-GB"/>
        </w:rPr>
        <w:t xml:space="preserve"> </w:t>
      </w:r>
      <w:r>
        <w:rPr>
          <w:lang w:val="en-GB"/>
        </w:rPr>
        <w:t>(</w:t>
      </w:r>
      <w:r w:rsidRPr="00566BD2">
        <w:rPr>
          <w:lang w:val="en-GB"/>
        </w:rPr>
        <w:t>2014</w:t>
      </w:r>
      <w:r>
        <w:rPr>
          <w:lang w:val="en-GB"/>
        </w:rPr>
        <w:t>).</w:t>
      </w:r>
      <w:r w:rsidRPr="00566BD2">
        <w:rPr>
          <w:lang w:val="en-GB"/>
        </w:rPr>
        <w:t xml:space="preserve"> </w:t>
      </w:r>
      <w:proofErr w:type="spellStart"/>
      <w:r w:rsidRPr="00566BD2">
        <w:rPr>
          <w:lang w:val="en-GB"/>
        </w:rPr>
        <w:t>Utjecaj</w:t>
      </w:r>
      <w:proofErr w:type="spellEnd"/>
      <w:r w:rsidRPr="00566BD2">
        <w:rPr>
          <w:lang w:val="en-GB"/>
        </w:rPr>
        <w:t xml:space="preserve"> </w:t>
      </w:r>
      <w:proofErr w:type="spellStart"/>
      <w:r w:rsidRPr="00566BD2">
        <w:rPr>
          <w:lang w:val="en-GB"/>
        </w:rPr>
        <w:t>šumarstva</w:t>
      </w:r>
      <w:proofErr w:type="spellEnd"/>
      <w:r w:rsidRPr="00566BD2">
        <w:rPr>
          <w:lang w:val="en-GB"/>
        </w:rPr>
        <w:t xml:space="preserve"> </w:t>
      </w:r>
      <w:proofErr w:type="spellStart"/>
      <w:r w:rsidRPr="00566BD2">
        <w:rPr>
          <w:lang w:val="en-GB"/>
        </w:rPr>
        <w:t>i</w:t>
      </w:r>
      <w:proofErr w:type="spellEnd"/>
      <w:r w:rsidRPr="00566BD2">
        <w:rPr>
          <w:lang w:val="en-GB"/>
        </w:rPr>
        <w:t xml:space="preserve"> </w:t>
      </w:r>
      <w:proofErr w:type="spellStart"/>
      <w:r w:rsidRPr="00566BD2">
        <w:rPr>
          <w:lang w:val="en-GB"/>
        </w:rPr>
        <w:t>drvne</w:t>
      </w:r>
      <w:proofErr w:type="spellEnd"/>
      <w:r w:rsidRPr="00566BD2">
        <w:rPr>
          <w:lang w:val="en-GB"/>
        </w:rPr>
        <w:t xml:space="preserve"> </w:t>
      </w:r>
      <w:proofErr w:type="spellStart"/>
      <w:r w:rsidRPr="00566BD2">
        <w:rPr>
          <w:lang w:val="en-GB"/>
        </w:rPr>
        <w:t>indu</w:t>
      </w:r>
      <w:r>
        <w:rPr>
          <w:lang w:val="en-GB"/>
        </w:rPr>
        <w:t>strije</w:t>
      </w:r>
      <w:proofErr w:type="spellEnd"/>
      <w:r>
        <w:rPr>
          <w:lang w:val="en-GB"/>
        </w:rPr>
        <w:t xml:space="preserve"> </w:t>
      </w:r>
      <w:proofErr w:type="spellStart"/>
      <w:proofErr w:type="gramStart"/>
      <w:r>
        <w:rPr>
          <w:lang w:val="en-GB"/>
        </w:rPr>
        <w:t>na</w:t>
      </w:r>
      <w:proofErr w:type="spellEnd"/>
      <w:proofErr w:type="gramEnd"/>
      <w:r>
        <w:rPr>
          <w:lang w:val="en-GB"/>
        </w:rPr>
        <w:t xml:space="preserve"> </w:t>
      </w:r>
      <w:proofErr w:type="spellStart"/>
      <w:r>
        <w:rPr>
          <w:lang w:val="en-GB"/>
        </w:rPr>
        <w:t>gospodarstvo</w:t>
      </w:r>
      <w:proofErr w:type="spellEnd"/>
      <w:r>
        <w:rPr>
          <w:lang w:val="en-GB"/>
        </w:rPr>
        <w:t xml:space="preserve"> </w:t>
      </w:r>
      <w:proofErr w:type="spellStart"/>
      <w:r>
        <w:rPr>
          <w:lang w:val="en-GB"/>
        </w:rPr>
        <w:t>Hrvatske</w:t>
      </w:r>
      <w:proofErr w:type="spellEnd"/>
      <w:r>
        <w:rPr>
          <w:lang w:val="en-GB"/>
        </w:rPr>
        <w:t>.</w:t>
      </w:r>
      <w:r w:rsidRPr="00566BD2">
        <w:rPr>
          <w:lang w:val="en-GB"/>
        </w:rPr>
        <w:t xml:space="preserve">  </w:t>
      </w:r>
      <w:proofErr w:type="spellStart"/>
      <w:r w:rsidRPr="00566BD2">
        <w:rPr>
          <w:lang w:val="en-GB"/>
        </w:rPr>
        <w:t>Šumarski</w:t>
      </w:r>
      <w:proofErr w:type="spellEnd"/>
      <w:r w:rsidRPr="00566BD2">
        <w:rPr>
          <w:lang w:val="en-GB"/>
        </w:rPr>
        <w:t xml:space="preserve"> list, 11-12, 551-562</w:t>
      </w:r>
      <w:r>
        <w:rPr>
          <w:lang w:val="en-GB"/>
        </w:rPr>
        <w:t>.</w:t>
      </w:r>
    </w:p>
    <w:p w:rsidR="000D13B9" w:rsidRPr="008E2B68" w:rsidRDefault="000D13B9" w:rsidP="000D13B9">
      <w:pPr>
        <w:pStyle w:val="Odlomakpopisa"/>
        <w:numPr>
          <w:ilvl w:val="0"/>
          <w:numId w:val="16"/>
        </w:numPr>
        <w:spacing w:before="0" w:after="200" w:line="276" w:lineRule="auto"/>
        <w:contextualSpacing/>
        <w:rPr>
          <w:lang w:val="en-GB"/>
        </w:rPr>
      </w:pPr>
      <w:r w:rsidRPr="008E2B68">
        <w:rPr>
          <w:lang w:val="en-GB"/>
        </w:rPr>
        <w:t xml:space="preserve">Mas, M., Robledo, J. C., and Pérez, J. (2012). ICT Sector Definition Transition from NACE Rev. 1.1 to NACE Rev. 2: A Methodological Note. European Commission. JRC Technical Report, Luxembourg. </w:t>
      </w:r>
      <w:proofErr w:type="gramStart"/>
      <w:r w:rsidRPr="008E2B68">
        <w:rPr>
          <w:lang w:val="en-GB"/>
        </w:rPr>
        <w:t>doi:</w:t>
      </w:r>
      <w:proofErr w:type="gramEnd"/>
      <w:r w:rsidRPr="008E2B68">
        <w:rPr>
          <w:lang w:val="en-GB"/>
        </w:rPr>
        <w:t>10.2791/40232.</w:t>
      </w:r>
    </w:p>
    <w:p w:rsidR="000D13B9" w:rsidRPr="00C67099" w:rsidRDefault="000D13B9" w:rsidP="000D13B9">
      <w:pPr>
        <w:pStyle w:val="Odlomakpopisa"/>
        <w:numPr>
          <w:ilvl w:val="0"/>
          <w:numId w:val="16"/>
        </w:numPr>
        <w:autoSpaceDE w:val="0"/>
        <w:autoSpaceDN w:val="0"/>
        <w:adjustRightInd w:val="0"/>
        <w:spacing w:before="0" w:line="276" w:lineRule="auto"/>
        <w:contextualSpacing/>
        <w:rPr>
          <w:rFonts w:eastAsia="TimesNewRoman"/>
          <w:lang w:val="en-GB"/>
        </w:rPr>
      </w:pPr>
      <w:r>
        <w:rPr>
          <w:bCs/>
          <w:lang w:val="en-GB"/>
        </w:rPr>
        <w:lastRenderedPageBreak/>
        <w:t>Mattioli, G. and</w:t>
      </w:r>
      <w:r w:rsidRPr="00566BD2">
        <w:rPr>
          <w:bCs/>
          <w:lang w:val="en-GB"/>
        </w:rPr>
        <w:t xml:space="preserve"> </w:t>
      </w:r>
      <w:proofErr w:type="spellStart"/>
      <w:r w:rsidRPr="00566BD2">
        <w:rPr>
          <w:bCs/>
          <w:lang w:val="en-GB"/>
        </w:rPr>
        <w:t>Lamonica</w:t>
      </w:r>
      <w:proofErr w:type="spellEnd"/>
      <w:r w:rsidRPr="00566BD2">
        <w:rPr>
          <w:bCs/>
          <w:lang w:val="en-GB"/>
        </w:rPr>
        <w:t>,</w:t>
      </w:r>
      <w:r>
        <w:rPr>
          <w:bCs/>
          <w:lang w:val="en-GB"/>
        </w:rPr>
        <w:t xml:space="preserve"> R.</w:t>
      </w:r>
      <w:r w:rsidRPr="00566BD2">
        <w:rPr>
          <w:bCs/>
          <w:lang w:val="en-GB"/>
        </w:rPr>
        <w:t xml:space="preserve"> </w:t>
      </w:r>
      <w:r>
        <w:rPr>
          <w:bCs/>
          <w:lang w:val="en-GB"/>
        </w:rPr>
        <w:t>(</w:t>
      </w:r>
      <w:r w:rsidRPr="00566BD2">
        <w:rPr>
          <w:rFonts w:eastAsia="TimesNewRoman"/>
          <w:lang w:val="en-GB"/>
        </w:rPr>
        <w:t>2013</w:t>
      </w:r>
      <w:r>
        <w:rPr>
          <w:bCs/>
          <w:lang w:val="en-GB"/>
        </w:rPr>
        <w:t xml:space="preserve">). </w:t>
      </w:r>
      <w:r w:rsidRPr="00566BD2">
        <w:rPr>
          <w:bCs/>
          <w:lang w:val="en-GB"/>
        </w:rPr>
        <w:t>The ICT role in the world economy: an inpu</w:t>
      </w:r>
      <w:r>
        <w:rPr>
          <w:bCs/>
          <w:lang w:val="en-GB"/>
        </w:rPr>
        <w:t>t-output Analysis.</w:t>
      </w:r>
      <w:r w:rsidRPr="00566BD2">
        <w:rPr>
          <w:bCs/>
          <w:lang w:val="en-GB"/>
        </w:rPr>
        <w:t xml:space="preserve"> Journal of World Economic Research,</w:t>
      </w:r>
      <w:r w:rsidRPr="00566BD2">
        <w:rPr>
          <w:rFonts w:eastAsia="TimesNewRoman"/>
          <w:lang w:val="en-GB"/>
        </w:rPr>
        <w:t xml:space="preserve"> 2(2)</w:t>
      </w:r>
      <w:r>
        <w:rPr>
          <w:rFonts w:eastAsia="TimesNewRoman"/>
          <w:lang w:val="en-GB"/>
        </w:rPr>
        <w:t>,</w:t>
      </w:r>
      <w:r w:rsidRPr="00566BD2">
        <w:rPr>
          <w:rFonts w:eastAsia="TimesNewRoman"/>
          <w:lang w:val="en-GB"/>
        </w:rPr>
        <w:t xml:space="preserve"> 20-25</w:t>
      </w:r>
      <w:r w:rsidRPr="00C67099">
        <w:rPr>
          <w:rFonts w:eastAsia="TimesNewRoman"/>
          <w:lang w:val="en-GB"/>
        </w:rPr>
        <w:t>.</w:t>
      </w:r>
      <w:r>
        <w:rPr>
          <w:rFonts w:eastAsia="TimesNewRoman"/>
          <w:lang w:val="en-GB"/>
        </w:rPr>
        <w:t xml:space="preserve"> </w:t>
      </w:r>
      <w:proofErr w:type="spellStart"/>
      <w:proofErr w:type="gramStart"/>
      <w:r w:rsidRPr="00C67099">
        <w:rPr>
          <w:bCs/>
          <w:lang w:val="en-GB"/>
        </w:rPr>
        <w:t>doi</w:t>
      </w:r>
      <w:proofErr w:type="spellEnd"/>
      <w:proofErr w:type="gramEnd"/>
      <w:r w:rsidRPr="00C67099">
        <w:rPr>
          <w:bCs/>
          <w:lang w:val="en-GB"/>
        </w:rPr>
        <w:t>: 10.11648/j.jwer.20130202.11</w:t>
      </w:r>
      <w:r>
        <w:rPr>
          <w:bCs/>
          <w:lang w:val="en-GB"/>
        </w:rPr>
        <w:t>.</w:t>
      </w:r>
    </w:p>
    <w:p w:rsidR="000D13B9" w:rsidRPr="00566BD2" w:rsidRDefault="000D13B9" w:rsidP="000D13B9">
      <w:pPr>
        <w:pStyle w:val="Odlomakpopisa"/>
        <w:numPr>
          <w:ilvl w:val="0"/>
          <w:numId w:val="16"/>
        </w:numPr>
        <w:autoSpaceDE w:val="0"/>
        <w:autoSpaceDN w:val="0"/>
        <w:adjustRightInd w:val="0"/>
        <w:spacing w:before="0" w:line="276" w:lineRule="auto"/>
        <w:contextualSpacing/>
        <w:rPr>
          <w:bCs/>
          <w:lang w:val="en-GB"/>
        </w:rPr>
      </w:pPr>
      <w:r w:rsidRPr="00566BD2">
        <w:rPr>
          <w:lang w:val="en-GB"/>
        </w:rPr>
        <w:t>McLennan</w:t>
      </w:r>
      <w:r>
        <w:rPr>
          <w:lang w:val="en-GB"/>
        </w:rPr>
        <w:t>, W. (</w:t>
      </w:r>
      <w:r w:rsidRPr="00566BD2">
        <w:rPr>
          <w:lang w:val="en-GB"/>
        </w:rPr>
        <w:t>2006</w:t>
      </w:r>
      <w:r>
        <w:rPr>
          <w:lang w:val="en-GB"/>
        </w:rPr>
        <w:t xml:space="preserve">). </w:t>
      </w:r>
      <w:r w:rsidRPr="00566BD2">
        <w:rPr>
          <w:lang w:val="en-GB"/>
        </w:rPr>
        <w:t xml:space="preserve">Information paper: Australian national accounts: Introduction to input-output multipliers, No. 5246.0, </w:t>
      </w:r>
      <w:r>
        <w:rPr>
          <w:lang w:val="en-GB"/>
        </w:rPr>
        <w:t>Australian Bureau of Statistics</w:t>
      </w:r>
      <w:r w:rsidRPr="00566BD2">
        <w:rPr>
          <w:lang w:val="en-GB"/>
        </w:rPr>
        <w:t>.</w:t>
      </w:r>
    </w:p>
    <w:p w:rsidR="000D13B9" w:rsidRPr="00566BD2" w:rsidRDefault="000D13B9" w:rsidP="000D13B9">
      <w:pPr>
        <w:pStyle w:val="Odlomakpopisa"/>
        <w:numPr>
          <w:ilvl w:val="0"/>
          <w:numId w:val="16"/>
        </w:numPr>
        <w:spacing w:before="0" w:line="276" w:lineRule="auto"/>
        <w:contextualSpacing/>
        <w:rPr>
          <w:lang w:val="en-GB"/>
        </w:rPr>
      </w:pPr>
      <w:proofErr w:type="spellStart"/>
      <w:r>
        <w:rPr>
          <w:lang w:val="en-GB"/>
        </w:rPr>
        <w:t>Menou</w:t>
      </w:r>
      <w:proofErr w:type="spellEnd"/>
      <w:r>
        <w:rPr>
          <w:lang w:val="en-GB"/>
        </w:rPr>
        <w:t>, M. J. and</w:t>
      </w:r>
      <w:r w:rsidRPr="00566BD2">
        <w:rPr>
          <w:lang w:val="en-GB"/>
        </w:rPr>
        <w:t xml:space="preserve"> Taylor, R. D. (2006)</w:t>
      </w:r>
      <w:r>
        <w:rPr>
          <w:lang w:val="en-GB"/>
        </w:rPr>
        <w:t>.</w:t>
      </w:r>
      <w:r w:rsidRPr="00566BD2">
        <w:rPr>
          <w:lang w:val="en-GB"/>
        </w:rPr>
        <w:t xml:space="preserve"> A grand challenge: Measuring information societies. </w:t>
      </w:r>
      <w:r w:rsidRPr="0088280F">
        <w:rPr>
          <w:lang w:val="en-GB"/>
        </w:rPr>
        <w:t xml:space="preserve">The Information Society </w:t>
      </w:r>
      <w:proofErr w:type="gramStart"/>
      <w:r w:rsidRPr="0088280F">
        <w:rPr>
          <w:lang w:val="en-GB"/>
        </w:rPr>
        <w:t>An</w:t>
      </w:r>
      <w:proofErr w:type="gramEnd"/>
      <w:r w:rsidRPr="0088280F">
        <w:rPr>
          <w:lang w:val="en-GB"/>
        </w:rPr>
        <w:t xml:space="preserve"> International Journal</w:t>
      </w:r>
      <w:r>
        <w:rPr>
          <w:lang w:val="en-GB"/>
        </w:rPr>
        <w:t>,</w:t>
      </w:r>
      <w:r w:rsidRPr="00566BD2">
        <w:rPr>
          <w:lang w:val="en-GB"/>
        </w:rPr>
        <w:t xml:space="preserve"> 22(5), 261–267.</w:t>
      </w:r>
      <w:r>
        <w:rPr>
          <w:lang w:val="en-GB"/>
        </w:rPr>
        <w:t xml:space="preserve"> </w:t>
      </w:r>
      <w:proofErr w:type="spellStart"/>
      <w:proofErr w:type="gramStart"/>
      <w:r>
        <w:rPr>
          <w:lang w:val="en-GB"/>
        </w:rPr>
        <w:t>doi</w:t>
      </w:r>
      <w:proofErr w:type="spellEnd"/>
      <w:proofErr w:type="gramEnd"/>
      <w:r w:rsidRPr="00083FA0">
        <w:rPr>
          <w:lang w:val="en-GB"/>
        </w:rPr>
        <w:t>: 10.1080/01972240600903904</w:t>
      </w:r>
      <w:r>
        <w:rPr>
          <w:lang w:val="en-GB"/>
        </w:rPr>
        <w:t>.</w:t>
      </w:r>
    </w:p>
    <w:p w:rsidR="000D13B9" w:rsidRPr="00B81A7B" w:rsidRDefault="000D13B9" w:rsidP="000D13B9">
      <w:pPr>
        <w:pStyle w:val="Odlomakpopisa"/>
        <w:numPr>
          <w:ilvl w:val="0"/>
          <w:numId w:val="16"/>
        </w:numPr>
        <w:autoSpaceDE w:val="0"/>
        <w:autoSpaceDN w:val="0"/>
        <w:adjustRightInd w:val="0"/>
        <w:spacing w:before="0" w:line="276" w:lineRule="auto"/>
        <w:contextualSpacing/>
        <w:rPr>
          <w:bCs/>
          <w:lang w:val="en-GB"/>
        </w:rPr>
      </w:pPr>
      <w:r w:rsidRPr="008E2B68">
        <w:rPr>
          <w:lang w:val="en-GB"/>
        </w:rPr>
        <w:t xml:space="preserve">Miller, R. E. and Blair, P. D. (2009). Input-Output Analysis: Foundations and </w:t>
      </w:r>
      <w:r w:rsidRPr="00B81A7B">
        <w:rPr>
          <w:lang w:val="en-GB"/>
        </w:rPr>
        <w:t xml:space="preserve">Extensions. </w:t>
      </w:r>
      <w:proofErr w:type="gramStart"/>
      <w:r w:rsidRPr="00B81A7B">
        <w:rPr>
          <w:lang w:val="en-GB"/>
        </w:rPr>
        <w:t>2</w:t>
      </w:r>
      <w:r w:rsidRPr="00B81A7B">
        <w:rPr>
          <w:vertAlign w:val="superscript"/>
          <w:lang w:val="en-GB"/>
        </w:rPr>
        <w:t>nd</w:t>
      </w:r>
      <w:proofErr w:type="gramEnd"/>
      <w:r w:rsidRPr="00B81A7B">
        <w:rPr>
          <w:lang w:val="en-GB"/>
        </w:rPr>
        <w:t xml:space="preserve"> edition, New York: Cambridge University Press.</w:t>
      </w:r>
    </w:p>
    <w:p w:rsidR="000D13B9" w:rsidRPr="00B81A7B" w:rsidRDefault="000D13B9" w:rsidP="000D13B9">
      <w:pPr>
        <w:pStyle w:val="Odlomakpopisa"/>
        <w:numPr>
          <w:ilvl w:val="0"/>
          <w:numId w:val="16"/>
        </w:numPr>
        <w:autoSpaceDE w:val="0"/>
        <w:autoSpaceDN w:val="0"/>
        <w:adjustRightInd w:val="0"/>
        <w:spacing w:before="0" w:line="276" w:lineRule="auto"/>
        <w:contextualSpacing/>
        <w:rPr>
          <w:rStyle w:val="TekstbaloniaChar"/>
          <w:rFonts w:ascii="Times New Roman" w:hAnsi="Times New Roman" w:cs="Times New Roman"/>
          <w:bCs/>
          <w:sz w:val="24"/>
          <w:szCs w:val="24"/>
          <w:lang w:val="en-GB"/>
        </w:rPr>
      </w:pPr>
      <w:proofErr w:type="spellStart"/>
      <w:r w:rsidRPr="00B81A7B">
        <w:rPr>
          <w:rStyle w:val="TekstbaloniaChar"/>
          <w:rFonts w:ascii="Times New Roman" w:hAnsi="Times New Roman" w:cs="Times New Roman"/>
          <w:bCs/>
          <w:sz w:val="24"/>
          <w:szCs w:val="24"/>
          <w:lang w:val="en-GB"/>
        </w:rPr>
        <w:t>Nashab</w:t>
      </w:r>
      <w:proofErr w:type="spellEnd"/>
      <w:r w:rsidRPr="00B81A7B">
        <w:rPr>
          <w:rStyle w:val="TekstbaloniaChar"/>
          <w:rFonts w:ascii="Times New Roman" w:hAnsi="Times New Roman" w:cs="Times New Roman"/>
          <w:bCs/>
          <w:sz w:val="24"/>
          <w:szCs w:val="24"/>
          <w:lang w:val="en-GB"/>
        </w:rPr>
        <w:t xml:space="preserve">, E. H. and </w:t>
      </w:r>
      <w:proofErr w:type="spellStart"/>
      <w:r w:rsidRPr="00B81A7B">
        <w:rPr>
          <w:rStyle w:val="TekstbaloniaChar"/>
          <w:rFonts w:ascii="Times New Roman" w:hAnsi="Times New Roman" w:cs="Times New Roman"/>
          <w:bCs/>
          <w:sz w:val="24"/>
          <w:szCs w:val="24"/>
          <w:lang w:val="en-GB"/>
        </w:rPr>
        <w:t>Aghaei</w:t>
      </w:r>
      <w:proofErr w:type="spellEnd"/>
      <w:r w:rsidRPr="00B81A7B">
        <w:rPr>
          <w:rStyle w:val="TekstbaloniaChar"/>
          <w:rFonts w:ascii="Times New Roman" w:hAnsi="Times New Roman" w:cs="Times New Roman"/>
          <w:bCs/>
          <w:sz w:val="24"/>
          <w:szCs w:val="24"/>
          <w:lang w:val="en-GB"/>
        </w:rPr>
        <w:t xml:space="preserve">, M. (2009). The Effect of ICT on Economic Growth: Further Evidence. International Bulletin of Business Administration, No. 5, 46-56. </w:t>
      </w:r>
    </w:p>
    <w:p w:rsidR="000D13B9" w:rsidRPr="0032315B" w:rsidRDefault="000D13B9" w:rsidP="000D13B9">
      <w:pPr>
        <w:pStyle w:val="Odlomakpopisa"/>
        <w:numPr>
          <w:ilvl w:val="0"/>
          <w:numId w:val="16"/>
        </w:numPr>
        <w:autoSpaceDE w:val="0"/>
        <w:autoSpaceDN w:val="0"/>
        <w:adjustRightInd w:val="0"/>
        <w:spacing w:before="0" w:line="276" w:lineRule="auto"/>
        <w:contextualSpacing/>
        <w:rPr>
          <w:rStyle w:val="TekstbaloniaChar"/>
          <w:rFonts w:ascii="Times New Roman" w:hAnsi="Times New Roman" w:cs="Times New Roman"/>
          <w:sz w:val="24"/>
          <w:szCs w:val="24"/>
          <w:lang w:val="en-GB"/>
        </w:rPr>
      </w:pPr>
      <w:r w:rsidRPr="0032315B">
        <w:rPr>
          <w:lang w:val="en-GB"/>
        </w:rPr>
        <w:t xml:space="preserve">OECD. (2009). Information Economy Product Definitions Based on the Central Product Classification (version 2). OECD. Digital Economy Papers No. 158. </w:t>
      </w:r>
      <w:proofErr w:type="gramStart"/>
      <w:r w:rsidRPr="0032315B">
        <w:rPr>
          <w:lang w:val="en-GB"/>
        </w:rPr>
        <w:t>doi:</w:t>
      </w:r>
      <w:proofErr w:type="gramEnd"/>
      <w:r w:rsidRPr="0032315B">
        <w:rPr>
          <w:lang w:val="en-GB"/>
        </w:rPr>
        <w:t>10.1787/222222056845.</w:t>
      </w:r>
    </w:p>
    <w:p w:rsidR="000D13B9" w:rsidRPr="00E41E1C" w:rsidRDefault="000D13B9" w:rsidP="000D13B9">
      <w:pPr>
        <w:pStyle w:val="Odlomakpopisa"/>
        <w:numPr>
          <w:ilvl w:val="0"/>
          <w:numId w:val="16"/>
        </w:numPr>
        <w:autoSpaceDE w:val="0"/>
        <w:autoSpaceDN w:val="0"/>
        <w:adjustRightInd w:val="0"/>
        <w:spacing w:before="0" w:line="276" w:lineRule="auto"/>
        <w:contextualSpacing/>
        <w:rPr>
          <w:bCs/>
          <w:lang w:val="en-GB"/>
        </w:rPr>
      </w:pPr>
      <w:r w:rsidRPr="00E41E1C">
        <w:rPr>
          <w:rStyle w:val="TekstbaloniaChar"/>
          <w:rFonts w:ascii="Times New Roman" w:hAnsi="Times New Roman" w:cs="Times New Roman"/>
          <w:bCs/>
          <w:sz w:val="24"/>
          <w:szCs w:val="24"/>
          <w:lang w:val="en-GB"/>
        </w:rPr>
        <w:t xml:space="preserve">OECD. (2014). Measuring the Digital Economy: A New Perspective, OECD Publishing. http://www.keepeek.com/Digital-Asset-Management/oecd/ science-and-technology/measuring-the-digital-economy_9789264221796-en#page1 [Accessed 15/03/15]. </w:t>
      </w:r>
      <w:proofErr w:type="spellStart"/>
      <w:r w:rsidRPr="00182EC8">
        <w:rPr>
          <w:rStyle w:val="TekstbaloniaChar"/>
          <w:rFonts w:ascii="Times New Roman" w:hAnsi="Times New Roman" w:cs="Times New Roman"/>
          <w:bCs/>
          <w:sz w:val="24"/>
          <w:szCs w:val="24"/>
          <w:lang w:val="en-GB"/>
        </w:rPr>
        <w:t>doi</w:t>
      </w:r>
      <w:r>
        <w:rPr>
          <w:rStyle w:val="TekstbaloniaChar"/>
          <w:rFonts w:ascii="Times New Roman" w:hAnsi="Times New Roman" w:cs="Times New Roman"/>
          <w:bCs/>
          <w:sz w:val="24"/>
          <w:szCs w:val="24"/>
          <w:lang w:val="en-GB"/>
        </w:rPr>
        <w:t>:</w:t>
      </w:r>
      <w:r w:rsidRPr="00182EC8">
        <w:rPr>
          <w:rStyle w:val="TekstbaloniaChar"/>
          <w:rFonts w:ascii="Times New Roman" w:hAnsi="Times New Roman" w:cs="Times New Roman"/>
          <w:bCs/>
          <w:sz w:val="24"/>
          <w:szCs w:val="24"/>
          <w:lang w:val="en-GB"/>
        </w:rPr>
        <w:t>http</w:t>
      </w:r>
      <w:proofErr w:type="spellEnd"/>
      <w:r w:rsidRPr="00182EC8">
        <w:rPr>
          <w:rStyle w:val="TekstbaloniaChar"/>
          <w:rFonts w:ascii="Times New Roman" w:hAnsi="Times New Roman" w:cs="Times New Roman"/>
          <w:bCs/>
          <w:sz w:val="24"/>
          <w:szCs w:val="24"/>
          <w:lang w:val="en-GB"/>
        </w:rPr>
        <w:t>://dx.doi.org/10.1787/9789264221796-en</w:t>
      </w:r>
      <w:r>
        <w:rPr>
          <w:rStyle w:val="TekstbaloniaChar"/>
          <w:rFonts w:ascii="Times New Roman" w:hAnsi="Times New Roman" w:cs="Times New Roman"/>
          <w:bCs/>
          <w:sz w:val="24"/>
          <w:szCs w:val="24"/>
          <w:lang w:val="en-GB"/>
        </w:rPr>
        <w:t>.</w:t>
      </w:r>
    </w:p>
    <w:p w:rsidR="000D13B9" w:rsidRPr="00566BD2" w:rsidRDefault="000D13B9" w:rsidP="000D13B9">
      <w:pPr>
        <w:pStyle w:val="Odlomakpopisa"/>
        <w:numPr>
          <w:ilvl w:val="0"/>
          <w:numId w:val="16"/>
        </w:numPr>
        <w:autoSpaceDE w:val="0"/>
        <w:autoSpaceDN w:val="0"/>
        <w:adjustRightInd w:val="0"/>
        <w:spacing w:before="0" w:line="276" w:lineRule="auto"/>
        <w:contextualSpacing/>
        <w:rPr>
          <w:rStyle w:val="TekstbaloniaChar"/>
          <w:rFonts w:ascii="Times New Roman" w:hAnsi="Times New Roman" w:cs="Times New Roman"/>
          <w:bCs/>
          <w:sz w:val="24"/>
          <w:szCs w:val="24"/>
          <w:lang w:val="en-GB"/>
        </w:rPr>
      </w:pPr>
      <w:proofErr w:type="spellStart"/>
      <w:r>
        <w:rPr>
          <w:rStyle w:val="TekstbaloniaChar"/>
          <w:rFonts w:ascii="Times New Roman" w:hAnsi="Times New Roman" w:cs="Times New Roman"/>
          <w:bCs/>
          <w:sz w:val="24"/>
          <w:szCs w:val="24"/>
          <w:lang w:val="en-GB"/>
        </w:rPr>
        <w:t>Oliner</w:t>
      </w:r>
      <w:proofErr w:type="spellEnd"/>
      <w:r>
        <w:rPr>
          <w:rStyle w:val="TekstbaloniaChar"/>
          <w:rFonts w:ascii="Times New Roman" w:hAnsi="Times New Roman" w:cs="Times New Roman"/>
          <w:bCs/>
          <w:sz w:val="24"/>
          <w:szCs w:val="24"/>
          <w:lang w:val="en-GB"/>
        </w:rPr>
        <w:t>, S. D. and</w:t>
      </w:r>
      <w:r w:rsidRPr="00566BD2">
        <w:rPr>
          <w:rStyle w:val="TekstbaloniaChar"/>
          <w:rFonts w:ascii="Times New Roman" w:hAnsi="Times New Roman" w:cs="Times New Roman"/>
          <w:bCs/>
          <w:sz w:val="24"/>
          <w:szCs w:val="24"/>
          <w:lang w:val="en-GB"/>
        </w:rPr>
        <w:t xml:space="preserve"> </w:t>
      </w:r>
      <w:proofErr w:type="spellStart"/>
      <w:r w:rsidRPr="00566BD2">
        <w:rPr>
          <w:rStyle w:val="TekstbaloniaChar"/>
          <w:rFonts w:ascii="Times New Roman" w:hAnsi="Times New Roman" w:cs="Times New Roman"/>
          <w:bCs/>
          <w:sz w:val="24"/>
          <w:szCs w:val="24"/>
          <w:lang w:val="en-GB"/>
        </w:rPr>
        <w:t>Sichel</w:t>
      </w:r>
      <w:proofErr w:type="spellEnd"/>
      <w:r w:rsidRPr="00566BD2">
        <w:rPr>
          <w:rStyle w:val="TekstbaloniaChar"/>
          <w:rFonts w:ascii="Times New Roman" w:hAnsi="Times New Roman" w:cs="Times New Roman"/>
          <w:bCs/>
          <w:sz w:val="24"/>
          <w:szCs w:val="24"/>
          <w:lang w:val="en-GB"/>
        </w:rPr>
        <w:t>, D. E. (2000)</w:t>
      </w:r>
      <w:r>
        <w:rPr>
          <w:rStyle w:val="TekstbaloniaChar"/>
          <w:rFonts w:ascii="Times New Roman" w:hAnsi="Times New Roman" w:cs="Times New Roman"/>
          <w:bCs/>
          <w:sz w:val="24"/>
          <w:szCs w:val="24"/>
          <w:lang w:val="en-GB"/>
        </w:rPr>
        <w:t>.</w:t>
      </w:r>
      <w:r w:rsidRPr="00566BD2">
        <w:rPr>
          <w:rStyle w:val="TekstbaloniaChar"/>
          <w:rFonts w:ascii="Times New Roman" w:hAnsi="Times New Roman" w:cs="Times New Roman"/>
          <w:bCs/>
          <w:sz w:val="24"/>
          <w:szCs w:val="24"/>
          <w:lang w:val="en-GB"/>
        </w:rPr>
        <w:t xml:space="preserve"> The resurgence of growth in the late 1990s: Is information technology the story</w:t>
      </w:r>
      <w:proofErr w:type="gramStart"/>
      <w:r w:rsidRPr="00566BD2">
        <w:rPr>
          <w:rStyle w:val="TekstbaloniaChar"/>
          <w:rFonts w:ascii="Times New Roman" w:hAnsi="Times New Roman" w:cs="Times New Roman"/>
          <w:bCs/>
          <w:sz w:val="24"/>
          <w:szCs w:val="24"/>
          <w:lang w:val="en-GB"/>
        </w:rPr>
        <w:t>?.</w:t>
      </w:r>
      <w:proofErr w:type="gramEnd"/>
      <w:r w:rsidRPr="00566BD2">
        <w:rPr>
          <w:rStyle w:val="TekstbaloniaChar"/>
          <w:rFonts w:ascii="Times New Roman" w:hAnsi="Times New Roman" w:cs="Times New Roman"/>
          <w:bCs/>
          <w:sz w:val="24"/>
          <w:szCs w:val="24"/>
          <w:lang w:val="en-GB"/>
        </w:rPr>
        <w:t xml:space="preserve"> </w:t>
      </w:r>
      <w:r w:rsidRPr="0088280F">
        <w:rPr>
          <w:rStyle w:val="TekstbaloniaChar"/>
          <w:rFonts w:ascii="Times New Roman" w:hAnsi="Times New Roman" w:cs="Times New Roman"/>
          <w:bCs/>
          <w:sz w:val="24"/>
          <w:szCs w:val="24"/>
          <w:lang w:val="en-GB"/>
        </w:rPr>
        <w:t>Journal of Economic Perspectives</w:t>
      </w:r>
      <w:r>
        <w:rPr>
          <w:rStyle w:val="TekstbaloniaChar"/>
          <w:rFonts w:ascii="Times New Roman" w:hAnsi="Times New Roman" w:cs="Times New Roman"/>
          <w:bCs/>
          <w:sz w:val="24"/>
          <w:szCs w:val="24"/>
          <w:lang w:val="en-GB"/>
        </w:rPr>
        <w:t xml:space="preserve">, </w:t>
      </w:r>
      <w:r w:rsidRPr="00566BD2">
        <w:rPr>
          <w:rStyle w:val="TekstbaloniaChar"/>
          <w:rFonts w:ascii="Times New Roman" w:hAnsi="Times New Roman" w:cs="Times New Roman"/>
          <w:bCs/>
          <w:sz w:val="24"/>
          <w:szCs w:val="24"/>
          <w:lang w:val="en-GB"/>
        </w:rPr>
        <w:t>14(3), 3–22.</w:t>
      </w:r>
      <w:r>
        <w:rPr>
          <w:rStyle w:val="TekstbaloniaChar"/>
          <w:rFonts w:ascii="Times New Roman" w:hAnsi="Times New Roman" w:cs="Times New Roman"/>
          <w:bCs/>
          <w:sz w:val="24"/>
          <w:szCs w:val="24"/>
          <w:lang w:val="en-GB"/>
        </w:rPr>
        <w:t xml:space="preserve"> </w:t>
      </w:r>
      <w:r w:rsidRPr="00BD1E74">
        <w:rPr>
          <w:rStyle w:val="TekstbaloniaChar"/>
          <w:rFonts w:ascii="Times New Roman" w:hAnsi="Times New Roman" w:cs="Times New Roman"/>
          <w:bCs/>
          <w:sz w:val="24"/>
          <w:szCs w:val="24"/>
          <w:lang w:val="en-GB"/>
        </w:rPr>
        <w:t>doi</w:t>
      </w:r>
      <w:r>
        <w:rPr>
          <w:rStyle w:val="TekstbaloniaChar"/>
          <w:rFonts w:ascii="Times New Roman" w:hAnsi="Times New Roman" w:cs="Times New Roman"/>
          <w:bCs/>
          <w:sz w:val="24"/>
          <w:szCs w:val="24"/>
          <w:lang w:val="en-GB"/>
        </w:rPr>
        <w:t>:</w:t>
      </w:r>
      <w:r w:rsidRPr="00BD1E74">
        <w:rPr>
          <w:rStyle w:val="TekstbaloniaChar"/>
          <w:rFonts w:ascii="Times New Roman" w:hAnsi="Times New Roman" w:cs="Times New Roman"/>
          <w:bCs/>
          <w:sz w:val="24"/>
          <w:szCs w:val="24"/>
          <w:lang w:val="en-GB"/>
        </w:rPr>
        <w:t>10.1257/jep.14.4.3</w:t>
      </w:r>
      <w:r>
        <w:rPr>
          <w:rStyle w:val="TekstbaloniaChar"/>
          <w:rFonts w:ascii="Times New Roman" w:hAnsi="Times New Roman" w:cs="Times New Roman"/>
          <w:bCs/>
          <w:sz w:val="24"/>
          <w:szCs w:val="24"/>
          <w:lang w:val="en-GB"/>
        </w:rPr>
        <w:t>.</w:t>
      </w:r>
    </w:p>
    <w:p w:rsidR="000D13B9" w:rsidRPr="00566BD2" w:rsidRDefault="000D13B9" w:rsidP="000D13B9">
      <w:pPr>
        <w:pStyle w:val="Odlomakpopisa"/>
        <w:numPr>
          <w:ilvl w:val="0"/>
          <w:numId w:val="16"/>
        </w:numPr>
        <w:autoSpaceDE w:val="0"/>
        <w:autoSpaceDN w:val="0"/>
        <w:adjustRightInd w:val="0"/>
        <w:spacing w:before="0" w:line="276" w:lineRule="auto"/>
        <w:contextualSpacing/>
        <w:rPr>
          <w:rStyle w:val="TekstbaloniaChar"/>
          <w:rFonts w:ascii="Times New Roman" w:hAnsi="Times New Roman" w:cs="Times New Roman"/>
          <w:bCs/>
          <w:sz w:val="24"/>
          <w:szCs w:val="24"/>
          <w:lang w:val="en-GB"/>
        </w:rPr>
      </w:pPr>
      <w:proofErr w:type="spellStart"/>
      <w:r>
        <w:rPr>
          <w:rStyle w:val="TekstbaloniaChar"/>
          <w:rFonts w:ascii="Times New Roman" w:hAnsi="Times New Roman" w:cs="Times New Roman"/>
          <w:bCs/>
          <w:sz w:val="24"/>
          <w:szCs w:val="24"/>
          <w:lang w:val="en-GB"/>
        </w:rPr>
        <w:t>Oliner</w:t>
      </w:r>
      <w:proofErr w:type="spellEnd"/>
      <w:r>
        <w:rPr>
          <w:rStyle w:val="TekstbaloniaChar"/>
          <w:rFonts w:ascii="Times New Roman" w:hAnsi="Times New Roman" w:cs="Times New Roman"/>
          <w:bCs/>
          <w:sz w:val="24"/>
          <w:szCs w:val="24"/>
          <w:lang w:val="en-GB"/>
        </w:rPr>
        <w:t>, S. D. and</w:t>
      </w:r>
      <w:r w:rsidRPr="00566BD2">
        <w:rPr>
          <w:rStyle w:val="TekstbaloniaChar"/>
          <w:rFonts w:ascii="Times New Roman" w:hAnsi="Times New Roman" w:cs="Times New Roman"/>
          <w:bCs/>
          <w:sz w:val="24"/>
          <w:szCs w:val="24"/>
          <w:lang w:val="en-GB"/>
        </w:rPr>
        <w:t xml:space="preserve"> </w:t>
      </w:r>
      <w:proofErr w:type="spellStart"/>
      <w:r w:rsidRPr="00566BD2">
        <w:rPr>
          <w:rStyle w:val="TekstbaloniaChar"/>
          <w:rFonts w:ascii="Times New Roman" w:hAnsi="Times New Roman" w:cs="Times New Roman"/>
          <w:bCs/>
          <w:sz w:val="24"/>
          <w:szCs w:val="24"/>
          <w:lang w:val="en-GB"/>
        </w:rPr>
        <w:t>Sichel</w:t>
      </w:r>
      <w:proofErr w:type="spellEnd"/>
      <w:r w:rsidRPr="00566BD2">
        <w:rPr>
          <w:rStyle w:val="TekstbaloniaChar"/>
          <w:rFonts w:ascii="Times New Roman" w:hAnsi="Times New Roman" w:cs="Times New Roman"/>
          <w:bCs/>
          <w:sz w:val="24"/>
          <w:szCs w:val="24"/>
          <w:lang w:val="en-GB"/>
        </w:rPr>
        <w:t>, D. E. (2002)</w:t>
      </w:r>
      <w:r>
        <w:rPr>
          <w:rStyle w:val="TekstbaloniaChar"/>
          <w:rFonts w:ascii="Times New Roman" w:hAnsi="Times New Roman" w:cs="Times New Roman"/>
          <w:bCs/>
          <w:sz w:val="24"/>
          <w:szCs w:val="24"/>
          <w:lang w:val="en-GB"/>
        </w:rPr>
        <w:t>.</w:t>
      </w:r>
      <w:r w:rsidRPr="00566BD2">
        <w:rPr>
          <w:rStyle w:val="TekstbaloniaChar"/>
          <w:rFonts w:ascii="Times New Roman" w:hAnsi="Times New Roman" w:cs="Times New Roman"/>
          <w:bCs/>
          <w:sz w:val="24"/>
          <w:szCs w:val="24"/>
          <w:lang w:val="en-GB"/>
        </w:rPr>
        <w:t xml:space="preserve"> Information technology and productivity: Where are we now and where are we going</w:t>
      </w:r>
      <w:proofErr w:type="gramStart"/>
      <w:r w:rsidRPr="00566BD2">
        <w:rPr>
          <w:rStyle w:val="TekstbaloniaChar"/>
          <w:rFonts w:ascii="Times New Roman" w:hAnsi="Times New Roman" w:cs="Times New Roman"/>
          <w:bCs/>
          <w:sz w:val="24"/>
          <w:szCs w:val="24"/>
          <w:lang w:val="en-GB"/>
        </w:rPr>
        <w:t>?.</w:t>
      </w:r>
      <w:proofErr w:type="gramEnd"/>
      <w:r w:rsidRPr="00566BD2">
        <w:rPr>
          <w:rStyle w:val="TekstbaloniaChar"/>
          <w:rFonts w:ascii="Times New Roman" w:hAnsi="Times New Roman" w:cs="Times New Roman"/>
          <w:bCs/>
          <w:sz w:val="24"/>
          <w:szCs w:val="24"/>
          <w:lang w:val="en-GB"/>
        </w:rPr>
        <w:t xml:space="preserve"> </w:t>
      </w:r>
      <w:r w:rsidRPr="0088280F">
        <w:rPr>
          <w:rStyle w:val="TekstbaloniaChar"/>
          <w:rFonts w:ascii="Times New Roman" w:hAnsi="Times New Roman" w:cs="Times New Roman"/>
          <w:bCs/>
          <w:sz w:val="24"/>
          <w:szCs w:val="24"/>
          <w:lang w:val="en-GB"/>
        </w:rPr>
        <w:t>Federal Reserve Bank of Atlanta Economic Review</w:t>
      </w:r>
      <w:r>
        <w:rPr>
          <w:rStyle w:val="TekstbaloniaChar"/>
          <w:rFonts w:ascii="Times New Roman" w:hAnsi="Times New Roman" w:cs="Times New Roman"/>
          <w:bCs/>
          <w:sz w:val="24"/>
          <w:szCs w:val="24"/>
          <w:lang w:val="en-GB"/>
        </w:rPr>
        <w:t>,</w:t>
      </w:r>
      <w:r w:rsidRPr="00566BD2">
        <w:rPr>
          <w:rStyle w:val="TekstbaloniaChar"/>
          <w:rFonts w:ascii="Times New Roman" w:hAnsi="Times New Roman" w:cs="Times New Roman"/>
          <w:bCs/>
          <w:sz w:val="24"/>
          <w:szCs w:val="24"/>
          <w:lang w:val="en-GB"/>
        </w:rPr>
        <w:t xml:space="preserve"> 3, 1–13.</w:t>
      </w:r>
      <w:r>
        <w:rPr>
          <w:rStyle w:val="TekstbaloniaChar"/>
          <w:rFonts w:ascii="Times New Roman" w:hAnsi="Times New Roman" w:cs="Times New Roman"/>
          <w:bCs/>
          <w:sz w:val="24"/>
          <w:szCs w:val="24"/>
          <w:lang w:val="en-GB"/>
        </w:rPr>
        <w:t xml:space="preserve"> </w:t>
      </w:r>
      <w:proofErr w:type="gramStart"/>
      <w:r>
        <w:rPr>
          <w:rStyle w:val="TekstbaloniaChar"/>
          <w:rFonts w:ascii="Times New Roman" w:hAnsi="Times New Roman" w:cs="Times New Roman"/>
          <w:bCs/>
          <w:sz w:val="24"/>
          <w:szCs w:val="24"/>
          <w:lang w:val="en-GB"/>
        </w:rPr>
        <w:t>doi:</w:t>
      </w:r>
      <w:proofErr w:type="gramEnd"/>
      <w:r w:rsidRPr="00C017AB">
        <w:rPr>
          <w:rStyle w:val="TekstbaloniaChar"/>
          <w:rFonts w:ascii="Times New Roman" w:hAnsi="Times New Roman" w:cs="Times New Roman"/>
          <w:bCs/>
          <w:sz w:val="24"/>
          <w:szCs w:val="24"/>
          <w:lang w:val="en-GB"/>
        </w:rPr>
        <w:t>10.1007/978-1-4615-0325-5_4</w:t>
      </w:r>
      <w:r>
        <w:rPr>
          <w:rStyle w:val="TekstbaloniaChar"/>
          <w:rFonts w:ascii="Times New Roman" w:hAnsi="Times New Roman" w:cs="Times New Roman"/>
          <w:bCs/>
          <w:sz w:val="24"/>
          <w:szCs w:val="24"/>
          <w:lang w:val="en-GB"/>
        </w:rPr>
        <w:t>.</w:t>
      </w:r>
    </w:p>
    <w:p w:rsidR="000D13B9" w:rsidRPr="00C67099" w:rsidRDefault="000D13B9" w:rsidP="000D13B9">
      <w:pPr>
        <w:pStyle w:val="Odlomakpopisa"/>
        <w:numPr>
          <w:ilvl w:val="0"/>
          <w:numId w:val="16"/>
        </w:numPr>
        <w:autoSpaceDE w:val="0"/>
        <w:autoSpaceDN w:val="0"/>
        <w:adjustRightInd w:val="0"/>
        <w:spacing w:before="0" w:line="276" w:lineRule="auto"/>
        <w:contextualSpacing/>
        <w:rPr>
          <w:rStyle w:val="TekstbaloniaChar"/>
          <w:rFonts w:ascii="Times New Roman" w:hAnsi="Times New Roman" w:cs="Times New Roman"/>
          <w:bCs/>
          <w:sz w:val="24"/>
          <w:szCs w:val="24"/>
          <w:lang w:val="en-GB"/>
        </w:rPr>
      </w:pPr>
      <w:r w:rsidRPr="00566BD2">
        <w:rPr>
          <w:lang w:val="en-GB"/>
        </w:rPr>
        <w:t>Peterson</w:t>
      </w:r>
      <w:r>
        <w:rPr>
          <w:lang w:val="en-GB"/>
        </w:rPr>
        <w:t>, B. and</w:t>
      </w:r>
      <w:r w:rsidRPr="00566BD2">
        <w:rPr>
          <w:lang w:val="en-GB"/>
        </w:rPr>
        <w:t xml:space="preserve"> </w:t>
      </w:r>
      <w:proofErr w:type="spellStart"/>
      <w:r w:rsidRPr="00566BD2">
        <w:rPr>
          <w:lang w:val="en-GB"/>
        </w:rPr>
        <w:t>Olinick</w:t>
      </w:r>
      <w:proofErr w:type="spellEnd"/>
      <w:r>
        <w:rPr>
          <w:lang w:val="en-GB"/>
        </w:rPr>
        <w:t>,</w:t>
      </w:r>
      <w:r w:rsidRPr="00566BD2">
        <w:rPr>
          <w:lang w:val="en-GB"/>
        </w:rPr>
        <w:t xml:space="preserve"> M. </w:t>
      </w:r>
      <w:r>
        <w:rPr>
          <w:lang w:val="en-GB"/>
        </w:rPr>
        <w:t>(</w:t>
      </w:r>
      <w:r w:rsidRPr="00566BD2">
        <w:rPr>
          <w:lang w:val="en-GB"/>
        </w:rPr>
        <w:t>1982</w:t>
      </w:r>
      <w:r>
        <w:rPr>
          <w:lang w:val="en-GB"/>
        </w:rPr>
        <w:t>).</w:t>
      </w:r>
      <w:r w:rsidRPr="00566BD2">
        <w:rPr>
          <w:lang w:val="en-GB"/>
        </w:rPr>
        <w:t xml:space="preserve"> Leontief Models, Markov Chains, </w:t>
      </w:r>
      <w:proofErr w:type="spellStart"/>
      <w:r w:rsidRPr="00566BD2">
        <w:rPr>
          <w:lang w:val="en-GB"/>
        </w:rPr>
        <w:t>Substochastic</w:t>
      </w:r>
      <w:proofErr w:type="spellEnd"/>
      <w:r w:rsidRPr="00566BD2">
        <w:rPr>
          <w:lang w:val="en-GB"/>
        </w:rPr>
        <w:t xml:space="preserve"> Matrices, and Positiv</w:t>
      </w:r>
      <w:r>
        <w:rPr>
          <w:lang w:val="en-GB"/>
        </w:rPr>
        <w:t>e Solutions of Matrix Equations.</w:t>
      </w:r>
      <w:r w:rsidRPr="00566BD2">
        <w:rPr>
          <w:lang w:val="en-GB"/>
        </w:rPr>
        <w:t xml:space="preserve"> Mathematical Modelling, </w:t>
      </w:r>
      <w:proofErr w:type="gramStart"/>
      <w:r w:rsidRPr="00566BD2">
        <w:rPr>
          <w:lang w:val="en-GB"/>
        </w:rPr>
        <w:t>3</w:t>
      </w:r>
      <w:proofErr w:type="gramEnd"/>
      <w:r w:rsidRPr="00566BD2">
        <w:rPr>
          <w:lang w:val="en-GB"/>
        </w:rPr>
        <w:t>, 221-239.</w:t>
      </w:r>
      <w:r>
        <w:rPr>
          <w:lang w:val="en-GB"/>
        </w:rPr>
        <w:t xml:space="preserve"> </w:t>
      </w:r>
      <w:hyperlink r:id="rId9" w:tgtFrame="doilink" w:history="1">
        <w:proofErr w:type="gramStart"/>
        <w:r w:rsidRPr="00C67099">
          <w:rPr>
            <w:lang w:val="en-GB"/>
          </w:rPr>
          <w:t>doi:</w:t>
        </w:r>
        <w:proofErr w:type="gramEnd"/>
        <w:r w:rsidRPr="00C67099">
          <w:rPr>
            <w:lang w:val="en-GB"/>
          </w:rPr>
          <w:t>10.1016/0270-0255(82)90027-6</w:t>
        </w:r>
      </w:hyperlink>
      <w:r>
        <w:rPr>
          <w:lang w:val="en-GB"/>
        </w:rPr>
        <w:t>.</w:t>
      </w:r>
    </w:p>
    <w:p w:rsidR="000D13B9" w:rsidRPr="00566BD2" w:rsidRDefault="000D13B9" w:rsidP="000D13B9">
      <w:pPr>
        <w:pStyle w:val="Odlomakpopisa"/>
        <w:numPr>
          <w:ilvl w:val="0"/>
          <w:numId w:val="16"/>
        </w:numPr>
        <w:autoSpaceDE w:val="0"/>
        <w:autoSpaceDN w:val="0"/>
        <w:adjustRightInd w:val="0"/>
        <w:spacing w:before="0" w:line="276" w:lineRule="auto"/>
        <w:contextualSpacing/>
        <w:rPr>
          <w:rStyle w:val="TekstbaloniaChar"/>
          <w:rFonts w:ascii="Times New Roman" w:hAnsi="Times New Roman" w:cs="Times New Roman"/>
          <w:bCs/>
          <w:sz w:val="24"/>
          <w:szCs w:val="24"/>
          <w:lang w:val="en-GB"/>
        </w:rPr>
      </w:pPr>
      <w:proofErr w:type="spellStart"/>
      <w:r w:rsidRPr="00566BD2">
        <w:rPr>
          <w:rStyle w:val="TekstbaloniaChar"/>
          <w:rFonts w:ascii="Times New Roman" w:hAnsi="Times New Roman" w:cs="Times New Roman"/>
          <w:bCs/>
          <w:sz w:val="24"/>
          <w:szCs w:val="24"/>
          <w:lang w:val="en-GB"/>
        </w:rPr>
        <w:t>Popova</w:t>
      </w:r>
      <w:proofErr w:type="spellEnd"/>
      <w:r w:rsidRPr="00566BD2">
        <w:rPr>
          <w:rStyle w:val="TekstbaloniaChar"/>
          <w:rFonts w:ascii="Times New Roman" w:hAnsi="Times New Roman" w:cs="Times New Roman"/>
          <w:bCs/>
          <w:sz w:val="24"/>
          <w:szCs w:val="24"/>
          <w:lang w:val="en-GB"/>
        </w:rPr>
        <w:t xml:space="preserve">, I., Popov, O., </w:t>
      </w:r>
      <w:r>
        <w:rPr>
          <w:rStyle w:val="TekstbaloniaChar"/>
          <w:rFonts w:ascii="Times New Roman" w:hAnsi="Times New Roman" w:cs="Times New Roman"/>
          <w:bCs/>
          <w:sz w:val="24"/>
          <w:szCs w:val="24"/>
          <w:lang w:val="en-GB"/>
        </w:rPr>
        <w:t xml:space="preserve">and </w:t>
      </w:r>
      <w:proofErr w:type="spellStart"/>
      <w:r w:rsidRPr="00566BD2">
        <w:rPr>
          <w:rStyle w:val="TekstbaloniaChar"/>
          <w:rFonts w:ascii="Times New Roman" w:hAnsi="Times New Roman" w:cs="Times New Roman"/>
          <w:bCs/>
          <w:sz w:val="24"/>
          <w:szCs w:val="24"/>
          <w:lang w:val="en-GB"/>
        </w:rPr>
        <w:t>Dalin</w:t>
      </w:r>
      <w:proofErr w:type="spellEnd"/>
      <w:r w:rsidRPr="00566BD2">
        <w:rPr>
          <w:rStyle w:val="TekstbaloniaChar"/>
          <w:rFonts w:ascii="Times New Roman" w:hAnsi="Times New Roman" w:cs="Times New Roman"/>
          <w:bCs/>
          <w:sz w:val="24"/>
          <w:szCs w:val="24"/>
          <w:lang w:val="en-GB"/>
        </w:rPr>
        <w:t>, R. (2005)</w:t>
      </w:r>
      <w:r>
        <w:rPr>
          <w:rStyle w:val="TekstbaloniaChar"/>
          <w:rFonts w:ascii="Times New Roman" w:hAnsi="Times New Roman" w:cs="Times New Roman"/>
          <w:bCs/>
          <w:sz w:val="24"/>
          <w:szCs w:val="24"/>
          <w:lang w:val="en-GB"/>
        </w:rPr>
        <w:t>.</w:t>
      </w:r>
      <w:r w:rsidRPr="00566BD2">
        <w:rPr>
          <w:rStyle w:val="TekstbaloniaChar"/>
          <w:rFonts w:ascii="Times New Roman" w:hAnsi="Times New Roman" w:cs="Times New Roman"/>
          <w:bCs/>
          <w:sz w:val="24"/>
          <w:szCs w:val="24"/>
          <w:lang w:val="en-GB"/>
        </w:rPr>
        <w:t xml:space="preserve"> ICT Knowledge 4 ICT Diffusion. Information and Communication Technologies and the Knowledge Econ</w:t>
      </w:r>
      <w:r>
        <w:rPr>
          <w:rStyle w:val="TekstbaloniaChar"/>
          <w:rFonts w:ascii="Times New Roman" w:hAnsi="Times New Roman" w:cs="Times New Roman"/>
          <w:bCs/>
          <w:sz w:val="24"/>
          <w:szCs w:val="24"/>
          <w:lang w:val="en-GB"/>
        </w:rPr>
        <w:t>omy,</w:t>
      </w:r>
      <w:r w:rsidRPr="00566BD2">
        <w:rPr>
          <w:rStyle w:val="TekstbaloniaChar"/>
          <w:rFonts w:ascii="Times New Roman" w:hAnsi="Times New Roman" w:cs="Times New Roman"/>
          <w:bCs/>
          <w:sz w:val="24"/>
          <w:szCs w:val="24"/>
          <w:lang w:val="en-GB"/>
        </w:rPr>
        <w:t xml:space="preserve"> 2, 792-799.</w:t>
      </w:r>
    </w:p>
    <w:p w:rsidR="000D13B9" w:rsidRPr="00CF10E1" w:rsidRDefault="000D13B9" w:rsidP="000D13B9">
      <w:pPr>
        <w:pStyle w:val="Odlomakpopisa"/>
        <w:numPr>
          <w:ilvl w:val="0"/>
          <w:numId w:val="16"/>
        </w:numPr>
        <w:spacing w:before="0" w:after="200" w:line="276" w:lineRule="auto"/>
        <w:contextualSpacing/>
        <w:rPr>
          <w:rStyle w:val="TekstbaloniaChar"/>
          <w:rFonts w:ascii="Times New Roman" w:hAnsi="Times New Roman" w:cs="Times New Roman"/>
          <w:sz w:val="24"/>
          <w:szCs w:val="24"/>
          <w:lang w:val="en-GB"/>
        </w:rPr>
      </w:pPr>
      <w:proofErr w:type="spellStart"/>
      <w:r w:rsidRPr="00CF10E1">
        <w:rPr>
          <w:lang w:val="en-GB"/>
        </w:rPr>
        <w:t>Raa</w:t>
      </w:r>
      <w:proofErr w:type="spellEnd"/>
      <w:r>
        <w:rPr>
          <w:lang w:val="en-GB"/>
        </w:rPr>
        <w:t>, T. T.</w:t>
      </w:r>
      <w:r w:rsidRPr="00CF10E1">
        <w:rPr>
          <w:lang w:val="en-GB"/>
        </w:rPr>
        <w:t xml:space="preserve"> </w:t>
      </w:r>
      <w:r>
        <w:rPr>
          <w:lang w:val="en-GB"/>
        </w:rPr>
        <w:t>(</w:t>
      </w:r>
      <w:r w:rsidRPr="00CF10E1">
        <w:rPr>
          <w:lang w:val="en-GB"/>
        </w:rPr>
        <w:t>2006</w:t>
      </w:r>
      <w:r>
        <w:rPr>
          <w:lang w:val="en-GB"/>
        </w:rPr>
        <w:t xml:space="preserve">). </w:t>
      </w:r>
      <w:r w:rsidRPr="00CF10E1">
        <w:rPr>
          <w:lang w:val="en-GB"/>
        </w:rPr>
        <w:t>The Econ</w:t>
      </w:r>
      <w:r>
        <w:rPr>
          <w:lang w:val="en-GB"/>
        </w:rPr>
        <w:t>omics of Input-Output Analysis.</w:t>
      </w:r>
      <w:r w:rsidRPr="00CF10E1">
        <w:rPr>
          <w:lang w:val="en-GB"/>
        </w:rPr>
        <w:t xml:space="preserve"> Cambridge</w:t>
      </w:r>
      <w:r>
        <w:rPr>
          <w:lang w:val="en-GB"/>
        </w:rPr>
        <w:t xml:space="preserve">: </w:t>
      </w:r>
      <w:r w:rsidRPr="00CF10E1">
        <w:rPr>
          <w:lang w:val="en-GB"/>
        </w:rPr>
        <w:t>Cambridge University Press</w:t>
      </w:r>
      <w:r>
        <w:rPr>
          <w:lang w:val="en-GB"/>
        </w:rPr>
        <w:t>.</w:t>
      </w:r>
    </w:p>
    <w:p w:rsidR="000D13B9" w:rsidRPr="00070D6D" w:rsidRDefault="000D13B9" w:rsidP="000D13B9">
      <w:pPr>
        <w:pStyle w:val="Odlomakpopisa"/>
        <w:numPr>
          <w:ilvl w:val="0"/>
          <w:numId w:val="16"/>
        </w:numPr>
        <w:spacing w:before="0" w:after="200" w:line="276" w:lineRule="auto"/>
        <w:contextualSpacing/>
        <w:rPr>
          <w:bCs/>
          <w:lang w:val="en-GB"/>
        </w:rPr>
      </w:pPr>
      <w:proofErr w:type="spellStart"/>
      <w:r w:rsidRPr="00070D6D">
        <w:rPr>
          <w:bCs/>
          <w:lang w:val="en-GB"/>
        </w:rPr>
        <w:t>Rohman</w:t>
      </w:r>
      <w:proofErr w:type="spellEnd"/>
      <w:r w:rsidRPr="00070D6D">
        <w:rPr>
          <w:bCs/>
          <w:lang w:val="en-GB"/>
        </w:rPr>
        <w:t xml:space="preserve">, I. K. and </w:t>
      </w:r>
      <w:proofErr w:type="spellStart"/>
      <w:r w:rsidRPr="00070D6D">
        <w:rPr>
          <w:bCs/>
          <w:lang w:val="en-GB"/>
        </w:rPr>
        <w:t>Bohlin</w:t>
      </w:r>
      <w:proofErr w:type="spellEnd"/>
      <w:r w:rsidRPr="00070D6D">
        <w:rPr>
          <w:bCs/>
          <w:lang w:val="en-GB"/>
        </w:rPr>
        <w:t xml:space="preserve">, E. (2010). On the ICT Economy in the European Countries: Investigating the Contribution of the ICT Sectors Using the Input-Output Model. 21st European Regional ITS Conference, Copenhagen, 13-15 </w:t>
      </w:r>
      <w:proofErr w:type="gramStart"/>
      <w:r w:rsidRPr="00070D6D">
        <w:rPr>
          <w:bCs/>
          <w:lang w:val="en-GB"/>
        </w:rPr>
        <w:t>September,</w:t>
      </w:r>
      <w:proofErr w:type="gramEnd"/>
      <w:r w:rsidRPr="00070D6D">
        <w:rPr>
          <w:bCs/>
          <w:lang w:val="en-GB"/>
        </w:rPr>
        <w:t xml:space="preserve"> 2010.</w:t>
      </w:r>
    </w:p>
    <w:p w:rsidR="000D13B9" w:rsidRPr="00C67099" w:rsidRDefault="000D13B9" w:rsidP="000D13B9">
      <w:pPr>
        <w:pStyle w:val="Odlomakpopisa"/>
        <w:numPr>
          <w:ilvl w:val="0"/>
          <w:numId w:val="16"/>
        </w:numPr>
        <w:autoSpaceDE w:val="0"/>
        <w:autoSpaceDN w:val="0"/>
        <w:adjustRightInd w:val="0"/>
        <w:spacing w:before="0" w:line="276" w:lineRule="auto"/>
        <w:contextualSpacing/>
        <w:rPr>
          <w:lang w:val="en-GB"/>
        </w:rPr>
      </w:pPr>
      <w:proofErr w:type="spellStart"/>
      <w:r w:rsidRPr="00CF10E1">
        <w:rPr>
          <w:lang w:val="en-GB"/>
        </w:rPr>
        <w:t>Rohman</w:t>
      </w:r>
      <w:proofErr w:type="spellEnd"/>
      <w:r w:rsidRPr="005D1679">
        <w:rPr>
          <w:lang w:val="en-GB"/>
        </w:rPr>
        <w:t xml:space="preserve">, </w:t>
      </w:r>
      <w:r w:rsidRPr="005D1679">
        <w:rPr>
          <w:bCs/>
          <w:lang w:val="en-GB"/>
        </w:rPr>
        <w:t>I. K.</w:t>
      </w:r>
      <w:r>
        <w:rPr>
          <w:bCs/>
          <w:lang w:val="en-GB"/>
        </w:rPr>
        <w:t xml:space="preserve"> </w:t>
      </w:r>
      <w:r>
        <w:rPr>
          <w:lang w:val="en-GB"/>
        </w:rPr>
        <w:t>(2013).</w:t>
      </w:r>
      <w:r w:rsidRPr="005D1679">
        <w:rPr>
          <w:bCs/>
          <w:lang w:val="en-GB"/>
        </w:rPr>
        <w:t xml:space="preserve"> </w:t>
      </w:r>
      <w:r w:rsidRPr="005D1679">
        <w:rPr>
          <w:lang w:val="en-GB"/>
        </w:rPr>
        <w:t xml:space="preserve">The </w:t>
      </w:r>
      <w:r w:rsidRPr="00CF10E1">
        <w:rPr>
          <w:lang w:val="en-GB"/>
        </w:rPr>
        <w:t>globalization and stagnation of the ICT sectors in European coun</w:t>
      </w:r>
      <w:r>
        <w:rPr>
          <w:lang w:val="en-GB"/>
        </w:rPr>
        <w:t>tries: An input-output analysis.</w:t>
      </w:r>
      <w:r w:rsidRPr="00CF10E1">
        <w:rPr>
          <w:lang w:val="en-GB"/>
        </w:rPr>
        <w:t xml:space="preserve"> Telecommunications Policy</w:t>
      </w:r>
      <w:r>
        <w:rPr>
          <w:lang w:val="en-GB"/>
        </w:rPr>
        <w:t>,</w:t>
      </w:r>
      <w:r w:rsidRPr="00CF10E1">
        <w:rPr>
          <w:lang w:val="en-GB"/>
        </w:rPr>
        <w:t xml:space="preserve"> 37</w:t>
      </w:r>
      <w:r>
        <w:rPr>
          <w:lang w:val="en-GB"/>
        </w:rPr>
        <w:t>,</w:t>
      </w:r>
      <w:r w:rsidRPr="00CF10E1">
        <w:rPr>
          <w:lang w:val="en-GB"/>
        </w:rPr>
        <w:t xml:space="preserve"> 387–399</w:t>
      </w:r>
      <w:r>
        <w:rPr>
          <w:lang w:val="en-GB"/>
        </w:rPr>
        <w:t>.</w:t>
      </w:r>
      <w:r w:rsidRPr="00C67099">
        <w:rPr>
          <w:highlight w:val="magenta"/>
          <w:lang w:val="en-GB"/>
        </w:rPr>
        <w:t xml:space="preserve"> </w:t>
      </w:r>
      <w:hyperlink r:id="rId10" w:tgtFrame="doilink" w:history="1">
        <w:r w:rsidRPr="00C67099">
          <w:rPr>
            <w:lang w:val="en-GB"/>
          </w:rPr>
          <w:t>doi:10.1016/j.telpol.2012.05.001</w:t>
        </w:r>
      </w:hyperlink>
      <w:r>
        <w:rPr>
          <w:lang w:val="en-GB"/>
        </w:rPr>
        <w:t>.</w:t>
      </w:r>
    </w:p>
    <w:p w:rsidR="000D13B9" w:rsidRPr="00566BD2" w:rsidRDefault="000D13B9" w:rsidP="000D13B9">
      <w:pPr>
        <w:pStyle w:val="Odlomakpopisa"/>
        <w:numPr>
          <w:ilvl w:val="0"/>
          <w:numId w:val="16"/>
        </w:numPr>
        <w:spacing w:before="0" w:after="200" w:line="276" w:lineRule="auto"/>
        <w:contextualSpacing/>
        <w:rPr>
          <w:rStyle w:val="TekstbaloniaChar"/>
          <w:rFonts w:ascii="Times New Roman" w:hAnsi="Times New Roman" w:cs="Times New Roman"/>
          <w:bCs/>
          <w:sz w:val="24"/>
          <w:szCs w:val="24"/>
          <w:lang w:val="en-GB"/>
        </w:rPr>
      </w:pPr>
      <w:r>
        <w:rPr>
          <w:rStyle w:val="TekstbaloniaChar"/>
          <w:rFonts w:ascii="Times New Roman" w:hAnsi="Times New Roman" w:cs="Times New Roman"/>
          <w:bCs/>
          <w:sz w:val="24"/>
          <w:szCs w:val="24"/>
          <w:lang w:val="en-GB"/>
        </w:rPr>
        <w:t>Selwyn, N. and</w:t>
      </w:r>
      <w:r w:rsidRPr="00CF10E1">
        <w:rPr>
          <w:rStyle w:val="TekstbaloniaChar"/>
          <w:rFonts w:ascii="Times New Roman" w:hAnsi="Times New Roman" w:cs="Times New Roman"/>
          <w:bCs/>
          <w:sz w:val="24"/>
          <w:szCs w:val="24"/>
          <w:lang w:val="en-GB"/>
        </w:rPr>
        <w:t xml:space="preserve"> Facer, K. (2007)</w:t>
      </w:r>
      <w:r>
        <w:rPr>
          <w:rStyle w:val="TekstbaloniaChar"/>
          <w:rFonts w:ascii="Times New Roman" w:hAnsi="Times New Roman" w:cs="Times New Roman"/>
          <w:bCs/>
          <w:sz w:val="24"/>
          <w:szCs w:val="24"/>
          <w:lang w:val="en-GB"/>
        </w:rPr>
        <w:t>.</w:t>
      </w:r>
      <w:r w:rsidRPr="00CF10E1">
        <w:rPr>
          <w:rStyle w:val="TekstbaloniaChar"/>
          <w:rFonts w:ascii="Times New Roman" w:hAnsi="Times New Roman" w:cs="Times New Roman"/>
          <w:bCs/>
          <w:sz w:val="24"/>
          <w:szCs w:val="24"/>
          <w:lang w:val="en-GB"/>
        </w:rPr>
        <w:t xml:space="preserve"> Beyond the </w:t>
      </w:r>
      <w:proofErr w:type="gramStart"/>
      <w:r w:rsidRPr="00CF10E1">
        <w:rPr>
          <w:rStyle w:val="TekstbaloniaChar"/>
          <w:rFonts w:ascii="Times New Roman" w:hAnsi="Times New Roman" w:cs="Times New Roman"/>
          <w:bCs/>
          <w:sz w:val="24"/>
          <w:szCs w:val="24"/>
          <w:lang w:val="en-GB"/>
        </w:rPr>
        <w:t>digital</w:t>
      </w:r>
      <w:proofErr w:type="gramEnd"/>
      <w:r w:rsidRPr="00CF10E1">
        <w:rPr>
          <w:rStyle w:val="TekstbaloniaChar"/>
          <w:rFonts w:ascii="Times New Roman" w:hAnsi="Times New Roman" w:cs="Times New Roman"/>
          <w:bCs/>
          <w:sz w:val="24"/>
          <w:szCs w:val="24"/>
          <w:lang w:val="en-GB"/>
        </w:rPr>
        <w:t xml:space="preserve"> divide Rethinking digital inclusion for the 21st century. http://archive.futurelab.org.uk/ resources/ documents/ </w:t>
      </w:r>
      <w:proofErr w:type="spellStart"/>
      <w:r w:rsidRPr="00CF10E1">
        <w:rPr>
          <w:rStyle w:val="TekstbaloniaChar"/>
          <w:rFonts w:ascii="Times New Roman" w:hAnsi="Times New Roman" w:cs="Times New Roman"/>
          <w:bCs/>
          <w:sz w:val="24"/>
          <w:szCs w:val="24"/>
          <w:lang w:val="en-GB"/>
        </w:rPr>
        <w:t>opening_education</w:t>
      </w:r>
      <w:proofErr w:type="spellEnd"/>
      <w:r w:rsidRPr="00CF10E1">
        <w:rPr>
          <w:rStyle w:val="TekstbaloniaChar"/>
          <w:rFonts w:ascii="Times New Roman" w:hAnsi="Times New Roman" w:cs="Times New Roman"/>
          <w:bCs/>
          <w:sz w:val="24"/>
          <w:szCs w:val="24"/>
          <w:lang w:val="en-GB"/>
        </w:rPr>
        <w:t>/Digital</w:t>
      </w:r>
      <w:r w:rsidRPr="00566BD2">
        <w:rPr>
          <w:rStyle w:val="TekstbaloniaChar"/>
          <w:rFonts w:ascii="Times New Roman" w:hAnsi="Times New Roman" w:cs="Times New Roman"/>
          <w:bCs/>
          <w:sz w:val="24"/>
          <w:szCs w:val="24"/>
          <w:lang w:val="en-GB"/>
        </w:rPr>
        <w:t>_Divide.pdf [</w:t>
      </w:r>
      <w:r>
        <w:rPr>
          <w:rStyle w:val="TekstbaloniaChar"/>
          <w:rFonts w:ascii="Times New Roman" w:hAnsi="Times New Roman" w:cs="Times New Roman"/>
          <w:bCs/>
          <w:sz w:val="24"/>
          <w:szCs w:val="24"/>
          <w:lang w:val="en-GB"/>
        </w:rPr>
        <w:t>Accessed 20/07/13</w:t>
      </w:r>
      <w:r w:rsidRPr="00566BD2">
        <w:rPr>
          <w:rStyle w:val="TekstbaloniaChar"/>
          <w:rFonts w:ascii="Times New Roman" w:hAnsi="Times New Roman" w:cs="Times New Roman"/>
          <w:bCs/>
          <w:sz w:val="24"/>
          <w:szCs w:val="24"/>
          <w:lang w:val="en-GB"/>
        </w:rPr>
        <w:t>].</w:t>
      </w:r>
      <w:r>
        <w:rPr>
          <w:rStyle w:val="TekstbaloniaChar"/>
          <w:rFonts w:ascii="Times New Roman" w:hAnsi="Times New Roman" w:cs="Times New Roman"/>
          <w:bCs/>
          <w:sz w:val="24"/>
          <w:szCs w:val="24"/>
          <w:lang w:val="en-GB"/>
        </w:rPr>
        <w:t xml:space="preserve"> </w:t>
      </w:r>
      <w:proofErr w:type="spellStart"/>
      <w:proofErr w:type="gramStart"/>
      <w:r>
        <w:rPr>
          <w:rStyle w:val="TekstbaloniaChar"/>
          <w:rFonts w:ascii="Times New Roman" w:hAnsi="Times New Roman" w:cs="Times New Roman"/>
          <w:bCs/>
          <w:sz w:val="24"/>
          <w:szCs w:val="24"/>
          <w:lang w:val="en-GB"/>
        </w:rPr>
        <w:t>doi</w:t>
      </w:r>
      <w:proofErr w:type="spellEnd"/>
      <w:proofErr w:type="gramEnd"/>
      <w:r>
        <w:rPr>
          <w:rStyle w:val="TekstbaloniaChar"/>
          <w:rFonts w:ascii="Times New Roman" w:hAnsi="Times New Roman" w:cs="Times New Roman"/>
          <w:bCs/>
          <w:sz w:val="24"/>
          <w:szCs w:val="24"/>
          <w:lang w:val="en-GB"/>
        </w:rPr>
        <w:t xml:space="preserve">: 10.4018978-1-60566-699-0.ch001. </w:t>
      </w:r>
    </w:p>
    <w:p w:rsidR="000D13B9" w:rsidRPr="00070D6D" w:rsidRDefault="000D13B9" w:rsidP="000D13B9">
      <w:pPr>
        <w:pStyle w:val="Odlomakpopisa"/>
        <w:numPr>
          <w:ilvl w:val="0"/>
          <w:numId w:val="16"/>
        </w:numPr>
        <w:autoSpaceDE w:val="0"/>
        <w:autoSpaceDN w:val="0"/>
        <w:adjustRightInd w:val="0"/>
        <w:spacing w:before="0" w:line="276" w:lineRule="auto"/>
        <w:contextualSpacing/>
        <w:rPr>
          <w:rStyle w:val="TekstbaloniaChar"/>
          <w:rFonts w:ascii="Times New Roman" w:hAnsi="Times New Roman" w:cs="Times New Roman"/>
          <w:bCs/>
          <w:sz w:val="24"/>
          <w:szCs w:val="24"/>
          <w:lang w:val="en-GB"/>
        </w:rPr>
      </w:pPr>
      <w:proofErr w:type="spellStart"/>
      <w:r w:rsidRPr="00070D6D">
        <w:rPr>
          <w:rStyle w:val="TekstbaloniaChar"/>
          <w:rFonts w:ascii="Times New Roman" w:hAnsi="Times New Roman" w:cs="Times New Roman"/>
          <w:bCs/>
          <w:sz w:val="24"/>
          <w:szCs w:val="24"/>
          <w:lang w:val="en-GB"/>
        </w:rPr>
        <w:lastRenderedPageBreak/>
        <w:t>Timmer</w:t>
      </w:r>
      <w:proofErr w:type="spellEnd"/>
      <w:r w:rsidRPr="00070D6D">
        <w:rPr>
          <w:rStyle w:val="TekstbaloniaChar"/>
          <w:rFonts w:ascii="Times New Roman" w:hAnsi="Times New Roman" w:cs="Times New Roman"/>
          <w:bCs/>
          <w:sz w:val="24"/>
          <w:szCs w:val="24"/>
          <w:lang w:val="en-GB"/>
        </w:rPr>
        <w:t>, L. P. and van Ark, B. (2005). Does information and communication technology drive EU-US productivity growth differentials</w:t>
      </w:r>
      <w:proofErr w:type="gramStart"/>
      <w:r w:rsidRPr="00070D6D">
        <w:rPr>
          <w:rStyle w:val="TekstbaloniaChar"/>
          <w:rFonts w:ascii="Times New Roman" w:hAnsi="Times New Roman" w:cs="Times New Roman"/>
          <w:bCs/>
          <w:sz w:val="24"/>
          <w:szCs w:val="24"/>
          <w:lang w:val="en-GB"/>
        </w:rPr>
        <w:t>?.</w:t>
      </w:r>
      <w:proofErr w:type="gramEnd"/>
      <w:r w:rsidRPr="00070D6D">
        <w:rPr>
          <w:rStyle w:val="TekstbaloniaChar"/>
          <w:rFonts w:ascii="Times New Roman" w:hAnsi="Times New Roman" w:cs="Times New Roman"/>
          <w:bCs/>
          <w:sz w:val="24"/>
          <w:szCs w:val="24"/>
          <w:lang w:val="en-GB"/>
        </w:rPr>
        <w:t xml:space="preserve"> Oxford Economic Papers, 57(4), 693–716.</w:t>
      </w:r>
      <w:r>
        <w:rPr>
          <w:rStyle w:val="TekstbaloniaChar"/>
          <w:rFonts w:ascii="Times New Roman" w:hAnsi="Times New Roman" w:cs="Times New Roman"/>
          <w:bCs/>
          <w:sz w:val="24"/>
          <w:szCs w:val="24"/>
          <w:lang w:val="en-GB"/>
        </w:rPr>
        <w:t xml:space="preserve"> </w:t>
      </w:r>
      <w:proofErr w:type="spellStart"/>
      <w:proofErr w:type="gramStart"/>
      <w:r w:rsidRPr="00641288">
        <w:rPr>
          <w:rStyle w:val="TekstbaloniaChar"/>
          <w:rFonts w:ascii="Times New Roman" w:hAnsi="Times New Roman" w:cs="Times New Roman"/>
          <w:bCs/>
          <w:sz w:val="24"/>
          <w:szCs w:val="24"/>
          <w:lang w:val="en-GB"/>
        </w:rPr>
        <w:t>doi</w:t>
      </w:r>
      <w:proofErr w:type="spellEnd"/>
      <w:proofErr w:type="gramEnd"/>
      <w:r w:rsidRPr="00641288">
        <w:rPr>
          <w:rStyle w:val="TekstbaloniaChar"/>
          <w:rFonts w:ascii="Times New Roman" w:hAnsi="Times New Roman" w:cs="Times New Roman"/>
          <w:bCs/>
          <w:sz w:val="24"/>
          <w:szCs w:val="24"/>
          <w:lang w:val="en-GB"/>
        </w:rPr>
        <w:t>: 10.1093/</w:t>
      </w:r>
      <w:proofErr w:type="spellStart"/>
      <w:r w:rsidRPr="00641288">
        <w:rPr>
          <w:rStyle w:val="TekstbaloniaChar"/>
          <w:rFonts w:ascii="Times New Roman" w:hAnsi="Times New Roman" w:cs="Times New Roman"/>
          <w:bCs/>
          <w:sz w:val="24"/>
          <w:szCs w:val="24"/>
          <w:lang w:val="en-GB"/>
        </w:rPr>
        <w:t>oep</w:t>
      </w:r>
      <w:proofErr w:type="spellEnd"/>
      <w:r w:rsidRPr="00641288">
        <w:rPr>
          <w:rStyle w:val="TekstbaloniaChar"/>
          <w:rFonts w:ascii="Times New Roman" w:hAnsi="Times New Roman" w:cs="Times New Roman"/>
          <w:bCs/>
          <w:sz w:val="24"/>
          <w:szCs w:val="24"/>
          <w:lang w:val="en-GB"/>
        </w:rPr>
        <w:t>/gpi032</w:t>
      </w:r>
      <w:r>
        <w:rPr>
          <w:rStyle w:val="TekstbaloniaChar"/>
          <w:rFonts w:ascii="Times New Roman" w:hAnsi="Times New Roman" w:cs="Times New Roman"/>
          <w:bCs/>
          <w:sz w:val="24"/>
          <w:szCs w:val="24"/>
          <w:lang w:val="en-GB"/>
        </w:rPr>
        <w:t>.</w:t>
      </w:r>
    </w:p>
    <w:p w:rsidR="000D13B9" w:rsidRPr="00566BD2" w:rsidRDefault="000D13B9" w:rsidP="000D13B9">
      <w:pPr>
        <w:pStyle w:val="Odlomakpopisa"/>
        <w:numPr>
          <w:ilvl w:val="0"/>
          <w:numId w:val="16"/>
        </w:numPr>
        <w:autoSpaceDE w:val="0"/>
        <w:autoSpaceDN w:val="0"/>
        <w:adjustRightInd w:val="0"/>
        <w:spacing w:before="0" w:line="276" w:lineRule="auto"/>
        <w:contextualSpacing/>
        <w:rPr>
          <w:rStyle w:val="TekstbaloniaChar"/>
          <w:rFonts w:ascii="Times New Roman" w:hAnsi="Times New Roman" w:cs="Times New Roman"/>
          <w:bCs/>
          <w:sz w:val="24"/>
          <w:szCs w:val="24"/>
          <w:lang w:val="en-GB"/>
        </w:rPr>
      </w:pPr>
      <w:r w:rsidRPr="00566BD2">
        <w:rPr>
          <w:rStyle w:val="TekstbaloniaChar"/>
          <w:rFonts w:ascii="Times New Roman" w:hAnsi="Times New Roman" w:cs="Times New Roman"/>
          <w:bCs/>
          <w:sz w:val="24"/>
          <w:szCs w:val="24"/>
          <w:lang w:val="en-GB"/>
        </w:rPr>
        <w:t>Van Ark, B. (2002)</w:t>
      </w:r>
      <w:r>
        <w:rPr>
          <w:rStyle w:val="TekstbaloniaChar"/>
          <w:rFonts w:ascii="Times New Roman" w:hAnsi="Times New Roman" w:cs="Times New Roman"/>
          <w:bCs/>
          <w:sz w:val="24"/>
          <w:szCs w:val="24"/>
          <w:lang w:val="en-GB"/>
        </w:rPr>
        <w:t>.</w:t>
      </w:r>
      <w:r w:rsidRPr="00566BD2">
        <w:rPr>
          <w:rStyle w:val="TekstbaloniaChar"/>
          <w:rFonts w:ascii="Times New Roman" w:hAnsi="Times New Roman" w:cs="Times New Roman"/>
          <w:bCs/>
          <w:sz w:val="24"/>
          <w:szCs w:val="24"/>
          <w:lang w:val="en-GB"/>
        </w:rPr>
        <w:t xml:space="preserve"> Measuring the new economy: An international comparative perspective. </w:t>
      </w:r>
      <w:r w:rsidRPr="005D1679">
        <w:rPr>
          <w:rStyle w:val="TekstbaloniaChar"/>
          <w:rFonts w:ascii="Times New Roman" w:hAnsi="Times New Roman" w:cs="Times New Roman"/>
          <w:bCs/>
          <w:sz w:val="24"/>
          <w:szCs w:val="24"/>
          <w:lang w:val="en-GB"/>
        </w:rPr>
        <w:t>Review of Income and Wealth</w:t>
      </w:r>
      <w:r>
        <w:rPr>
          <w:rStyle w:val="TekstbaloniaChar"/>
          <w:rFonts w:ascii="Times New Roman" w:hAnsi="Times New Roman" w:cs="Times New Roman"/>
          <w:bCs/>
          <w:sz w:val="24"/>
          <w:szCs w:val="24"/>
          <w:lang w:val="en-GB"/>
        </w:rPr>
        <w:t>,</w:t>
      </w:r>
      <w:r w:rsidRPr="00566BD2">
        <w:rPr>
          <w:rStyle w:val="TekstbaloniaChar"/>
          <w:rFonts w:ascii="Times New Roman" w:hAnsi="Times New Roman" w:cs="Times New Roman"/>
          <w:bCs/>
          <w:sz w:val="24"/>
          <w:szCs w:val="24"/>
          <w:lang w:val="en-GB"/>
        </w:rPr>
        <w:t xml:space="preserve"> </w:t>
      </w:r>
      <w:r>
        <w:rPr>
          <w:rStyle w:val="TekstbaloniaChar"/>
          <w:rFonts w:ascii="Times New Roman" w:hAnsi="Times New Roman" w:cs="Times New Roman"/>
          <w:bCs/>
          <w:sz w:val="24"/>
          <w:szCs w:val="24"/>
          <w:lang w:val="en-GB"/>
        </w:rPr>
        <w:t>48</w:t>
      </w:r>
      <w:r w:rsidRPr="00566BD2">
        <w:rPr>
          <w:rStyle w:val="TekstbaloniaChar"/>
          <w:rFonts w:ascii="Times New Roman" w:hAnsi="Times New Roman" w:cs="Times New Roman"/>
          <w:bCs/>
          <w:sz w:val="24"/>
          <w:szCs w:val="24"/>
          <w:lang w:val="en-GB"/>
        </w:rPr>
        <w:t>, 1–14.</w:t>
      </w:r>
      <w:r>
        <w:rPr>
          <w:rStyle w:val="TekstbaloniaChar"/>
          <w:rFonts w:ascii="Times New Roman" w:hAnsi="Times New Roman" w:cs="Times New Roman"/>
          <w:bCs/>
          <w:sz w:val="24"/>
          <w:szCs w:val="24"/>
          <w:lang w:val="en-GB"/>
        </w:rPr>
        <w:t xml:space="preserve"> </w:t>
      </w:r>
      <w:proofErr w:type="spellStart"/>
      <w:proofErr w:type="gramStart"/>
      <w:r w:rsidRPr="00081B0C">
        <w:rPr>
          <w:rStyle w:val="TekstbaloniaChar"/>
          <w:rFonts w:ascii="Times New Roman" w:hAnsi="Times New Roman" w:cs="Times New Roman"/>
          <w:bCs/>
          <w:sz w:val="24"/>
          <w:szCs w:val="24"/>
          <w:lang w:val="en-GB"/>
        </w:rPr>
        <w:t>doi</w:t>
      </w:r>
      <w:proofErr w:type="spellEnd"/>
      <w:proofErr w:type="gramEnd"/>
      <w:r w:rsidRPr="00081B0C">
        <w:rPr>
          <w:rStyle w:val="TekstbaloniaChar"/>
          <w:rFonts w:ascii="Times New Roman" w:hAnsi="Times New Roman" w:cs="Times New Roman"/>
          <w:bCs/>
          <w:sz w:val="24"/>
          <w:szCs w:val="24"/>
          <w:lang w:val="en-GB"/>
        </w:rPr>
        <w:t>: 10.1111/1475-4991.00036</w:t>
      </w:r>
      <w:r>
        <w:rPr>
          <w:rStyle w:val="TekstbaloniaChar"/>
          <w:rFonts w:ascii="Times New Roman" w:hAnsi="Times New Roman" w:cs="Times New Roman"/>
          <w:bCs/>
          <w:sz w:val="24"/>
          <w:szCs w:val="24"/>
          <w:lang w:val="en-GB"/>
        </w:rPr>
        <w:t>.</w:t>
      </w:r>
    </w:p>
    <w:p w:rsidR="000D13B9" w:rsidRPr="00566BD2" w:rsidRDefault="000D13B9" w:rsidP="000D13B9">
      <w:pPr>
        <w:pStyle w:val="Odlomakpopisa"/>
        <w:numPr>
          <w:ilvl w:val="0"/>
          <w:numId w:val="16"/>
        </w:numPr>
        <w:autoSpaceDE w:val="0"/>
        <w:autoSpaceDN w:val="0"/>
        <w:adjustRightInd w:val="0"/>
        <w:spacing w:before="0" w:line="276" w:lineRule="auto"/>
        <w:contextualSpacing/>
        <w:rPr>
          <w:rStyle w:val="TekstbaloniaChar"/>
          <w:rFonts w:ascii="Times New Roman" w:hAnsi="Times New Roman" w:cs="Times New Roman"/>
          <w:bCs/>
          <w:sz w:val="24"/>
          <w:szCs w:val="24"/>
          <w:lang w:val="en-GB"/>
        </w:rPr>
      </w:pPr>
      <w:r w:rsidRPr="00566BD2">
        <w:rPr>
          <w:rStyle w:val="TekstbaloniaChar"/>
          <w:rFonts w:ascii="Times New Roman" w:hAnsi="Times New Roman" w:cs="Times New Roman"/>
          <w:bCs/>
          <w:sz w:val="24"/>
          <w:szCs w:val="24"/>
          <w:lang w:val="en-GB"/>
        </w:rPr>
        <w:t xml:space="preserve">Van Ark, B., </w:t>
      </w:r>
      <w:proofErr w:type="spellStart"/>
      <w:r w:rsidRPr="00566BD2">
        <w:rPr>
          <w:rStyle w:val="TekstbaloniaChar"/>
          <w:rFonts w:ascii="Times New Roman" w:hAnsi="Times New Roman" w:cs="Times New Roman"/>
          <w:bCs/>
          <w:sz w:val="24"/>
          <w:szCs w:val="24"/>
          <w:lang w:val="en-GB"/>
        </w:rPr>
        <w:t>Inklaar</w:t>
      </w:r>
      <w:proofErr w:type="spellEnd"/>
      <w:r w:rsidRPr="00566BD2">
        <w:rPr>
          <w:rStyle w:val="TekstbaloniaChar"/>
          <w:rFonts w:ascii="Times New Roman" w:hAnsi="Times New Roman" w:cs="Times New Roman"/>
          <w:bCs/>
          <w:sz w:val="24"/>
          <w:szCs w:val="24"/>
          <w:lang w:val="en-GB"/>
        </w:rPr>
        <w:t xml:space="preserve">, R., </w:t>
      </w:r>
      <w:r>
        <w:rPr>
          <w:rStyle w:val="TekstbaloniaChar"/>
          <w:rFonts w:ascii="Times New Roman" w:hAnsi="Times New Roman" w:cs="Times New Roman"/>
          <w:bCs/>
          <w:sz w:val="24"/>
          <w:szCs w:val="24"/>
          <w:lang w:val="en-GB"/>
        </w:rPr>
        <w:t xml:space="preserve">and </w:t>
      </w:r>
      <w:proofErr w:type="spellStart"/>
      <w:r w:rsidRPr="00566BD2">
        <w:rPr>
          <w:rStyle w:val="TekstbaloniaChar"/>
          <w:rFonts w:ascii="Times New Roman" w:hAnsi="Times New Roman" w:cs="Times New Roman"/>
          <w:bCs/>
          <w:sz w:val="24"/>
          <w:szCs w:val="24"/>
          <w:lang w:val="en-GB"/>
        </w:rPr>
        <w:t>McGuckin</w:t>
      </w:r>
      <w:proofErr w:type="spellEnd"/>
      <w:r w:rsidRPr="00566BD2">
        <w:rPr>
          <w:rStyle w:val="TekstbaloniaChar"/>
          <w:rFonts w:ascii="Times New Roman" w:hAnsi="Times New Roman" w:cs="Times New Roman"/>
          <w:bCs/>
          <w:sz w:val="24"/>
          <w:szCs w:val="24"/>
          <w:lang w:val="en-GB"/>
        </w:rPr>
        <w:t>, R.H. (2003</w:t>
      </w:r>
      <w:r>
        <w:rPr>
          <w:rStyle w:val="TekstbaloniaChar"/>
          <w:rFonts w:ascii="Times New Roman" w:hAnsi="Times New Roman" w:cs="Times New Roman"/>
          <w:bCs/>
          <w:sz w:val="24"/>
          <w:szCs w:val="24"/>
          <w:lang w:val="en-GB"/>
        </w:rPr>
        <w:t>a</w:t>
      </w:r>
      <w:r w:rsidRPr="00566BD2">
        <w:rPr>
          <w:rStyle w:val="TekstbaloniaChar"/>
          <w:rFonts w:ascii="Times New Roman" w:hAnsi="Times New Roman" w:cs="Times New Roman"/>
          <w:bCs/>
          <w:sz w:val="24"/>
          <w:szCs w:val="24"/>
          <w:lang w:val="en-GB"/>
        </w:rPr>
        <w:t>)</w:t>
      </w:r>
      <w:r>
        <w:rPr>
          <w:rStyle w:val="TekstbaloniaChar"/>
          <w:rFonts w:ascii="Times New Roman" w:hAnsi="Times New Roman" w:cs="Times New Roman"/>
          <w:bCs/>
          <w:sz w:val="24"/>
          <w:szCs w:val="24"/>
          <w:lang w:val="en-GB"/>
        </w:rPr>
        <w:t>.</w:t>
      </w:r>
      <w:r w:rsidRPr="00566BD2">
        <w:rPr>
          <w:rStyle w:val="TekstbaloniaChar"/>
          <w:rFonts w:ascii="Times New Roman" w:hAnsi="Times New Roman" w:cs="Times New Roman"/>
          <w:bCs/>
          <w:sz w:val="24"/>
          <w:szCs w:val="24"/>
          <w:lang w:val="en-GB"/>
        </w:rPr>
        <w:t xml:space="preserve"> The Contribution of ICT-Producing and ICT-Using Industries to Productivity Growth: A Comparison of Canada, Europe and the United States. </w:t>
      </w:r>
      <w:r w:rsidRPr="005D1679">
        <w:rPr>
          <w:rStyle w:val="TekstbaloniaChar"/>
          <w:rFonts w:ascii="Times New Roman" w:hAnsi="Times New Roman" w:cs="Times New Roman"/>
          <w:bCs/>
          <w:sz w:val="24"/>
          <w:szCs w:val="24"/>
          <w:lang w:val="en-GB"/>
        </w:rPr>
        <w:t>International Productivity Monitor</w:t>
      </w:r>
      <w:r>
        <w:rPr>
          <w:rStyle w:val="TekstbaloniaChar"/>
          <w:rFonts w:ascii="Times New Roman" w:hAnsi="Times New Roman" w:cs="Times New Roman"/>
          <w:bCs/>
          <w:sz w:val="24"/>
          <w:szCs w:val="24"/>
          <w:lang w:val="en-GB"/>
        </w:rPr>
        <w:t>,</w:t>
      </w:r>
      <w:r w:rsidRPr="00566BD2">
        <w:rPr>
          <w:rStyle w:val="TekstbaloniaChar"/>
          <w:rFonts w:ascii="Times New Roman" w:hAnsi="Times New Roman" w:cs="Times New Roman"/>
          <w:bCs/>
          <w:sz w:val="24"/>
          <w:szCs w:val="24"/>
          <w:lang w:val="en-GB"/>
        </w:rPr>
        <w:t xml:space="preserve"> No. 6, 56-63.</w:t>
      </w:r>
    </w:p>
    <w:p w:rsidR="000D13B9" w:rsidRPr="00566BD2" w:rsidRDefault="000D13B9" w:rsidP="000D13B9">
      <w:pPr>
        <w:pStyle w:val="Odlomakpopisa"/>
        <w:numPr>
          <w:ilvl w:val="0"/>
          <w:numId w:val="16"/>
        </w:numPr>
        <w:autoSpaceDE w:val="0"/>
        <w:autoSpaceDN w:val="0"/>
        <w:adjustRightInd w:val="0"/>
        <w:spacing w:before="0" w:line="276" w:lineRule="auto"/>
        <w:contextualSpacing/>
        <w:rPr>
          <w:rStyle w:val="TekstbaloniaChar"/>
          <w:rFonts w:ascii="Times New Roman" w:hAnsi="Times New Roman" w:cs="Times New Roman"/>
          <w:bCs/>
          <w:sz w:val="24"/>
          <w:szCs w:val="24"/>
          <w:lang w:val="en-GB"/>
        </w:rPr>
      </w:pPr>
      <w:r w:rsidRPr="00566BD2">
        <w:rPr>
          <w:rStyle w:val="TekstbaloniaChar"/>
          <w:rFonts w:ascii="Times New Roman" w:hAnsi="Times New Roman" w:cs="Times New Roman"/>
          <w:bCs/>
          <w:sz w:val="24"/>
          <w:szCs w:val="24"/>
          <w:lang w:val="en-GB"/>
        </w:rPr>
        <w:t xml:space="preserve">Van Ark, B., </w:t>
      </w:r>
      <w:proofErr w:type="spellStart"/>
      <w:r w:rsidRPr="00566BD2">
        <w:rPr>
          <w:rStyle w:val="TekstbaloniaChar"/>
          <w:rFonts w:ascii="Times New Roman" w:hAnsi="Times New Roman" w:cs="Times New Roman"/>
          <w:bCs/>
          <w:sz w:val="24"/>
          <w:szCs w:val="24"/>
          <w:lang w:val="en-GB"/>
        </w:rPr>
        <w:t>Inklaar</w:t>
      </w:r>
      <w:proofErr w:type="spellEnd"/>
      <w:r w:rsidRPr="00566BD2">
        <w:rPr>
          <w:rStyle w:val="TekstbaloniaChar"/>
          <w:rFonts w:ascii="Times New Roman" w:hAnsi="Times New Roman" w:cs="Times New Roman"/>
          <w:bCs/>
          <w:sz w:val="24"/>
          <w:szCs w:val="24"/>
          <w:lang w:val="en-GB"/>
        </w:rPr>
        <w:t>, R.,</w:t>
      </w:r>
      <w:r>
        <w:rPr>
          <w:rStyle w:val="TekstbaloniaChar"/>
          <w:rFonts w:ascii="Times New Roman" w:hAnsi="Times New Roman" w:cs="Times New Roman"/>
          <w:bCs/>
          <w:sz w:val="24"/>
          <w:szCs w:val="24"/>
          <w:lang w:val="en-GB"/>
        </w:rPr>
        <w:t xml:space="preserve"> and</w:t>
      </w:r>
      <w:r w:rsidRPr="00566BD2">
        <w:rPr>
          <w:rStyle w:val="TekstbaloniaChar"/>
          <w:rFonts w:ascii="Times New Roman" w:hAnsi="Times New Roman" w:cs="Times New Roman"/>
          <w:bCs/>
          <w:sz w:val="24"/>
          <w:szCs w:val="24"/>
          <w:lang w:val="en-GB"/>
        </w:rPr>
        <w:t xml:space="preserve"> </w:t>
      </w:r>
      <w:proofErr w:type="spellStart"/>
      <w:r w:rsidRPr="00566BD2">
        <w:rPr>
          <w:rStyle w:val="TekstbaloniaChar"/>
          <w:rFonts w:ascii="Times New Roman" w:hAnsi="Times New Roman" w:cs="Times New Roman"/>
          <w:bCs/>
          <w:sz w:val="24"/>
          <w:szCs w:val="24"/>
          <w:lang w:val="en-GB"/>
        </w:rPr>
        <w:t>McGuckin</w:t>
      </w:r>
      <w:proofErr w:type="spellEnd"/>
      <w:r w:rsidRPr="00566BD2">
        <w:rPr>
          <w:rStyle w:val="TekstbaloniaChar"/>
          <w:rFonts w:ascii="Times New Roman" w:hAnsi="Times New Roman" w:cs="Times New Roman"/>
          <w:bCs/>
          <w:sz w:val="24"/>
          <w:szCs w:val="24"/>
          <w:lang w:val="en-GB"/>
        </w:rPr>
        <w:t>, R. H. (2003</w:t>
      </w:r>
      <w:r>
        <w:rPr>
          <w:rStyle w:val="TekstbaloniaChar"/>
          <w:rFonts w:ascii="Times New Roman" w:hAnsi="Times New Roman" w:cs="Times New Roman"/>
          <w:bCs/>
          <w:sz w:val="24"/>
          <w:szCs w:val="24"/>
          <w:lang w:val="en-GB"/>
        </w:rPr>
        <w:t>b</w:t>
      </w:r>
      <w:r w:rsidRPr="00566BD2">
        <w:rPr>
          <w:rStyle w:val="TekstbaloniaChar"/>
          <w:rFonts w:ascii="Times New Roman" w:hAnsi="Times New Roman" w:cs="Times New Roman"/>
          <w:bCs/>
          <w:sz w:val="24"/>
          <w:szCs w:val="24"/>
          <w:lang w:val="en-GB"/>
        </w:rPr>
        <w:t>)</w:t>
      </w:r>
      <w:r>
        <w:rPr>
          <w:rStyle w:val="TekstbaloniaChar"/>
          <w:rFonts w:ascii="Times New Roman" w:hAnsi="Times New Roman" w:cs="Times New Roman"/>
          <w:bCs/>
          <w:sz w:val="24"/>
          <w:szCs w:val="24"/>
          <w:lang w:val="en-GB"/>
        </w:rPr>
        <w:t>.</w:t>
      </w:r>
      <w:r w:rsidRPr="00566BD2">
        <w:rPr>
          <w:rStyle w:val="TekstbaloniaChar"/>
          <w:rFonts w:ascii="Times New Roman" w:hAnsi="Times New Roman" w:cs="Times New Roman"/>
          <w:bCs/>
          <w:sz w:val="24"/>
          <w:szCs w:val="24"/>
          <w:lang w:val="en-GB"/>
        </w:rPr>
        <w:t xml:space="preserve"> 'Changing gear': Productivity, ICT and service industries in Europe and the United States. </w:t>
      </w:r>
      <w:r w:rsidRPr="005D1679">
        <w:rPr>
          <w:rStyle w:val="TekstbaloniaChar"/>
          <w:rFonts w:ascii="Times New Roman" w:hAnsi="Times New Roman" w:cs="Times New Roman"/>
          <w:bCs/>
          <w:sz w:val="24"/>
          <w:szCs w:val="24"/>
          <w:lang w:val="en-GB"/>
        </w:rPr>
        <w:t>Industrial Dynamics of the New Digital Economy</w:t>
      </w:r>
      <w:r>
        <w:rPr>
          <w:rStyle w:val="TekstbaloniaChar"/>
          <w:rFonts w:ascii="Times New Roman" w:hAnsi="Times New Roman" w:cs="Times New Roman"/>
          <w:bCs/>
          <w:sz w:val="24"/>
          <w:szCs w:val="24"/>
          <w:lang w:val="en-GB"/>
        </w:rPr>
        <w:t>,</w:t>
      </w:r>
      <w:r w:rsidRPr="00566BD2">
        <w:rPr>
          <w:rStyle w:val="TekstbaloniaChar"/>
          <w:rFonts w:ascii="Times New Roman" w:hAnsi="Times New Roman" w:cs="Times New Roman"/>
          <w:bCs/>
          <w:sz w:val="24"/>
          <w:szCs w:val="24"/>
          <w:lang w:val="en-GB"/>
        </w:rPr>
        <w:t xml:space="preserve"> 56–99.</w:t>
      </w:r>
    </w:p>
    <w:p w:rsidR="000D13B9" w:rsidRPr="00566BD2" w:rsidRDefault="000D13B9" w:rsidP="000D13B9">
      <w:pPr>
        <w:pStyle w:val="Odlomakpopisa"/>
        <w:numPr>
          <w:ilvl w:val="0"/>
          <w:numId w:val="16"/>
        </w:numPr>
        <w:autoSpaceDE w:val="0"/>
        <w:autoSpaceDN w:val="0"/>
        <w:adjustRightInd w:val="0"/>
        <w:spacing w:before="0" w:line="276" w:lineRule="auto"/>
        <w:contextualSpacing/>
        <w:rPr>
          <w:rStyle w:val="TekstbaloniaChar"/>
          <w:rFonts w:ascii="Times New Roman" w:hAnsi="Times New Roman" w:cs="Times New Roman"/>
          <w:bCs/>
          <w:sz w:val="24"/>
          <w:szCs w:val="24"/>
          <w:lang w:val="en-GB"/>
        </w:rPr>
      </w:pPr>
      <w:r w:rsidRPr="00566BD2">
        <w:rPr>
          <w:rStyle w:val="TekstbaloniaChar"/>
          <w:rFonts w:ascii="Times New Roman" w:hAnsi="Times New Roman" w:cs="Times New Roman"/>
          <w:bCs/>
          <w:sz w:val="24"/>
          <w:szCs w:val="24"/>
          <w:lang w:val="en-GB"/>
        </w:rPr>
        <w:t xml:space="preserve">Van Ark, B., </w:t>
      </w:r>
      <w:proofErr w:type="spellStart"/>
      <w:r w:rsidRPr="00566BD2">
        <w:rPr>
          <w:rStyle w:val="TekstbaloniaChar"/>
          <w:rFonts w:ascii="Times New Roman" w:hAnsi="Times New Roman" w:cs="Times New Roman"/>
          <w:bCs/>
          <w:sz w:val="24"/>
          <w:szCs w:val="24"/>
          <w:lang w:val="en-GB"/>
        </w:rPr>
        <w:t>O'Mahony</w:t>
      </w:r>
      <w:proofErr w:type="spellEnd"/>
      <w:r w:rsidRPr="00566BD2">
        <w:rPr>
          <w:rStyle w:val="TekstbaloniaChar"/>
          <w:rFonts w:ascii="Times New Roman" w:hAnsi="Times New Roman" w:cs="Times New Roman"/>
          <w:bCs/>
          <w:sz w:val="24"/>
          <w:szCs w:val="24"/>
          <w:lang w:val="en-GB"/>
        </w:rPr>
        <w:t xml:space="preserve">, M., </w:t>
      </w:r>
      <w:r>
        <w:rPr>
          <w:rStyle w:val="TekstbaloniaChar"/>
          <w:rFonts w:ascii="Times New Roman" w:hAnsi="Times New Roman" w:cs="Times New Roman"/>
          <w:bCs/>
          <w:sz w:val="24"/>
          <w:szCs w:val="24"/>
          <w:lang w:val="en-GB"/>
        </w:rPr>
        <w:t xml:space="preserve">and </w:t>
      </w:r>
      <w:proofErr w:type="spellStart"/>
      <w:r w:rsidRPr="00566BD2">
        <w:rPr>
          <w:rStyle w:val="TekstbaloniaChar"/>
          <w:rFonts w:ascii="Times New Roman" w:hAnsi="Times New Roman" w:cs="Times New Roman"/>
          <w:bCs/>
          <w:sz w:val="24"/>
          <w:szCs w:val="24"/>
          <w:lang w:val="en-GB"/>
        </w:rPr>
        <w:t>Timmer</w:t>
      </w:r>
      <w:proofErr w:type="spellEnd"/>
      <w:r w:rsidRPr="00566BD2">
        <w:rPr>
          <w:rStyle w:val="TekstbaloniaChar"/>
          <w:rFonts w:ascii="Times New Roman" w:hAnsi="Times New Roman" w:cs="Times New Roman"/>
          <w:bCs/>
          <w:sz w:val="24"/>
          <w:szCs w:val="24"/>
          <w:lang w:val="en-GB"/>
        </w:rPr>
        <w:t>, M. P. (2008)</w:t>
      </w:r>
      <w:r>
        <w:rPr>
          <w:rStyle w:val="TekstbaloniaChar"/>
          <w:rFonts w:ascii="Times New Roman" w:hAnsi="Times New Roman" w:cs="Times New Roman"/>
          <w:bCs/>
          <w:sz w:val="24"/>
          <w:szCs w:val="24"/>
          <w:lang w:val="en-GB"/>
        </w:rPr>
        <w:t>.</w:t>
      </w:r>
      <w:r w:rsidRPr="00566BD2">
        <w:rPr>
          <w:rStyle w:val="TekstbaloniaChar"/>
          <w:rFonts w:ascii="Times New Roman" w:hAnsi="Times New Roman" w:cs="Times New Roman"/>
          <w:bCs/>
          <w:sz w:val="24"/>
          <w:szCs w:val="24"/>
          <w:lang w:val="en-GB"/>
        </w:rPr>
        <w:t xml:space="preserve"> The productivity gap between Europe and the United States: Trends and causes. </w:t>
      </w:r>
      <w:r w:rsidRPr="005D1679">
        <w:rPr>
          <w:rStyle w:val="TekstbaloniaChar"/>
          <w:rFonts w:ascii="Times New Roman" w:hAnsi="Times New Roman" w:cs="Times New Roman"/>
          <w:bCs/>
          <w:sz w:val="24"/>
          <w:szCs w:val="24"/>
          <w:lang w:val="en-GB"/>
        </w:rPr>
        <w:t>Journal of Economic Perspectives</w:t>
      </w:r>
      <w:r>
        <w:rPr>
          <w:rStyle w:val="TekstbaloniaChar"/>
          <w:rFonts w:ascii="Times New Roman" w:hAnsi="Times New Roman" w:cs="Times New Roman"/>
          <w:bCs/>
          <w:sz w:val="24"/>
          <w:szCs w:val="24"/>
          <w:lang w:val="en-GB"/>
        </w:rPr>
        <w:t xml:space="preserve">, </w:t>
      </w:r>
      <w:r w:rsidRPr="00566BD2">
        <w:rPr>
          <w:rStyle w:val="TekstbaloniaChar"/>
          <w:rFonts w:ascii="Times New Roman" w:hAnsi="Times New Roman" w:cs="Times New Roman"/>
          <w:bCs/>
          <w:sz w:val="24"/>
          <w:szCs w:val="24"/>
          <w:lang w:val="en-GB"/>
        </w:rPr>
        <w:t>22(1), 25–44.</w:t>
      </w:r>
      <w:r>
        <w:rPr>
          <w:rStyle w:val="TekstbaloniaChar"/>
          <w:rFonts w:ascii="Times New Roman" w:hAnsi="Times New Roman" w:cs="Times New Roman"/>
          <w:bCs/>
          <w:sz w:val="24"/>
          <w:szCs w:val="24"/>
          <w:lang w:val="en-GB"/>
        </w:rPr>
        <w:t xml:space="preserve"> </w:t>
      </w:r>
      <w:proofErr w:type="spellStart"/>
      <w:proofErr w:type="gramStart"/>
      <w:r w:rsidRPr="004B1DF0">
        <w:rPr>
          <w:rStyle w:val="TekstbaloniaChar"/>
          <w:rFonts w:ascii="Times New Roman" w:hAnsi="Times New Roman" w:cs="Times New Roman"/>
          <w:bCs/>
          <w:sz w:val="24"/>
          <w:szCs w:val="24"/>
          <w:lang w:val="en-GB"/>
        </w:rPr>
        <w:t>doi</w:t>
      </w:r>
      <w:proofErr w:type="spellEnd"/>
      <w:proofErr w:type="gramEnd"/>
      <w:r w:rsidRPr="004B1DF0">
        <w:rPr>
          <w:rStyle w:val="TekstbaloniaChar"/>
          <w:rFonts w:ascii="Times New Roman" w:hAnsi="Times New Roman" w:cs="Times New Roman"/>
          <w:bCs/>
          <w:sz w:val="24"/>
          <w:szCs w:val="24"/>
          <w:lang w:val="en-GB"/>
        </w:rPr>
        <w:t>: 10.1257/jep.22.1.25</w:t>
      </w:r>
      <w:r>
        <w:rPr>
          <w:rStyle w:val="TekstbaloniaChar"/>
          <w:rFonts w:ascii="Times New Roman" w:hAnsi="Times New Roman" w:cs="Times New Roman"/>
          <w:bCs/>
          <w:sz w:val="24"/>
          <w:szCs w:val="24"/>
          <w:lang w:val="en-GB"/>
        </w:rPr>
        <w:t>.</w:t>
      </w:r>
    </w:p>
    <w:p w:rsidR="000D13B9" w:rsidRPr="00070D6D" w:rsidRDefault="000D13B9" w:rsidP="000D13B9">
      <w:pPr>
        <w:pStyle w:val="Odlomakpopisa"/>
        <w:numPr>
          <w:ilvl w:val="0"/>
          <w:numId w:val="16"/>
        </w:numPr>
        <w:autoSpaceDE w:val="0"/>
        <w:autoSpaceDN w:val="0"/>
        <w:adjustRightInd w:val="0"/>
        <w:spacing w:before="0" w:line="276" w:lineRule="auto"/>
        <w:contextualSpacing/>
        <w:rPr>
          <w:rStyle w:val="TekstbaloniaChar"/>
          <w:rFonts w:ascii="Times New Roman" w:hAnsi="Times New Roman" w:cs="Times New Roman"/>
          <w:bCs/>
          <w:sz w:val="24"/>
          <w:szCs w:val="24"/>
          <w:lang w:val="en-GB"/>
        </w:rPr>
      </w:pPr>
      <w:r w:rsidRPr="00070D6D">
        <w:rPr>
          <w:rStyle w:val="TekstbaloniaChar"/>
          <w:rFonts w:ascii="Times New Roman" w:hAnsi="Times New Roman" w:cs="Times New Roman"/>
          <w:bCs/>
          <w:sz w:val="24"/>
          <w:szCs w:val="24"/>
          <w:lang w:val="en-GB"/>
        </w:rPr>
        <w:t xml:space="preserve">Van </w:t>
      </w:r>
      <w:proofErr w:type="spellStart"/>
      <w:r w:rsidRPr="00070D6D">
        <w:rPr>
          <w:rStyle w:val="TekstbaloniaChar"/>
          <w:rFonts w:ascii="Times New Roman" w:hAnsi="Times New Roman" w:cs="Times New Roman"/>
          <w:bCs/>
          <w:sz w:val="24"/>
          <w:szCs w:val="24"/>
          <w:lang w:val="en-GB"/>
        </w:rPr>
        <w:t>Dijk</w:t>
      </w:r>
      <w:proofErr w:type="spellEnd"/>
      <w:r w:rsidRPr="00070D6D">
        <w:rPr>
          <w:rStyle w:val="TekstbaloniaChar"/>
          <w:rFonts w:ascii="Times New Roman" w:hAnsi="Times New Roman" w:cs="Times New Roman"/>
          <w:bCs/>
          <w:sz w:val="24"/>
          <w:szCs w:val="24"/>
          <w:lang w:val="en-GB"/>
        </w:rPr>
        <w:t>, J. A.G.M. (2005). The Deepening Divide. Inequality in the Information Society. London: CA: Sage.</w:t>
      </w:r>
    </w:p>
    <w:p w:rsidR="000D13B9" w:rsidRPr="00070D6D" w:rsidRDefault="000D13B9" w:rsidP="000D13B9">
      <w:pPr>
        <w:pStyle w:val="Odlomakpopisa"/>
        <w:numPr>
          <w:ilvl w:val="0"/>
          <w:numId w:val="16"/>
        </w:numPr>
        <w:autoSpaceDE w:val="0"/>
        <w:autoSpaceDN w:val="0"/>
        <w:adjustRightInd w:val="0"/>
        <w:spacing w:before="0" w:line="276" w:lineRule="auto"/>
        <w:contextualSpacing/>
        <w:rPr>
          <w:rStyle w:val="TekstbaloniaChar"/>
          <w:rFonts w:ascii="Times New Roman" w:hAnsi="Times New Roman" w:cs="Times New Roman"/>
          <w:bCs/>
          <w:sz w:val="24"/>
          <w:szCs w:val="24"/>
          <w:lang w:val="en-GB"/>
        </w:rPr>
      </w:pPr>
      <w:r w:rsidRPr="00070D6D">
        <w:rPr>
          <w:rStyle w:val="TekstbaloniaChar"/>
          <w:rFonts w:ascii="Times New Roman" w:hAnsi="Times New Roman" w:cs="Times New Roman"/>
          <w:bCs/>
          <w:sz w:val="24"/>
          <w:szCs w:val="24"/>
          <w:lang w:val="en-GB"/>
        </w:rPr>
        <w:t>Wan, Z., Fang, Y. and Wade, M. (2007). A ten-year odyssey of the 'IS productivity paradox' - A citation analysis (1996-2006). Proceedings of the Americas Conference on Information Systems (AMCIS) 2007, Keystone, Colorado, USA.</w:t>
      </w:r>
    </w:p>
    <w:p w:rsidR="000D13B9" w:rsidRPr="00566BD2" w:rsidRDefault="000D13B9" w:rsidP="000D13B9">
      <w:pPr>
        <w:pStyle w:val="Odlomakpopisa"/>
        <w:numPr>
          <w:ilvl w:val="0"/>
          <w:numId w:val="16"/>
        </w:numPr>
        <w:spacing w:before="0" w:after="200" w:line="276" w:lineRule="auto"/>
        <w:contextualSpacing/>
        <w:rPr>
          <w:lang w:val="en-GB"/>
        </w:rPr>
      </w:pPr>
      <w:r w:rsidRPr="00566BD2">
        <w:rPr>
          <w:lang w:val="en-GB"/>
        </w:rPr>
        <w:t>Wang</w:t>
      </w:r>
      <w:r>
        <w:rPr>
          <w:lang w:val="en-GB"/>
        </w:rPr>
        <w:t>, X. and</w:t>
      </w:r>
      <w:r w:rsidRPr="00566BD2">
        <w:rPr>
          <w:lang w:val="en-GB"/>
        </w:rPr>
        <w:t xml:space="preserve"> </w:t>
      </w:r>
      <w:proofErr w:type="spellStart"/>
      <w:r w:rsidRPr="00566BD2">
        <w:rPr>
          <w:lang w:val="en-GB"/>
        </w:rPr>
        <w:t>Hofe</w:t>
      </w:r>
      <w:proofErr w:type="spellEnd"/>
      <w:r>
        <w:rPr>
          <w:lang w:val="en-GB"/>
        </w:rPr>
        <w:t>, R.</w:t>
      </w:r>
      <w:r w:rsidRPr="00566BD2">
        <w:rPr>
          <w:lang w:val="en-GB"/>
        </w:rPr>
        <w:t xml:space="preserve"> </w:t>
      </w:r>
      <w:r>
        <w:rPr>
          <w:lang w:val="en-GB"/>
        </w:rPr>
        <w:t>(</w:t>
      </w:r>
      <w:r w:rsidRPr="00566BD2">
        <w:rPr>
          <w:lang w:val="en-GB"/>
        </w:rPr>
        <w:t>2007</w:t>
      </w:r>
      <w:r>
        <w:rPr>
          <w:lang w:val="en-GB"/>
        </w:rPr>
        <w:t xml:space="preserve">). </w:t>
      </w:r>
      <w:r w:rsidRPr="00566BD2">
        <w:rPr>
          <w:lang w:val="en-GB"/>
        </w:rPr>
        <w:t>Research Methods</w:t>
      </w:r>
      <w:r>
        <w:rPr>
          <w:lang w:val="en-GB"/>
        </w:rPr>
        <w:t xml:space="preserve"> in Urban and Regional Planning. Berlin:</w:t>
      </w:r>
      <w:r w:rsidRPr="00566BD2">
        <w:rPr>
          <w:lang w:val="en-GB"/>
        </w:rPr>
        <w:t xml:space="preserve"> Springe</w:t>
      </w:r>
      <w:r>
        <w:rPr>
          <w:lang w:val="en-GB"/>
        </w:rPr>
        <w:t>r-</w:t>
      </w:r>
      <w:proofErr w:type="spellStart"/>
      <w:r>
        <w:rPr>
          <w:lang w:val="en-GB"/>
        </w:rPr>
        <w:t>Verlag</w:t>
      </w:r>
      <w:proofErr w:type="spellEnd"/>
      <w:r>
        <w:rPr>
          <w:lang w:val="en-GB"/>
        </w:rPr>
        <w:t>.</w:t>
      </w:r>
    </w:p>
    <w:p w:rsidR="000D13B9" w:rsidRPr="00510141" w:rsidRDefault="000D13B9" w:rsidP="000D13B9">
      <w:pPr>
        <w:pStyle w:val="Odlomakpopisa"/>
        <w:numPr>
          <w:ilvl w:val="0"/>
          <w:numId w:val="16"/>
        </w:numPr>
        <w:autoSpaceDE w:val="0"/>
        <w:autoSpaceDN w:val="0"/>
        <w:adjustRightInd w:val="0"/>
        <w:spacing w:before="0" w:line="276" w:lineRule="auto"/>
        <w:contextualSpacing/>
        <w:rPr>
          <w:rFonts w:eastAsia="TimesNewRoman"/>
          <w:lang w:val="en-GB"/>
        </w:rPr>
      </w:pPr>
      <w:proofErr w:type="spellStart"/>
      <w:r w:rsidRPr="00510141">
        <w:rPr>
          <w:lang w:val="en-GB"/>
        </w:rPr>
        <w:t>Zuhdi</w:t>
      </w:r>
      <w:proofErr w:type="spellEnd"/>
      <w:r w:rsidRPr="00510141">
        <w:rPr>
          <w:lang w:val="en-GB"/>
        </w:rPr>
        <w:t xml:space="preserve">, U., Mori, S., and </w:t>
      </w:r>
      <w:proofErr w:type="spellStart"/>
      <w:r w:rsidRPr="00510141">
        <w:rPr>
          <w:lang w:val="en-GB"/>
        </w:rPr>
        <w:t>Kamegai</w:t>
      </w:r>
      <w:proofErr w:type="spellEnd"/>
      <w:r w:rsidRPr="00510141">
        <w:rPr>
          <w:lang w:val="en-GB"/>
        </w:rPr>
        <w:t xml:space="preserve">, K. (2012). </w:t>
      </w:r>
      <w:proofErr w:type="spellStart"/>
      <w:r w:rsidRPr="00510141">
        <w:rPr>
          <w:lang w:val="en-GB"/>
        </w:rPr>
        <w:t>Analyzing</w:t>
      </w:r>
      <w:proofErr w:type="spellEnd"/>
      <w:r w:rsidRPr="00510141">
        <w:rPr>
          <w:lang w:val="en-GB"/>
        </w:rPr>
        <w:t xml:space="preserve"> the role of ICT sector to the national economic structural changes by decomposition analysis: The case of Indonesia and Japan. Procedia - Social and </w:t>
      </w:r>
      <w:proofErr w:type="spellStart"/>
      <w:r w:rsidRPr="00510141">
        <w:rPr>
          <w:lang w:val="en-GB"/>
        </w:rPr>
        <w:t>Behavioral</w:t>
      </w:r>
      <w:proofErr w:type="spellEnd"/>
      <w:r w:rsidRPr="00510141">
        <w:rPr>
          <w:lang w:val="en-GB"/>
        </w:rPr>
        <w:t xml:space="preserve"> Sciences, 65, 749–754.</w:t>
      </w:r>
      <w:r>
        <w:rPr>
          <w:lang w:val="en-GB"/>
        </w:rPr>
        <w:t xml:space="preserve"> </w:t>
      </w:r>
      <w:r w:rsidRPr="00C67099">
        <w:rPr>
          <w:lang w:val="en-GB"/>
        </w:rPr>
        <w:t>doi:10.1016/j.sbspro.2012.11.194</w:t>
      </w:r>
      <w:r>
        <w:rPr>
          <w:lang w:val="en-GB"/>
        </w:rPr>
        <w:t>.</w:t>
      </w:r>
    </w:p>
    <w:p w:rsidR="000D13B9" w:rsidRPr="00566BD2" w:rsidRDefault="000D13B9" w:rsidP="000D13B9">
      <w:pPr>
        <w:pStyle w:val="Odlomakpopisa"/>
        <w:numPr>
          <w:ilvl w:val="0"/>
          <w:numId w:val="16"/>
        </w:numPr>
        <w:autoSpaceDE w:val="0"/>
        <w:autoSpaceDN w:val="0"/>
        <w:adjustRightInd w:val="0"/>
        <w:spacing w:before="0" w:line="276" w:lineRule="auto"/>
        <w:contextualSpacing/>
        <w:rPr>
          <w:lang w:val="en-GB"/>
        </w:rPr>
      </w:pPr>
      <w:proofErr w:type="spellStart"/>
      <w:r w:rsidRPr="00566BD2">
        <w:rPr>
          <w:bCs/>
          <w:lang w:val="en-GB"/>
        </w:rPr>
        <w:t>Zuhdi</w:t>
      </w:r>
      <w:proofErr w:type="spellEnd"/>
      <w:r w:rsidRPr="00566BD2">
        <w:rPr>
          <w:bCs/>
          <w:lang w:val="en-GB"/>
        </w:rPr>
        <w:t>,</w:t>
      </w:r>
      <w:r>
        <w:rPr>
          <w:bCs/>
          <w:lang w:val="en-GB"/>
        </w:rPr>
        <w:t xml:space="preserve"> U.</w:t>
      </w:r>
      <w:r w:rsidRPr="00566BD2">
        <w:rPr>
          <w:bCs/>
          <w:lang w:val="en-GB"/>
        </w:rPr>
        <w:t xml:space="preserve"> </w:t>
      </w:r>
      <w:r w:rsidRPr="00566BD2">
        <w:rPr>
          <w:lang w:val="en-GB"/>
        </w:rPr>
        <w:t>(2014</w:t>
      </w:r>
      <w:r>
        <w:rPr>
          <w:lang w:val="en-GB"/>
        </w:rPr>
        <w:t>a</w:t>
      </w:r>
      <w:r w:rsidRPr="00566BD2">
        <w:rPr>
          <w:lang w:val="en-GB"/>
        </w:rPr>
        <w:t>)</w:t>
      </w:r>
      <w:r>
        <w:rPr>
          <w:lang w:val="en-GB"/>
        </w:rPr>
        <w:t xml:space="preserve">. </w:t>
      </w:r>
      <w:r w:rsidRPr="00566BD2">
        <w:rPr>
          <w:bCs/>
          <w:lang w:val="en-GB"/>
        </w:rPr>
        <w:t xml:space="preserve">Using multipliers analysis in order to get another perspective related to the role of ICT sectors in national </w:t>
      </w:r>
      <w:r>
        <w:rPr>
          <w:bCs/>
          <w:lang w:val="en-GB"/>
        </w:rPr>
        <w:t>economy of Indonesia: 1990-2005.</w:t>
      </w:r>
      <w:r w:rsidRPr="00566BD2">
        <w:rPr>
          <w:bCs/>
          <w:lang w:val="en-GB"/>
        </w:rPr>
        <w:t xml:space="preserve"> </w:t>
      </w:r>
      <w:r w:rsidRPr="00566BD2">
        <w:rPr>
          <w:lang w:val="en-GB"/>
        </w:rPr>
        <w:t xml:space="preserve">Journal of Physics: Conference Series </w:t>
      </w:r>
      <w:r>
        <w:rPr>
          <w:bCs/>
          <w:lang w:val="en-GB"/>
        </w:rPr>
        <w:t>495</w:t>
      </w:r>
      <w:r w:rsidRPr="00C67099">
        <w:rPr>
          <w:bCs/>
          <w:lang w:val="en-GB"/>
        </w:rPr>
        <w:t>. doi:10.1088/1742-6596/495/1/012051</w:t>
      </w:r>
      <w:r>
        <w:rPr>
          <w:bCs/>
          <w:lang w:val="en-GB"/>
        </w:rPr>
        <w:t>.</w:t>
      </w:r>
    </w:p>
    <w:p w:rsidR="000D13B9" w:rsidRPr="00566BD2" w:rsidRDefault="000D13B9" w:rsidP="000D13B9">
      <w:pPr>
        <w:pStyle w:val="Odlomakpopisa"/>
        <w:numPr>
          <w:ilvl w:val="0"/>
          <w:numId w:val="16"/>
        </w:numPr>
        <w:autoSpaceDE w:val="0"/>
        <w:autoSpaceDN w:val="0"/>
        <w:adjustRightInd w:val="0"/>
        <w:spacing w:before="0" w:line="276" w:lineRule="auto"/>
        <w:contextualSpacing/>
        <w:rPr>
          <w:lang w:val="en-GB"/>
        </w:rPr>
      </w:pPr>
      <w:proofErr w:type="spellStart"/>
      <w:r w:rsidRPr="00566BD2">
        <w:rPr>
          <w:bCs/>
          <w:lang w:val="en-GB"/>
        </w:rPr>
        <w:t>Zuhdi</w:t>
      </w:r>
      <w:proofErr w:type="spellEnd"/>
      <w:r w:rsidRPr="00566BD2">
        <w:rPr>
          <w:bCs/>
          <w:lang w:val="en-GB"/>
        </w:rPr>
        <w:t>,</w:t>
      </w:r>
      <w:r>
        <w:rPr>
          <w:bCs/>
          <w:lang w:val="en-GB"/>
        </w:rPr>
        <w:t xml:space="preserve"> U.</w:t>
      </w:r>
      <w:r w:rsidRPr="00566BD2">
        <w:rPr>
          <w:bCs/>
          <w:lang w:val="en-GB"/>
        </w:rPr>
        <w:t xml:space="preserve"> </w:t>
      </w:r>
      <w:r w:rsidRPr="00566BD2">
        <w:rPr>
          <w:lang w:val="en-GB"/>
        </w:rPr>
        <w:t>(2014</w:t>
      </w:r>
      <w:r>
        <w:rPr>
          <w:lang w:val="en-GB"/>
        </w:rPr>
        <w:t>b</w:t>
      </w:r>
      <w:r w:rsidRPr="00566BD2">
        <w:rPr>
          <w:lang w:val="en-GB"/>
        </w:rPr>
        <w:t>).</w:t>
      </w:r>
      <w:r>
        <w:rPr>
          <w:lang w:val="en-GB"/>
        </w:rPr>
        <w:t xml:space="preserve"> </w:t>
      </w:r>
      <w:r w:rsidRPr="00566BD2">
        <w:rPr>
          <w:bCs/>
          <w:lang w:val="en-GB"/>
        </w:rPr>
        <w:t>The impacts of final demand changes on total output of Indonesian ICT sectors: An analy</w:t>
      </w:r>
      <w:r>
        <w:rPr>
          <w:bCs/>
          <w:lang w:val="en-GB"/>
        </w:rPr>
        <w:t>sis using input-output approach.</w:t>
      </w:r>
      <w:r w:rsidRPr="00566BD2">
        <w:rPr>
          <w:bCs/>
          <w:lang w:val="en-GB"/>
        </w:rPr>
        <w:t xml:space="preserve"> </w:t>
      </w:r>
      <w:r w:rsidRPr="00566BD2">
        <w:rPr>
          <w:lang w:val="en-GB"/>
        </w:rPr>
        <w:t xml:space="preserve">IOP Conf. Series: Materials Science and Engineering </w:t>
      </w:r>
      <w:r>
        <w:rPr>
          <w:bCs/>
          <w:lang w:val="en-GB"/>
        </w:rPr>
        <w:t xml:space="preserve">58. </w:t>
      </w:r>
      <w:r w:rsidRPr="00C67099">
        <w:rPr>
          <w:bCs/>
          <w:lang w:val="en-GB"/>
        </w:rPr>
        <w:t>doi:10.1088/1757-899X/58/1/012011</w:t>
      </w:r>
      <w:r>
        <w:rPr>
          <w:bCs/>
          <w:lang w:val="en-GB"/>
        </w:rPr>
        <w:t>.</w:t>
      </w:r>
    </w:p>
    <w:p w:rsidR="000D13B9" w:rsidRDefault="000D13B9" w:rsidP="000D13B9">
      <w:pPr>
        <w:pStyle w:val="Odlomakpopisa"/>
        <w:numPr>
          <w:ilvl w:val="0"/>
          <w:numId w:val="16"/>
        </w:numPr>
        <w:autoSpaceDE w:val="0"/>
        <w:autoSpaceDN w:val="0"/>
        <w:adjustRightInd w:val="0"/>
        <w:spacing w:before="0" w:line="276" w:lineRule="auto"/>
        <w:contextualSpacing/>
        <w:rPr>
          <w:lang w:val="en-GB"/>
        </w:rPr>
      </w:pPr>
      <w:proofErr w:type="spellStart"/>
      <w:r w:rsidRPr="00566BD2">
        <w:rPr>
          <w:lang w:val="en-GB"/>
        </w:rPr>
        <w:t>Zuhdi</w:t>
      </w:r>
      <w:proofErr w:type="spellEnd"/>
      <w:r w:rsidRPr="00566BD2">
        <w:rPr>
          <w:lang w:val="en-GB"/>
        </w:rPr>
        <w:t>,</w:t>
      </w:r>
      <w:r>
        <w:rPr>
          <w:lang w:val="en-GB"/>
        </w:rPr>
        <w:t xml:space="preserve"> U. and</w:t>
      </w:r>
      <w:r w:rsidRPr="00566BD2">
        <w:rPr>
          <w:lang w:val="en-GB"/>
        </w:rPr>
        <w:t xml:space="preserve"> </w:t>
      </w:r>
      <w:proofErr w:type="spellStart"/>
      <w:r w:rsidRPr="00566BD2">
        <w:rPr>
          <w:lang w:val="en-GB"/>
        </w:rPr>
        <w:t>Prasetyo</w:t>
      </w:r>
      <w:proofErr w:type="spellEnd"/>
      <w:r w:rsidRPr="00566BD2">
        <w:rPr>
          <w:lang w:val="en-GB"/>
        </w:rPr>
        <w:t>,</w:t>
      </w:r>
      <w:r>
        <w:rPr>
          <w:lang w:val="en-GB"/>
        </w:rPr>
        <w:t xml:space="preserve"> A. D.</w:t>
      </w:r>
      <w:r w:rsidRPr="00935A83">
        <w:rPr>
          <w:lang w:val="en-GB"/>
        </w:rPr>
        <w:t xml:space="preserve"> </w:t>
      </w:r>
      <w:r>
        <w:rPr>
          <w:lang w:val="en-GB"/>
        </w:rPr>
        <w:t>(2014</w:t>
      </w:r>
      <w:r w:rsidRPr="00566BD2">
        <w:rPr>
          <w:lang w:val="en-GB"/>
        </w:rPr>
        <w:t>)</w:t>
      </w:r>
      <w:r>
        <w:rPr>
          <w:lang w:val="en-GB"/>
        </w:rPr>
        <w:t>.</w:t>
      </w:r>
      <w:r w:rsidRPr="00566BD2">
        <w:rPr>
          <w:lang w:val="en-GB"/>
        </w:rPr>
        <w:t xml:space="preserve"> Examining the total output changes of ICT sectors of Japan: An approach of</w:t>
      </w:r>
      <w:r>
        <w:rPr>
          <w:lang w:val="en-GB"/>
        </w:rPr>
        <w:t xml:space="preserve"> input – output.</w:t>
      </w:r>
      <w:r w:rsidRPr="00566BD2">
        <w:rPr>
          <w:lang w:val="en-GB"/>
        </w:rPr>
        <w:t xml:space="preserve"> Procedia - Social and </w:t>
      </w:r>
      <w:proofErr w:type="spellStart"/>
      <w:r w:rsidRPr="00566BD2">
        <w:rPr>
          <w:lang w:val="en-GB"/>
        </w:rPr>
        <w:t>Behavioral</w:t>
      </w:r>
      <w:proofErr w:type="spellEnd"/>
      <w:r w:rsidRPr="00566BD2">
        <w:rPr>
          <w:lang w:val="en-GB"/>
        </w:rPr>
        <w:t xml:space="preserve"> Sciences</w:t>
      </w:r>
      <w:r>
        <w:rPr>
          <w:lang w:val="en-GB"/>
        </w:rPr>
        <w:t>,</w:t>
      </w:r>
      <w:r w:rsidRPr="00566BD2">
        <w:rPr>
          <w:lang w:val="en-GB"/>
        </w:rPr>
        <w:t xml:space="preserve"> 109</w:t>
      </w:r>
      <w:r>
        <w:rPr>
          <w:lang w:val="en-GB"/>
        </w:rPr>
        <w:t>,</w:t>
      </w:r>
      <w:r w:rsidRPr="00566BD2">
        <w:rPr>
          <w:lang w:val="en-GB"/>
        </w:rPr>
        <w:t xml:space="preserve"> </w:t>
      </w:r>
      <w:r>
        <w:rPr>
          <w:lang w:val="en-GB"/>
        </w:rPr>
        <w:t>659–</w:t>
      </w:r>
      <w:r w:rsidRPr="00566BD2">
        <w:rPr>
          <w:lang w:val="en-GB"/>
        </w:rPr>
        <w:t>663</w:t>
      </w:r>
      <w:r>
        <w:rPr>
          <w:lang w:val="en-GB"/>
        </w:rPr>
        <w:t>.</w:t>
      </w:r>
      <w:r w:rsidRPr="00C67099">
        <w:rPr>
          <w:lang w:val="en-GB"/>
        </w:rPr>
        <w:t xml:space="preserve"> </w:t>
      </w:r>
      <w:proofErr w:type="spellStart"/>
      <w:proofErr w:type="gramStart"/>
      <w:r w:rsidRPr="00C67099">
        <w:rPr>
          <w:lang w:val="en-GB"/>
        </w:rPr>
        <w:t>doi</w:t>
      </w:r>
      <w:proofErr w:type="spellEnd"/>
      <w:proofErr w:type="gramEnd"/>
      <w:r w:rsidRPr="00C67099">
        <w:rPr>
          <w:lang w:val="en-GB"/>
        </w:rPr>
        <w:t>: 10.1016/j.sbspro.2013.12.524</w:t>
      </w:r>
      <w:r>
        <w:rPr>
          <w:lang w:val="en-GB"/>
        </w:rPr>
        <w:t>.</w:t>
      </w:r>
    </w:p>
    <w:p w:rsidR="00BC021F" w:rsidRDefault="00BC021F" w:rsidP="00BC021F">
      <w:pPr>
        <w:autoSpaceDE w:val="0"/>
        <w:autoSpaceDN w:val="0"/>
        <w:adjustRightInd w:val="0"/>
        <w:spacing w:before="0" w:line="276" w:lineRule="auto"/>
        <w:contextualSpacing/>
        <w:rPr>
          <w:lang w:val="en-GB"/>
        </w:rPr>
        <w:sectPr w:rsidR="00BC021F" w:rsidSect="003D1D07">
          <w:headerReference w:type="even" r:id="rId11"/>
          <w:headerReference w:type="default" r:id="rId12"/>
          <w:headerReference w:type="first" r:id="rId13"/>
          <w:footerReference w:type="first" r:id="rId14"/>
          <w:pgSz w:w="11906" w:h="16838"/>
          <w:pgMar w:top="1418" w:right="1418" w:bottom="1418" w:left="1418" w:header="709" w:footer="709" w:gutter="0"/>
          <w:pgNumType w:start="1"/>
          <w:cols w:space="708"/>
          <w:titlePg/>
          <w:docGrid w:linePitch="360"/>
        </w:sectPr>
      </w:pPr>
    </w:p>
    <w:tbl>
      <w:tblPr>
        <w:tblpPr w:leftFromText="180" w:rightFromText="180" w:vertAnchor="text" w:horzAnchor="margin" w:tblpY="948"/>
        <w:tblW w:w="14299" w:type="dxa"/>
        <w:tblLook w:val="04A0" w:firstRow="1" w:lastRow="0" w:firstColumn="1" w:lastColumn="0" w:noHBand="0" w:noVBand="1"/>
      </w:tblPr>
      <w:tblGrid>
        <w:gridCol w:w="1056"/>
        <w:gridCol w:w="1084"/>
        <w:gridCol w:w="1111"/>
        <w:gridCol w:w="1155"/>
        <w:gridCol w:w="1221"/>
        <w:gridCol w:w="1084"/>
        <w:gridCol w:w="1084"/>
        <w:gridCol w:w="1084"/>
        <w:gridCol w:w="1084"/>
        <w:gridCol w:w="1084"/>
        <w:gridCol w:w="1084"/>
        <w:gridCol w:w="1084"/>
        <w:gridCol w:w="1084"/>
      </w:tblGrid>
      <w:tr w:rsidR="00BC021F" w:rsidRPr="004A57CE" w:rsidTr="00AD3747">
        <w:trPr>
          <w:trHeight w:val="320"/>
        </w:trPr>
        <w:tc>
          <w:tcPr>
            <w:tcW w:w="1056" w:type="dxa"/>
            <w:tcBorders>
              <w:top w:val="nil"/>
              <w:left w:val="nil"/>
              <w:bottom w:val="nil"/>
              <w:right w:val="nil"/>
            </w:tcBorders>
            <w:shd w:val="clear" w:color="auto" w:fill="auto"/>
            <w:noWrap/>
            <w:vAlign w:val="bottom"/>
          </w:tcPr>
          <w:p w:rsidR="00BC021F" w:rsidRDefault="00BC021F" w:rsidP="00AD3747">
            <w:pPr>
              <w:rPr>
                <w:sz w:val="22"/>
                <w:szCs w:val="22"/>
                <w:lang w:val="en-GB"/>
              </w:rPr>
            </w:pPr>
          </w:p>
          <w:p w:rsidR="00AD3747" w:rsidRPr="004A57CE" w:rsidRDefault="00AD3747" w:rsidP="00AD3747">
            <w:pPr>
              <w:rPr>
                <w:sz w:val="22"/>
                <w:szCs w:val="22"/>
                <w:lang w:val="en-GB"/>
              </w:rPr>
            </w:pPr>
          </w:p>
        </w:tc>
        <w:tc>
          <w:tcPr>
            <w:tcW w:w="13243" w:type="dxa"/>
            <w:gridSpan w:val="12"/>
            <w:tcBorders>
              <w:top w:val="single" w:sz="4" w:space="0" w:color="auto"/>
              <w:left w:val="single" w:sz="4" w:space="0" w:color="auto"/>
              <w:bottom w:val="single" w:sz="4" w:space="0" w:color="auto"/>
              <w:right w:val="single" w:sz="4" w:space="0" w:color="auto"/>
            </w:tcBorders>
            <w:shd w:val="clear" w:color="auto" w:fill="auto"/>
            <w:noWrap/>
          </w:tcPr>
          <w:p w:rsidR="00BC021F" w:rsidRPr="004A57CE" w:rsidRDefault="00BC021F" w:rsidP="00AD3747">
            <w:pPr>
              <w:jc w:val="center"/>
              <w:rPr>
                <w:bCs/>
                <w:color w:val="000000"/>
                <w:sz w:val="22"/>
                <w:szCs w:val="22"/>
                <w:lang w:val="en-GB"/>
              </w:rPr>
            </w:pPr>
            <w:r w:rsidRPr="004A57CE">
              <w:rPr>
                <w:bCs/>
                <w:color w:val="000000"/>
                <w:sz w:val="22"/>
                <w:szCs w:val="22"/>
                <w:lang w:val="en-GB"/>
              </w:rPr>
              <w:t>Sectors codes</w:t>
            </w:r>
          </w:p>
        </w:tc>
      </w:tr>
      <w:tr w:rsidR="00BC021F" w:rsidRPr="004A57CE" w:rsidTr="00AD3747">
        <w:trPr>
          <w:trHeight w:val="320"/>
        </w:trPr>
        <w:tc>
          <w:tcPr>
            <w:tcW w:w="1056" w:type="dxa"/>
            <w:tcBorders>
              <w:top w:val="nil"/>
              <w:left w:val="nil"/>
              <w:bottom w:val="nil"/>
              <w:right w:val="nil"/>
            </w:tcBorders>
            <w:shd w:val="clear" w:color="auto" w:fill="auto"/>
            <w:noWrap/>
            <w:vAlign w:val="bottom"/>
            <w:hideMark/>
          </w:tcPr>
          <w:p w:rsidR="00BC021F" w:rsidRPr="004A57CE" w:rsidRDefault="00BC021F" w:rsidP="00AD3747">
            <w:pPr>
              <w:rPr>
                <w:sz w:val="22"/>
                <w:szCs w:val="22"/>
                <w:lang w:val="en-GB"/>
              </w:rPr>
            </w:pP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021F" w:rsidRPr="004A57CE" w:rsidRDefault="00BC021F" w:rsidP="00AD3747">
            <w:pPr>
              <w:jc w:val="center"/>
              <w:rPr>
                <w:bCs/>
                <w:color w:val="000000"/>
                <w:sz w:val="22"/>
                <w:szCs w:val="22"/>
                <w:lang w:val="en-GB"/>
              </w:rPr>
            </w:pPr>
            <w:r w:rsidRPr="004A57CE">
              <w:rPr>
                <w:sz w:val="22"/>
                <w:szCs w:val="22"/>
                <w:lang w:val="en-GB"/>
              </w:rPr>
              <w:t>CPA_C26</w:t>
            </w:r>
          </w:p>
        </w:tc>
        <w:tc>
          <w:tcPr>
            <w:tcW w:w="2376" w:type="dxa"/>
            <w:gridSpan w:val="2"/>
            <w:tcBorders>
              <w:top w:val="single" w:sz="4" w:space="0" w:color="auto"/>
              <w:left w:val="nil"/>
              <w:bottom w:val="single" w:sz="4" w:space="0" w:color="auto"/>
              <w:right w:val="single" w:sz="4" w:space="0" w:color="auto"/>
            </w:tcBorders>
            <w:shd w:val="clear" w:color="auto" w:fill="auto"/>
            <w:noWrap/>
            <w:hideMark/>
          </w:tcPr>
          <w:p w:rsidR="00BC021F" w:rsidRPr="004A57CE" w:rsidRDefault="00BC021F" w:rsidP="00AD3747">
            <w:pPr>
              <w:jc w:val="center"/>
              <w:rPr>
                <w:bCs/>
                <w:color w:val="000000"/>
                <w:sz w:val="22"/>
                <w:szCs w:val="22"/>
                <w:lang w:val="en-GB"/>
              </w:rPr>
            </w:pPr>
            <w:r w:rsidRPr="004A57CE">
              <w:rPr>
                <w:sz w:val="22"/>
                <w:szCs w:val="22"/>
                <w:lang w:val="en-GB"/>
              </w:rPr>
              <w:t>CPA_G46</w:t>
            </w:r>
          </w:p>
        </w:tc>
        <w:tc>
          <w:tcPr>
            <w:tcW w:w="2168" w:type="dxa"/>
            <w:gridSpan w:val="2"/>
            <w:tcBorders>
              <w:top w:val="single" w:sz="4" w:space="0" w:color="auto"/>
              <w:left w:val="nil"/>
              <w:bottom w:val="single" w:sz="4" w:space="0" w:color="auto"/>
              <w:right w:val="single" w:sz="4" w:space="0" w:color="auto"/>
            </w:tcBorders>
            <w:shd w:val="clear" w:color="auto" w:fill="auto"/>
            <w:noWrap/>
            <w:hideMark/>
          </w:tcPr>
          <w:p w:rsidR="00BC021F" w:rsidRPr="004A57CE" w:rsidRDefault="00BC021F" w:rsidP="00AD3747">
            <w:pPr>
              <w:jc w:val="center"/>
              <w:rPr>
                <w:bCs/>
                <w:color w:val="000000"/>
                <w:sz w:val="22"/>
                <w:szCs w:val="22"/>
                <w:lang w:val="en-GB"/>
              </w:rPr>
            </w:pPr>
            <w:r w:rsidRPr="004A57CE">
              <w:rPr>
                <w:sz w:val="22"/>
                <w:szCs w:val="22"/>
                <w:lang w:val="en-GB"/>
              </w:rPr>
              <w:t>CPA_J58</w:t>
            </w:r>
          </w:p>
        </w:tc>
        <w:tc>
          <w:tcPr>
            <w:tcW w:w="2168" w:type="dxa"/>
            <w:gridSpan w:val="2"/>
            <w:tcBorders>
              <w:top w:val="single" w:sz="4" w:space="0" w:color="auto"/>
              <w:left w:val="nil"/>
              <w:bottom w:val="single" w:sz="4" w:space="0" w:color="auto"/>
              <w:right w:val="single" w:sz="4" w:space="0" w:color="auto"/>
            </w:tcBorders>
            <w:shd w:val="clear" w:color="auto" w:fill="auto"/>
            <w:noWrap/>
            <w:hideMark/>
          </w:tcPr>
          <w:p w:rsidR="00BC021F" w:rsidRPr="004A57CE" w:rsidRDefault="00BC021F" w:rsidP="00AD3747">
            <w:pPr>
              <w:jc w:val="center"/>
              <w:rPr>
                <w:bCs/>
                <w:color w:val="000000"/>
                <w:sz w:val="22"/>
                <w:szCs w:val="22"/>
                <w:lang w:val="en-GB"/>
              </w:rPr>
            </w:pPr>
            <w:r w:rsidRPr="004A57CE">
              <w:rPr>
                <w:sz w:val="22"/>
                <w:szCs w:val="22"/>
                <w:lang w:val="en-GB"/>
              </w:rPr>
              <w:t>CPA_J61</w:t>
            </w:r>
          </w:p>
        </w:tc>
        <w:tc>
          <w:tcPr>
            <w:tcW w:w="2168" w:type="dxa"/>
            <w:gridSpan w:val="2"/>
            <w:tcBorders>
              <w:top w:val="single" w:sz="4" w:space="0" w:color="auto"/>
              <w:left w:val="nil"/>
              <w:bottom w:val="single" w:sz="4" w:space="0" w:color="auto"/>
              <w:right w:val="single" w:sz="4" w:space="0" w:color="auto"/>
            </w:tcBorders>
            <w:shd w:val="clear" w:color="auto" w:fill="auto"/>
            <w:noWrap/>
            <w:hideMark/>
          </w:tcPr>
          <w:p w:rsidR="00BC021F" w:rsidRPr="004A57CE" w:rsidRDefault="00BC021F" w:rsidP="00AD3747">
            <w:pPr>
              <w:jc w:val="center"/>
              <w:rPr>
                <w:bCs/>
                <w:color w:val="000000"/>
                <w:sz w:val="22"/>
                <w:szCs w:val="22"/>
                <w:lang w:val="en-GB"/>
              </w:rPr>
            </w:pPr>
            <w:r w:rsidRPr="004A57CE">
              <w:rPr>
                <w:sz w:val="22"/>
                <w:szCs w:val="22"/>
                <w:lang w:val="en-GB"/>
              </w:rPr>
              <w:t>CPA_J62_J63</w:t>
            </w:r>
          </w:p>
        </w:tc>
        <w:tc>
          <w:tcPr>
            <w:tcW w:w="2168" w:type="dxa"/>
            <w:gridSpan w:val="2"/>
            <w:tcBorders>
              <w:top w:val="single" w:sz="4" w:space="0" w:color="auto"/>
              <w:left w:val="nil"/>
              <w:bottom w:val="single" w:sz="4" w:space="0" w:color="auto"/>
              <w:right w:val="single" w:sz="4" w:space="0" w:color="auto"/>
            </w:tcBorders>
            <w:shd w:val="clear" w:color="auto" w:fill="auto"/>
            <w:noWrap/>
            <w:hideMark/>
          </w:tcPr>
          <w:p w:rsidR="00BC021F" w:rsidRPr="004A57CE" w:rsidRDefault="00BC021F" w:rsidP="00AD3747">
            <w:pPr>
              <w:jc w:val="center"/>
              <w:rPr>
                <w:bCs/>
                <w:color w:val="000000"/>
                <w:sz w:val="22"/>
                <w:szCs w:val="22"/>
                <w:lang w:val="en-GB"/>
              </w:rPr>
            </w:pPr>
            <w:r w:rsidRPr="004A57CE">
              <w:rPr>
                <w:sz w:val="22"/>
                <w:szCs w:val="22"/>
                <w:lang w:val="en-GB"/>
              </w:rPr>
              <w:t>CPA_S95</w:t>
            </w:r>
          </w:p>
        </w:tc>
      </w:tr>
      <w:tr w:rsidR="00BC021F" w:rsidRPr="004A57CE" w:rsidTr="00AD3747">
        <w:trPr>
          <w:trHeight w:val="320"/>
        </w:trPr>
        <w:tc>
          <w:tcPr>
            <w:tcW w:w="1056" w:type="dxa"/>
            <w:tcBorders>
              <w:top w:val="single" w:sz="4" w:space="0" w:color="auto"/>
              <w:left w:val="single" w:sz="4" w:space="0" w:color="auto"/>
              <w:bottom w:val="single" w:sz="4" w:space="0" w:color="auto"/>
              <w:right w:val="single" w:sz="4" w:space="0" w:color="auto"/>
            </w:tcBorders>
            <w:shd w:val="clear" w:color="auto" w:fill="auto"/>
            <w:noWrap/>
            <w:hideMark/>
          </w:tcPr>
          <w:p w:rsidR="00BC021F" w:rsidRPr="004A57CE" w:rsidRDefault="00BC021F" w:rsidP="00AD3747">
            <w:pPr>
              <w:jc w:val="center"/>
              <w:rPr>
                <w:bCs/>
                <w:color w:val="000000"/>
                <w:sz w:val="22"/>
                <w:szCs w:val="22"/>
                <w:lang w:val="en-GB"/>
              </w:rPr>
            </w:pPr>
            <w:r w:rsidRPr="004A57CE">
              <w:rPr>
                <w:bCs/>
                <w:color w:val="000000"/>
                <w:sz w:val="22"/>
                <w:szCs w:val="22"/>
                <w:lang w:val="en-GB"/>
              </w:rPr>
              <w:t>New member states of EU</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bCs/>
                <w:color w:val="000000"/>
                <w:sz w:val="22"/>
                <w:szCs w:val="22"/>
                <w:lang w:val="en-GB"/>
              </w:rPr>
            </w:pPr>
            <w:r w:rsidRPr="004A57CE">
              <w:rPr>
                <w:bCs/>
                <w:color w:val="000000"/>
                <w:sz w:val="22"/>
                <w:szCs w:val="22"/>
                <w:lang w:val="en-GB"/>
              </w:rPr>
              <w:t>Output multiplier</w:t>
            </w:r>
          </w:p>
        </w:tc>
        <w:tc>
          <w:tcPr>
            <w:tcW w:w="1111"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bCs/>
                <w:color w:val="000000"/>
                <w:sz w:val="22"/>
                <w:szCs w:val="22"/>
                <w:lang w:val="en-GB"/>
              </w:rPr>
            </w:pPr>
            <w:r w:rsidRPr="004A57CE">
              <w:rPr>
                <w:bCs/>
                <w:color w:val="000000"/>
                <w:sz w:val="22"/>
                <w:szCs w:val="22"/>
                <w:lang w:val="en-GB"/>
              </w:rPr>
              <w:t>Value added multiplier</w:t>
            </w:r>
          </w:p>
        </w:tc>
        <w:tc>
          <w:tcPr>
            <w:tcW w:w="1155"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bCs/>
                <w:color w:val="000000"/>
                <w:sz w:val="22"/>
                <w:szCs w:val="22"/>
                <w:lang w:val="en-GB"/>
              </w:rPr>
            </w:pPr>
            <w:r w:rsidRPr="004A57CE">
              <w:rPr>
                <w:bCs/>
                <w:color w:val="000000"/>
                <w:sz w:val="22"/>
                <w:szCs w:val="22"/>
                <w:lang w:val="en-GB"/>
              </w:rPr>
              <w:t>Output multiplier</w:t>
            </w:r>
          </w:p>
        </w:tc>
        <w:tc>
          <w:tcPr>
            <w:tcW w:w="1221"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bCs/>
                <w:color w:val="000000"/>
                <w:sz w:val="22"/>
                <w:szCs w:val="22"/>
                <w:lang w:val="en-GB"/>
              </w:rPr>
            </w:pPr>
            <w:r w:rsidRPr="004A57CE">
              <w:rPr>
                <w:bCs/>
                <w:color w:val="000000"/>
                <w:sz w:val="22"/>
                <w:szCs w:val="22"/>
                <w:lang w:val="en-GB"/>
              </w:rPr>
              <w:t>Value added multiplier</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bCs/>
                <w:color w:val="000000"/>
                <w:sz w:val="22"/>
                <w:szCs w:val="22"/>
                <w:lang w:val="en-GB"/>
              </w:rPr>
            </w:pPr>
            <w:r w:rsidRPr="004A57CE">
              <w:rPr>
                <w:bCs/>
                <w:color w:val="000000"/>
                <w:sz w:val="22"/>
                <w:szCs w:val="22"/>
                <w:lang w:val="en-GB"/>
              </w:rPr>
              <w:t>Output multiplier</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bCs/>
                <w:color w:val="000000"/>
                <w:sz w:val="22"/>
                <w:szCs w:val="22"/>
                <w:lang w:val="en-GB"/>
              </w:rPr>
            </w:pPr>
            <w:r w:rsidRPr="004A57CE">
              <w:rPr>
                <w:bCs/>
                <w:color w:val="000000"/>
                <w:sz w:val="22"/>
                <w:szCs w:val="22"/>
                <w:lang w:val="en-GB"/>
              </w:rPr>
              <w:t>Value added multiplier</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bCs/>
                <w:color w:val="000000"/>
                <w:sz w:val="22"/>
                <w:szCs w:val="22"/>
                <w:lang w:val="en-GB"/>
              </w:rPr>
            </w:pPr>
            <w:r w:rsidRPr="004A57CE">
              <w:rPr>
                <w:bCs/>
                <w:color w:val="000000"/>
                <w:sz w:val="22"/>
                <w:szCs w:val="22"/>
                <w:lang w:val="en-GB"/>
              </w:rPr>
              <w:t>Output multiplier</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bCs/>
                <w:color w:val="000000"/>
                <w:sz w:val="22"/>
                <w:szCs w:val="22"/>
                <w:lang w:val="en-GB"/>
              </w:rPr>
            </w:pPr>
            <w:r w:rsidRPr="004A57CE">
              <w:rPr>
                <w:bCs/>
                <w:color w:val="000000"/>
                <w:sz w:val="22"/>
                <w:szCs w:val="22"/>
                <w:lang w:val="en-GB"/>
              </w:rPr>
              <w:t>Value added multiplier</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bCs/>
                <w:color w:val="000000"/>
                <w:sz w:val="22"/>
                <w:szCs w:val="22"/>
                <w:lang w:val="en-GB"/>
              </w:rPr>
            </w:pPr>
            <w:r w:rsidRPr="004A57CE">
              <w:rPr>
                <w:bCs/>
                <w:color w:val="000000"/>
                <w:sz w:val="22"/>
                <w:szCs w:val="22"/>
                <w:lang w:val="en-GB"/>
              </w:rPr>
              <w:t>Output multiplier</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bCs/>
                <w:color w:val="000000"/>
                <w:sz w:val="22"/>
                <w:szCs w:val="22"/>
                <w:lang w:val="en-GB"/>
              </w:rPr>
            </w:pPr>
            <w:r w:rsidRPr="004A57CE">
              <w:rPr>
                <w:bCs/>
                <w:color w:val="000000"/>
                <w:sz w:val="22"/>
                <w:szCs w:val="22"/>
                <w:lang w:val="en-GB"/>
              </w:rPr>
              <w:t>Value added multiplier</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bCs/>
                <w:color w:val="000000"/>
                <w:sz w:val="22"/>
                <w:szCs w:val="22"/>
                <w:lang w:val="en-GB"/>
              </w:rPr>
            </w:pPr>
            <w:r w:rsidRPr="004A57CE">
              <w:rPr>
                <w:bCs/>
                <w:color w:val="000000"/>
                <w:sz w:val="22"/>
                <w:szCs w:val="22"/>
                <w:lang w:val="en-GB"/>
              </w:rPr>
              <w:t>Output multiplier</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bCs/>
                <w:color w:val="000000"/>
                <w:sz w:val="22"/>
                <w:szCs w:val="22"/>
                <w:lang w:val="en-GB"/>
              </w:rPr>
            </w:pPr>
            <w:r w:rsidRPr="004A57CE">
              <w:rPr>
                <w:bCs/>
                <w:color w:val="000000"/>
                <w:sz w:val="22"/>
                <w:szCs w:val="22"/>
                <w:lang w:val="en-GB"/>
              </w:rPr>
              <w:t>Value added multiplier</w:t>
            </w:r>
          </w:p>
        </w:tc>
      </w:tr>
      <w:tr w:rsidR="00BC021F" w:rsidRPr="004A57CE" w:rsidTr="00AD3747">
        <w:trPr>
          <w:trHeight w:val="336"/>
        </w:trPr>
        <w:tc>
          <w:tcPr>
            <w:tcW w:w="1056" w:type="dxa"/>
            <w:tcBorders>
              <w:top w:val="single" w:sz="4" w:space="0" w:color="auto"/>
              <w:left w:val="single" w:sz="4" w:space="0" w:color="auto"/>
              <w:bottom w:val="single" w:sz="4" w:space="0" w:color="auto"/>
              <w:right w:val="nil"/>
            </w:tcBorders>
            <w:shd w:val="clear" w:color="auto" w:fill="auto"/>
            <w:noWrap/>
            <w:hideMark/>
          </w:tcPr>
          <w:p w:rsidR="00BC021F" w:rsidRPr="004A57CE" w:rsidRDefault="00BC021F" w:rsidP="00AD3747">
            <w:pPr>
              <w:jc w:val="center"/>
              <w:rPr>
                <w:bCs/>
                <w:color w:val="000000"/>
                <w:sz w:val="22"/>
                <w:szCs w:val="22"/>
                <w:lang w:val="en-GB"/>
              </w:rPr>
            </w:pPr>
            <w:r w:rsidRPr="004A57CE">
              <w:rPr>
                <w:bCs/>
                <w:color w:val="000000"/>
                <w:sz w:val="22"/>
                <w:szCs w:val="22"/>
                <w:lang w:val="en-GB"/>
              </w:rPr>
              <w:t>Croatia</w:t>
            </w:r>
          </w:p>
        </w:tc>
        <w:tc>
          <w:tcPr>
            <w:tcW w:w="1084" w:type="dxa"/>
            <w:tcBorders>
              <w:top w:val="nil"/>
              <w:left w:val="single" w:sz="4" w:space="0" w:color="auto"/>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1.581</w:t>
            </w:r>
          </w:p>
        </w:tc>
        <w:tc>
          <w:tcPr>
            <w:tcW w:w="1111"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1.631</w:t>
            </w:r>
          </w:p>
        </w:tc>
        <w:tc>
          <w:tcPr>
            <w:tcW w:w="1155"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1.601</w:t>
            </w:r>
          </w:p>
        </w:tc>
        <w:tc>
          <w:tcPr>
            <w:tcW w:w="1221"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1.600</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1.691</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1.835</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1.484</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1.404</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1.475</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1.407</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1.456</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1.418</w:t>
            </w:r>
          </w:p>
        </w:tc>
      </w:tr>
      <w:tr w:rsidR="00BC021F" w:rsidRPr="004A57CE" w:rsidTr="00AD3747">
        <w:trPr>
          <w:trHeight w:val="336"/>
        </w:trPr>
        <w:tc>
          <w:tcPr>
            <w:tcW w:w="1056" w:type="dxa"/>
            <w:tcBorders>
              <w:top w:val="single" w:sz="4" w:space="0" w:color="auto"/>
              <w:left w:val="single" w:sz="4" w:space="0" w:color="auto"/>
              <w:bottom w:val="single" w:sz="4" w:space="0" w:color="auto"/>
              <w:right w:val="nil"/>
            </w:tcBorders>
            <w:shd w:val="clear" w:color="auto" w:fill="auto"/>
            <w:noWrap/>
            <w:hideMark/>
          </w:tcPr>
          <w:p w:rsidR="00BC021F" w:rsidRPr="004A57CE" w:rsidRDefault="00BC021F" w:rsidP="00AD3747">
            <w:pPr>
              <w:jc w:val="center"/>
              <w:rPr>
                <w:bCs/>
                <w:color w:val="000000"/>
                <w:sz w:val="22"/>
                <w:szCs w:val="22"/>
                <w:lang w:val="en-GB"/>
              </w:rPr>
            </w:pPr>
            <w:r w:rsidRPr="004A57CE">
              <w:rPr>
                <w:bCs/>
                <w:color w:val="000000"/>
                <w:sz w:val="22"/>
                <w:szCs w:val="22"/>
                <w:lang w:val="en-GB"/>
              </w:rPr>
              <w:t>Slovenia</w:t>
            </w:r>
          </w:p>
        </w:tc>
        <w:tc>
          <w:tcPr>
            <w:tcW w:w="1084" w:type="dxa"/>
            <w:tcBorders>
              <w:top w:val="nil"/>
              <w:left w:val="single" w:sz="4" w:space="0" w:color="auto"/>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1.595</w:t>
            </w:r>
          </w:p>
        </w:tc>
        <w:tc>
          <w:tcPr>
            <w:tcW w:w="1111"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1.693</w:t>
            </w:r>
          </w:p>
        </w:tc>
        <w:tc>
          <w:tcPr>
            <w:tcW w:w="1155"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1.683</w:t>
            </w:r>
          </w:p>
        </w:tc>
        <w:tc>
          <w:tcPr>
            <w:tcW w:w="1221"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1.625</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1.868</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2.250</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1.852</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2.009</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1.552</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1.539</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1.402</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1.451</w:t>
            </w:r>
          </w:p>
        </w:tc>
      </w:tr>
      <w:tr w:rsidR="00BC021F" w:rsidRPr="004A57CE" w:rsidTr="00AD3747">
        <w:trPr>
          <w:trHeight w:val="336"/>
        </w:trPr>
        <w:tc>
          <w:tcPr>
            <w:tcW w:w="1056" w:type="dxa"/>
            <w:tcBorders>
              <w:top w:val="single" w:sz="4" w:space="0" w:color="auto"/>
              <w:left w:val="single" w:sz="4" w:space="0" w:color="auto"/>
              <w:bottom w:val="single" w:sz="4" w:space="0" w:color="auto"/>
              <w:right w:val="nil"/>
            </w:tcBorders>
            <w:shd w:val="clear" w:color="auto" w:fill="auto"/>
            <w:noWrap/>
            <w:hideMark/>
          </w:tcPr>
          <w:p w:rsidR="00BC021F" w:rsidRPr="004A57CE" w:rsidRDefault="00BC021F" w:rsidP="00AD3747">
            <w:pPr>
              <w:jc w:val="center"/>
              <w:rPr>
                <w:bCs/>
                <w:color w:val="000000"/>
                <w:sz w:val="22"/>
                <w:szCs w:val="22"/>
                <w:lang w:val="en-GB"/>
              </w:rPr>
            </w:pPr>
            <w:r w:rsidRPr="004A57CE">
              <w:rPr>
                <w:bCs/>
                <w:color w:val="000000"/>
                <w:sz w:val="22"/>
                <w:szCs w:val="22"/>
                <w:lang w:val="en-GB"/>
              </w:rPr>
              <w:t>Czech Republic</w:t>
            </w:r>
          </w:p>
        </w:tc>
        <w:tc>
          <w:tcPr>
            <w:tcW w:w="1084" w:type="dxa"/>
            <w:tcBorders>
              <w:top w:val="nil"/>
              <w:left w:val="single" w:sz="4" w:space="0" w:color="auto"/>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1.328</w:t>
            </w:r>
          </w:p>
        </w:tc>
        <w:tc>
          <w:tcPr>
            <w:tcW w:w="1111"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2.824</w:t>
            </w:r>
          </w:p>
        </w:tc>
        <w:tc>
          <w:tcPr>
            <w:tcW w:w="1155"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1.862</w:t>
            </w:r>
          </w:p>
        </w:tc>
        <w:tc>
          <w:tcPr>
            <w:tcW w:w="1221"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1.831</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1.897</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2.085</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1.618</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1.563</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1.808</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1.793</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1.782</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1.815</w:t>
            </w:r>
          </w:p>
        </w:tc>
      </w:tr>
      <w:tr w:rsidR="00BC021F" w:rsidRPr="004A57CE" w:rsidTr="00AD3747">
        <w:trPr>
          <w:trHeight w:val="336"/>
        </w:trPr>
        <w:tc>
          <w:tcPr>
            <w:tcW w:w="1056" w:type="dxa"/>
            <w:tcBorders>
              <w:top w:val="single" w:sz="4" w:space="0" w:color="auto"/>
              <w:left w:val="single" w:sz="4" w:space="0" w:color="auto"/>
              <w:bottom w:val="single" w:sz="4" w:space="0" w:color="auto"/>
              <w:right w:val="nil"/>
            </w:tcBorders>
            <w:shd w:val="clear" w:color="auto" w:fill="auto"/>
            <w:noWrap/>
            <w:hideMark/>
          </w:tcPr>
          <w:p w:rsidR="00BC021F" w:rsidRPr="004A57CE" w:rsidRDefault="00BC021F" w:rsidP="00AD3747">
            <w:pPr>
              <w:jc w:val="center"/>
              <w:rPr>
                <w:bCs/>
                <w:color w:val="000000"/>
                <w:sz w:val="22"/>
                <w:szCs w:val="22"/>
                <w:lang w:val="en-GB"/>
              </w:rPr>
            </w:pPr>
            <w:r w:rsidRPr="004A57CE">
              <w:rPr>
                <w:bCs/>
                <w:color w:val="000000"/>
                <w:sz w:val="22"/>
                <w:szCs w:val="22"/>
                <w:lang w:val="en-GB"/>
              </w:rPr>
              <w:t>Slovakia</w:t>
            </w:r>
          </w:p>
        </w:tc>
        <w:tc>
          <w:tcPr>
            <w:tcW w:w="1084" w:type="dxa"/>
            <w:tcBorders>
              <w:top w:val="nil"/>
              <w:left w:val="single" w:sz="4" w:space="0" w:color="auto"/>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1.463</w:t>
            </w:r>
          </w:p>
        </w:tc>
        <w:tc>
          <w:tcPr>
            <w:tcW w:w="1111"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2.558</w:t>
            </w:r>
          </w:p>
        </w:tc>
        <w:tc>
          <w:tcPr>
            <w:tcW w:w="1155"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1.567</w:t>
            </w:r>
          </w:p>
        </w:tc>
        <w:tc>
          <w:tcPr>
            <w:tcW w:w="1221"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1.493</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1.548</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1.569</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1.654</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1.599</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1.571</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1.519</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1.174</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1.155</w:t>
            </w:r>
          </w:p>
        </w:tc>
      </w:tr>
      <w:tr w:rsidR="00BC021F" w:rsidRPr="004A57CE" w:rsidTr="00AD3747">
        <w:trPr>
          <w:trHeight w:val="336"/>
        </w:trPr>
        <w:tc>
          <w:tcPr>
            <w:tcW w:w="1056" w:type="dxa"/>
            <w:tcBorders>
              <w:top w:val="single" w:sz="4" w:space="0" w:color="auto"/>
              <w:left w:val="single" w:sz="4" w:space="0" w:color="auto"/>
              <w:bottom w:val="single" w:sz="4" w:space="0" w:color="auto"/>
              <w:right w:val="nil"/>
            </w:tcBorders>
            <w:shd w:val="clear" w:color="auto" w:fill="auto"/>
            <w:noWrap/>
            <w:hideMark/>
          </w:tcPr>
          <w:p w:rsidR="00BC021F" w:rsidRPr="004A57CE" w:rsidRDefault="00BC021F" w:rsidP="00AD3747">
            <w:pPr>
              <w:jc w:val="center"/>
              <w:rPr>
                <w:bCs/>
                <w:color w:val="000000"/>
                <w:sz w:val="22"/>
                <w:szCs w:val="22"/>
                <w:lang w:val="en-GB"/>
              </w:rPr>
            </w:pPr>
            <w:r w:rsidRPr="004A57CE">
              <w:rPr>
                <w:bCs/>
                <w:color w:val="000000"/>
                <w:sz w:val="22"/>
                <w:szCs w:val="22"/>
                <w:lang w:val="en-GB"/>
              </w:rPr>
              <w:t>Hungary</w:t>
            </w:r>
          </w:p>
        </w:tc>
        <w:tc>
          <w:tcPr>
            <w:tcW w:w="1084" w:type="dxa"/>
            <w:tcBorders>
              <w:top w:val="nil"/>
              <w:left w:val="single" w:sz="4" w:space="0" w:color="auto"/>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1.131</w:t>
            </w:r>
          </w:p>
        </w:tc>
        <w:tc>
          <w:tcPr>
            <w:tcW w:w="1111"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1.692</w:t>
            </w:r>
          </w:p>
        </w:tc>
        <w:tc>
          <w:tcPr>
            <w:tcW w:w="1155"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1.563</w:t>
            </w:r>
          </w:p>
        </w:tc>
        <w:tc>
          <w:tcPr>
            <w:tcW w:w="1221"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1.635</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1.654</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1.694</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1.431</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1.394</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1.365</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1.332</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1.438</w:t>
            </w:r>
          </w:p>
        </w:tc>
        <w:tc>
          <w:tcPr>
            <w:tcW w:w="1084" w:type="dxa"/>
            <w:tcBorders>
              <w:top w:val="nil"/>
              <w:left w:val="nil"/>
              <w:bottom w:val="single" w:sz="4" w:space="0" w:color="auto"/>
              <w:right w:val="single" w:sz="4" w:space="0" w:color="auto"/>
            </w:tcBorders>
            <w:shd w:val="clear" w:color="auto" w:fill="auto"/>
            <w:noWrap/>
            <w:hideMark/>
          </w:tcPr>
          <w:p w:rsidR="00BC021F" w:rsidRPr="004A57CE" w:rsidRDefault="00BC021F" w:rsidP="00AD3747">
            <w:pPr>
              <w:jc w:val="center"/>
              <w:rPr>
                <w:color w:val="000000"/>
                <w:sz w:val="22"/>
                <w:szCs w:val="22"/>
                <w:lang w:val="en-GB"/>
              </w:rPr>
            </w:pPr>
            <w:r w:rsidRPr="004A57CE">
              <w:rPr>
                <w:color w:val="000000"/>
                <w:sz w:val="22"/>
                <w:szCs w:val="22"/>
                <w:lang w:val="en-GB"/>
              </w:rPr>
              <w:t>1.442</w:t>
            </w:r>
          </w:p>
        </w:tc>
      </w:tr>
    </w:tbl>
    <w:p w:rsidR="00BC021F" w:rsidRDefault="00AD3747" w:rsidP="00BC021F">
      <w:pPr>
        <w:pStyle w:val="Tijeloteksta"/>
        <w:spacing w:before="0"/>
        <w:jc w:val="left"/>
        <w:rPr>
          <w:b w:val="0"/>
          <w:sz w:val="22"/>
          <w:szCs w:val="22"/>
        </w:rPr>
      </w:pPr>
      <w:r w:rsidRPr="00AD3747">
        <w:rPr>
          <w:b w:val="0"/>
          <w:sz w:val="22"/>
          <w:szCs w:val="22"/>
        </w:rPr>
        <w:t>Appendix</w:t>
      </w:r>
      <w:r>
        <w:rPr>
          <w:b w:val="0"/>
          <w:sz w:val="22"/>
          <w:szCs w:val="22"/>
        </w:rPr>
        <w:t xml:space="preserve"> 1</w:t>
      </w:r>
    </w:p>
    <w:p w:rsidR="00AD3747" w:rsidRDefault="00AD3747" w:rsidP="00BC021F">
      <w:pPr>
        <w:pStyle w:val="Tijeloteksta"/>
        <w:spacing w:before="0"/>
        <w:jc w:val="left"/>
        <w:rPr>
          <w:b w:val="0"/>
          <w:sz w:val="22"/>
          <w:szCs w:val="22"/>
        </w:rPr>
      </w:pPr>
    </w:p>
    <w:p w:rsidR="00AD3747" w:rsidRDefault="00AD3747" w:rsidP="00BC021F">
      <w:pPr>
        <w:pStyle w:val="Tijeloteksta"/>
        <w:spacing w:before="0"/>
        <w:jc w:val="left"/>
        <w:rPr>
          <w:b w:val="0"/>
          <w:sz w:val="22"/>
          <w:szCs w:val="22"/>
        </w:rPr>
      </w:pPr>
    </w:p>
    <w:p w:rsidR="00AD3747" w:rsidRDefault="00AD3747" w:rsidP="00BC021F">
      <w:pPr>
        <w:pStyle w:val="Tijeloteksta"/>
        <w:spacing w:before="0"/>
        <w:jc w:val="left"/>
        <w:rPr>
          <w:b w:val="0"/>
          <w:sz w:val="22"/>
          <w:szCs w:val="22"/>
        </w:rPr>
      </w:pPr>
    </w:p>
    <w:p w:rsidR="00BC021F" w:rsidRDefault="00BC021F" w:rsidP="00BC021F">
      <w:pPr>
        <w:pStyle w:val="Tijeloteksta"/>
        <w:spacing w:before="0"/>
        <w:jc w:val="left"/>
        <w:rPr>
          <w:rFonts w:eastAsiaTheme="minorEastAsia"/>
          <w:b w:val="0"/>
          <w:sz w:val="22"/>
          <w:szCs w:val="22"/>
        </w:rPr>
      </w:pPr>
      <w:r w:rsidRPr="002F072F">
        <w:rPr>
          <w:b w:val="0"/>
          <w:sz w:val="22"/>
          <w:szCs w:val="22"/>
        </w:rPr>
        <w:t xml:space="preserve">Table 4: </w:t>
      </w:r>
      <w:r w:rsidRPr="002F072F">
        <w:rPr>
          <w:rFonts w:eastAsiaTheme="minorEastAsia"/>
          <w:b w:val="0"/>
          <w:sz w:val="22"/>
          <w:szCs w:val="22"/>
        </w:rPr>
        <w:t>Output and value added multiplier</w:t>
      </w:r>
      <w:r>
        <w:rPr>
          <w:rFonts w:eastAsiaTheme="minorEastAsia"/>
          <w:b w:val="0"/>
          <w:sz w:val="22"/>
          <w:szCs w:val="22"/>
        </w:rPr>
        <w:t>s</w:t>
      </w:r>
      <w:r w:rsidRPr="002F072F">
        <w:rPr>
          <w:rFonts w:eastAsiaTheme="minorEastAsia"/>
          <w:b w:val="0"/>
          <w:sz w:val="22"/>
          <w:szCs w:val="22"/>
        </w:rPr>
        <w:t xml:space="preserve"> for ICT sectors for </w:t>
      </w:r>
      <w:r w:rsidRPr="002F072F">
        <w:rPr>
          <w:b w:val="0"/>
          <w:bCs/>
          <w:color w:val="000000"/>
          <w:sz w:val="22"/>
          <w:szCs w:val="22"/>
        </w:rPr>
        <w:t>new member states of EU</w:t>
      </w:r>
      <w:r w:rsidRPr="002F072F">
        <w:rPr>
          <w:rFonts w:eastAsiaTheme="minorEastAsia"/>
          <w:b w:val="0"/>
          <w:sz w:val="22"/>
          <w:szCs w:val="22"/>
        </w:rPr>
        <w:t xml:space="preserve"> for 2010</w:t>
      </w:r>
    </w:p>
    <w:p w:rsidR="00BC021F" w:rsidRDefault="00BC021F" w:rsidP="00BC021F">
      <w:pPr>
        <w:pStyle w:val="Tijeloteksta"/>
        <w:spacing w:before="0"/>
        <w:jc w:val="left"/>
        <w:rPr>
          <w:rFonts w:eastAsiaTheme="minorEastAsia"/>
          <w:b w:val="0"/>
          <w:sz w:val="22"/>
          <w:szCs w:val="22"/>
        </w:rPr>
      </w:pPr>
    </w:p>
    <w:p w:rsidR="00BC021F" w:rsidRDefault="00BC021F" w:rsidP="00BC021F">
      <w:pPr>
        <w:pStyle w:val="Tijeloteksta"/>
        <w:spacing w:before="0"/>
        <w:jc w:val="left"/>
        <w:rPr>
          <w:rFonts w:eastAsiaTheme="minorEastAsia"/>
          <w:b w:val="0"/>
          <w:sz w:val="22"/>
          <w:szCs w:val="22"/>
        </w:rPr>
      </w:pPr>
    </w:p>
    <w:p w:rsidR="00BC021F" w:rsidRDefault="00BC021F" w:rsidP="00BC021F">
      <w:pPr>
        <w:pStyle w:val="Tijeloteksta"/>
        <w:spacing w:before="0"/>
        <w:jc w:val="left"/>
        <w:rPr>
          <w:rFonts w:eastAsiaTheme="minorEastAsia"/>
          <w:b w:val="0"/>
          <w:sz w:val="22"/>
          <w:szCs w:val="22"/>
        </w:rPr>
      </w:pPr>
    </w:p>
    <w:p w:rsidR="00BC021F" w:rsidRDefault="00BC021F" w:rsidP="00BC021F">
      <w:pPr>
        <w:pStyle w:val="Tijeloteksta"/>
        <w:spacing w:before="0"/>
        <w:jc w:val="left"/>
        <w:rPr>
          <w:rFonts w:eastAsiaTheme="minorEastAsia"/>
          <w:b w:val="0"/>
          <w:sz w:val="22"/>
          <w:szCs w:val="22"/>
        </w:rPr>
      </w:pPr>
    </w:p>
    <w:p w:rsidR="00BC021F" w:rsidRDefault="00BC021F" w:rsidP="00BC021F">
      <w:pPr>
        <w:pStyle w:val="Tijeloteksta"/>
        <w:spacing w:before="0"/>
        <w:jc w:val="left"/>
        <w:rPr>
          <w:rFonts w:eastAsiaTheme="minorEastAsia"/>
          <w:b w:val="0"/>
          <w:sz w:val="22"/>
          <w:szCs w:val="22"/>
        </w:rPr>
      </w:pPr>
    </w:p>
    <w:p w:rsidR="00BC021F" w:rsidRDefault="00BC021F" w:rsidP="00BC021F">
      <w:pPr>
        <w:pStyle w:val="Tijeloteksta"/>
        <w:spacing w:before="0"/>
        <w:jc w:val="left"/>
        <w:rPr>
          <w:rFonts w:eastAsiaTheme="minorEastAsia"/>
          <w:b w:val="0"/>
          <w:sz w:val="22"/>
          <w:szCs w:val="22"/>
        </w:rPr>
      </w:pPr>
    </w:p>
    <w:p w:rsidR="00BC021F" w:rsidRDefault="00BC021F" w:rsidP="00BC021F">
      <w:pPr>
        <w:pStyle w:val="Tijeloteksta"/>
        <w:spacing w:before="0"/>
        <w:jc w:val="left"/>
        <w:rPr>
          <w:rFonts w:eastAsiaTheme="minorEastAsia"/>
          <w:b w:val="0"/>
          <w:sz w:val="22"/>
          <w:szCs w:val="22"/>
        </w:rPr>
      </w:pPr>
    </w:p>
    <w:p w:rsidR="00BC021F" w:rsidRDefault="00BC021F" w:rsidP="00BC021F">
      <w:pPr>
        <w:pStyle w:val="Tijeloteksta"/>
        <w:spacing w:before="0"/>
        <w:jc w:val="left"/>
        <w:rPr>
          <w:rFonts w:eastAsiaTheme="minorEastAsia"/>
          <w:b w:val="0"/>
          <w:sz w:val="22"/>
          <w:szCs w:val="22"/>
        </w:rPr>
      </w:pPr>
    </w:p>
    <w:p w:rsidR="00BC021F" w:rsidRDefault="00BC021F" w:rsidP="00BC021F">
      <w:pPr>
        <w:pStyle w:val="Tijeloteksta"/>
        <w:spacing w:before="0"/>
        <w:jc w:val="left"/>
        <w:rPr>
          <w:rFonts w:eastAsiaTheme="minorEastAsia"/>
          <w:b w:val="0"/>
          <w:sz w:val="22"/>
          <w:szCs w:val="22"/>
        </w:rPr>
      </w:pPr>
    </w:p>
    <w:p w:rsidR="00BC021F" w:rsidRDefault="00BC021F" w:rsidP="00BC021F">
      <w:pPr>
        <w:pStyle w:val="Tijeloteksta"/>
        <w:spacing w:before="0"/>
        <w:jc w:val="left"/>
        <w:rPr>
          <w:rFonts w:eastAsiaTheme="minorEastAsia"/>
          <w:b w:val="0"/>
          <w:sz w:val="22"/>
          <w:szCs w:val="22"/>
        </w:rPr>
      </w:pPr>
    </w:p>
    <w:p w:rsidR="00BC021F" w:rsidRDefault="00BC021F" w:rsidP="00BC021F">
      <w:pPr>
        <w:pStyle w:val="Tijeloteksta"/>
        <w:spacing w:before="0"/>
        <w:jc w:val="left"/>
        <w:rPr>
          <w:rFonts w:eastAsiaTheme="minorEastAsia"/>
          <w:b w:val="0"/>
          <w:sz w:val="22"/>
          <w:szCs w:val="22"/>
        </w:rPr>
      </w:pPr>
    </w:p>
    <w:p w:rsidR="00BC021F" w:rsidRDefault="00BC021F" w:rsidP="00BC021F">
      <w:pPr>
        <w:pStyle w:val="Tijeloteksta"/>
        <w:spacing w:before="0"/>
        <w:jc w:val="left"/>
        <w:rPr>
          <w:rFonts w:eastAsiaTheme="minorEastAsia"/>
          <w:b w:val="0"/>
          <w:sz w:val="22"/>
          <w:szCs w:val="22"/>
        </w:rPr>
      </w:pPr>
    </w:p>
    <w:p w:rsidR="00AD3747" w:rsidRPr="00AD3747" w:rsidRDefault="00AD3747" w:rsidP="00BC021F">
      <w:pPr>
        <w:pStyle w:val="Tijeloteksta"/>
        <w:spacing w:before="0"/>
        <w:jc w:val="left"/>
        <w:rPr>
          <w:b w:val="0"/>
          <w:sz w:val="22"/>
          <w:szCs w:val="22"/>
        </w:rPr>
      </w:pPr>
      <w:r w:rsidRPr="00AD3747">
        <w:rPr>
          <w:b w:val="0"/>
          <w:sz w:val="22"/>
          <w:szCs w:val="22"/>
        </w:rPr>
        <w:t>Appendix</w:t>
      </w:r>
      <w:r w:rsidR="00697334">
        <w:rPr>
          <w:b w:val="0"/>
          <w:sz w:val="22"/>
          <w:szCs w:val="22"/>
        </w:rPr>
        <w:t xml:space="preserve"> 2</w:t>
      </w:r>
    </w:p>
    <w:p w:rsidR="00BC021F" w:rsidRDefault="00BC021F" w:rsidP="00BC021F">
      <w:pPr>
        <w:pStyle w:val="Tijeloteksta"/>
        <w:spacing w:before="0"/>
        <w:jc w:val="left"/>
        <w:rPr>
          <w:rFonts w:eastAsiaTheme="minorEastAsia"/>
          <w:b w:val="0"/>
          <w:sz w:val="22"/>
          <w:szCs w:val="22"/>
        </w:rPr>
      </w:pPr>
    </w:p>
    <w:p w:rsidR="00BC021F" w:rsidRDefault="00BC021F" w:rsidP="00BC021F">
      <w:pPr>
        <w:pStyle w:val="Tijeloteksta"/>
        <w:spacing w:before="0"/>
        <w:jc w:val="left"/>
        <w:rPr>
          <w:rFonts w:eastAsiaTheme="minorEastAsia"/>
          <w:b w:val="0"/>
          <w:sz w:val="22"/>
          <w:szCs w:val="22"/>
        </w:rPr>
      </w:pPr>
    </w:p>
    <w:tbl>
      <w:tblPr>
        <w:tblW w:w="14165" w:type="dxa"/>
        <w:jc w:val="center"/>
        <w:tblLook w:val="04A0" w:firstRow="1" w:lastRow="0" w:firstColumn="1" w:lastColumn="0" w:noHBand="0" w:noVBand="1"/>
      </w:tblPr>
      <w:tblGrid>
        <w:gridCol w:w="1056"/>
        <w:gridCol w:w="1093"/>
        <w:gridCol w:w="1093"/>
        <w:gridCol w:w="1093"/>
        <w:gridCol w:w="1093"/>
        <w:gridCol w:w="1093"/>
        <w:gridCol w:w="1092"/>
        <w:gridCol w:w="1092"/>
        <w:gridCol w:w="1092"/>
        <w:gridCol w:w="1092"/>
        <w:gridCol w:w="1092"/>
        <w:gridCol w:w="1092"/>
        <w:gridCol w:w="1092"/>
      </w:tblGrid>
      <w:tr w:rsidR="00AD3747" w:rsidRPr="004A57CE" w:rsidTr="00FA2158">
        <w:trPr>
          <w:trHeight w:val="306"/>
          <w:jc w:val="center"/>
        </w:trPr>
        <w:tc>
          <w:tcPr>
            <w:tcW w:w="1056" w:type="dxa"/>
            <w:tcBorders>
              <w:top w:val="nil"/>
              <w:left w:val="nil"/>
              <w:bottom w:val="nil"/>
              <w:right w:val="nil"/>
            </w:tcBorders>
            <w:shd w:val="clear" w:color="auto" w:fill="auto"/>
            <w:noWrap/>
            <w:vAlign w:val="bottom"/>
          </w:tcPr>
          <w:p w:rsidR="00AD3747" w:rsidRPr="004A57CE" w:rsidRDefault="00AD3747" w:rsidP="00FA2158">
            <w:pPr>
              <w:rPr>
                <w:sz w:val="22"/>
                <w:szCs w:val="22"/>
                <w:lang w:val="en-GB"/>
              </w:rPr>
            </w:pPr>
          </w:p>
        </w:tc>
        <w:tc>
          <w:tcPr>
            <w:tcW w:w="13109" w:type="dxa"/>
            <w:gridSpan w:val="12"/>
            <w:tcBorders>
              <w:top w:val="single" w:sz="4" w:space="0" w:color="auto"/>
              <w:left w:val="single" w:sz="4" w:space="0" w:color="auto"/>
              <w:bottom w:val="single" w:sz="4" w:space="0" w:color="auto"/>
              <w:right w:val="single" w:sz="4" w:space="0" w:color="auto"/>
            </w:tcBorders>
            <w:shd w:val="clear" w:color="auto" w:fill="auto"/>
            <w:noWrap/>
          </w:tcPr>
          <w:p w:rsidR="00AD3747" w:rsidRPr="004A57CE" w:rsidRDefault="00AD3747" w:rsidP="00FA2158">
            <w:pPr>
              <w:jc w:val="center"/>
              <w:rPr>
                <w:sz w:val="22"/>
                <w:szCs w:val="22"/>
                <w:lang w:val="en-GB"/>
              </w:rPr>
            </w:pPr>
            <w:r w:rsidRPr="004A57CE">
              <w:rPr>
                <w:bCs/>
                <w:color w:val="000000"/>
                <w:sz w:val="22"/>
                <w:szCs w:val="22"/>
                <w:lang w:val="en-GB"/>
              </w:rPr>
              <w:t>Sectors codes</w:t>
            </w:r>
          </w:p>
        </w:tc>
      </w:tr>
      <w:tr w:rsidR="00AD3747" w:rsidRPr="004A57CE" w:rsidTr="00FA2158">
        <w:trPr>
          <w:trHeight w:val="306"/>
          <w:jc w:val="center"/>
        </w:trPr>
        <w:tc>
          <w:tcPr>
            <w:tcW w:w="1056" w:type="dxa"/>
            <w:tcBorders>
              <w:top w:val="nil"/>
              <w:left w:val="nil"/>
              <w:bottom w:val="single" w:sz="4" w:space="0" w:color="auto"/>
              <w:right w:val="nil"/>
            </w:tcBorders>
            <w:shd w:val="clear" w:color="auto" w:fill="auto"/>
            <w:noWrap/>
            <w:vAlign w:val="bottom"/>
            <w:hideMark/>
          </w:tcPr>
          <w:p w:rsidR="00AD3747" w:rsidRPr="004A57CE" w:rsidRDefault="00AD3747" w:rsidP="00FA2158">
            <w:pPr>
              <w:rPr>
                <w:sz w:val="22"/>
                <w:szCs w:val="22"/>
                <w:lang w:val="en-GB"/>
              </w:rPr>
            </w:pPr>
          </w:p>
        </w:tc>
        <w:tc>
          <w:tcPr>
            <w:tcW w:w="21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D3747" w:rsidRPr="004A57CE" w:rsidRDefault="00AD3747" w:rsidP="00FA2158">
            <w:pPr>
              <w:jc w:val="center"/>
              <w:rPr>
                <w:bCs/>
                <w:color w:val="000000"/>
                <w:sz w:val="22"/>
                <w:szCs w:val="22"/>
                <w:lang w:val="en-GB"/>
              </w:rPr>
            </w:pPr>
            <w:r w:rsidRPr="004A57CE">
              <w:rPr>
                <w:sz w:val="22"/>
                <w:szCs w:val="22"/>
                <w:lang w:val="en-GB"/>
              </w:rPr>
              <w:t>CPA_C26</w:t>
            </w:r>
          </w:p>
        </w:tc>
        <w:tc>
          <w:tcPr>
            <w:tcW w:w="2186" w:type="dxa"/>
            <w:gridSpan w:val="2"/>
            <w:tcBorders>
              <w:top w:val="single" w:sz="4" w:space="0" w:color="auto"/>
              <w:left w:val="nil"/>
              <w:bottom w:val="single" w:sz="4" w:space="0" w:color="auto"/>
              <w:right w:val="single" w:sz="4" w:space="0" w:color="auto"/>
            </w:tcBorders>
            <w:shd w:val="clear" w:color="auto" w:fill="auto"/>
            <w:noWrap/>
            <w:hideMark/>
          </w:tcPr>
          <w:p w:rsidR="00AD3747" w:rsidRPr="004A57CE" w:rsidRDefault="00AD3747" w:rsidP="00FA2158">
            <w:pPr>
              <w:jc w:val="center"/>
              <w:rPr>
                <w:bCs/>
                <w:color w:val="000000"/>
                <w:sz w:val="22"/>
                <w:szCs w:val="22"/>
                <w:lang w:val="en-GB"/>
              </w:rPr>
            </w:pPr>
            <w:r w:rsidRPr="004A57CE">
              <w:rPr>
                <w:sz w:val="22"/>
                <w:szCs w:val="22"/>
                <w:lang w:val="en-GB"/>
              </w:rPr>
              <w:t>CPA_G46</w:t>
            </w:r>
          </w:p>
        </w:tc>
        <w:tc>
          <w:tcPr>
            <w:tcW w:w="2185" w:type="dxa"/>
            <w:gridSpan w:val="2"/>
            <w:tcBorders>
              <w:top w:val="single" w:sz="4" w:space="0" w:color="auto"/>
              <w:left w:val="nil"/>
              <w:bottom w:val="single" w:sz="4" w:space="0" w:color="auto"/>
              <w:right w:val="single" w:sz="4" w:space="0" w:color="auto"/>
            </w:tcBorders>
            <w:shd w:val="clear" w:color="auto" w:fill="auto"/>
            <w:noWrap/>
            <w:hideMark/>
          </w:tcPr>
          <w:p w:rsidR="00AD3747" w:rsidRPr="004A57CE" w:rsidRDefault="00AD3747" w:rsidP="00FA2158">
            <w:pPr>
              <w:jc w:val="center"/>
              <w:rPr>
                <w:bCs/>
                <w:color w:val="000000"/>
                <w:sz w:val="22"/>
                <w:szCs w:val="22"/>
                <w:lang w:val="en-GB"/>
              </w:rPr>
            </w:pPr>
            <w:r w:rsidRPr="004A57CE">
              <w:rPr>
                <w:sz w:val="22"/>
                <w:szCs w:val="22"/>
                <w:lang w:val="en-GB"/>
              </w:rPr>
              <w:t>CPA_J58</w:t>
            </w:r>
          </w:p>
        </w:tc>
        <w:tc>
          <w:tcPr>
            <w:tcW w:w="2184" w:type="dxa"/>
            <w:gridSpan w:val="2"/>
            <w:tcBorders>
              <w:top w:val="single" w:sz="4" w:space="0" w:color="auto"/>
              <w:left w:val="nil"/>
              <w:bottom w:val="single" w:sz="4" w:space="0" w:color="auto"/>
              <w:right w:val="single" w:sz="4" w:space="0" w:color="auto"/>
            </w:tcBorders>
            <w:shd w:val="clear" w:color="auto" w:fill="auto"/>
            <w:noWrap/>
            <w:hideMark/>
          </w:tcPr>
          <w:p w:rsidR="00AD3747" w:rsidRPr="004A57CE" w:rsidRDefault="00AD3747" w:rsidP="00FA2158">
            <w:pPr>
              <w:jc w:val="center"/>
              <w:rPr>
                <w:bCs/>
                <w:color w:val="000000"/>
                <w:sz w:val="22"/>
                <w:szCs w:val="22"/>
                <w:lang w:val="en-GB"/>
              </w:rPr>
            </w:pPr>
            <w:r w:rsidRPr="004A57CE">
              <w:rPr>
                <w:sz w:val="22"/>
                <w:szCs w:val="22"/>
                <w:lang w:val="en-GB"/>
              </w:rPr>
              <w:t>CPA_J61</w:t>
            </w:r>
          </w:p>
        </w:tc>
        <w:tc>
          <w:tcPr>
            <w:tcW w:w="2184" w:type="dxa"/>
            <w:gridSpan w:val="2"/>
            <w:tcBorders>
              <w:top w:val="single" w:sz="4" w:space="0" w:color="auto"/>
              <w:left w:val="nil"/>
              <w:bottom w:val="single" w:sz="4" w:space="0" w:color="auto"/>
              <w:right w:val="single" w:sz="4" w:space="0" w:color="auto"/>
            </w:tcBorders>
            <w:shd w:val="clear" w:color="auto" w:fill="auto"/>
            <w:noWrap/>
            <w:hideMark/>
          </w:tcPr>
          <w:p w:rsidR="00AD3747" w:rsidRPr="004A57CE" w:rsidRDefault="00AD3747" w:rsidP="00FA2158">
            <w:pPr>
              <w:jc w:val="center"/>
              <w:rPr>
                <w:bCs/>
                <w:color w:val="000000"/>
                <w:sz w:val="22"/>
                <w:szCs w:val="22"/>
                <w:lang w:val="en-GB"/>
              </w:rPr>
            </w:pPr>
            <w:r w:rsidRPr="004A57CE">
              <w:rPr>
                <w:sz w:val="22"/>
                <w:szCs w:val="22"/>
                <w:lang w:val="en-GB"/>
              </w:rPr>
              <w:t>CPA_J62_J63</w:t>
            </w:r>
          </w:p>
        </w:tc>
        <w:tc>
          <w:tcPr>
            <w:tcW w:w="2184" w:type="dxa"/>
            <w:gridSpan w:val="2"/>
            <w:tcBorders>
              <w:top w:val="single" w:sz="4" w:space="0" w:color="auto"/>
              <w:left w:val="nil"/>
              <w:bottom w:val="single" w:sz="4" w:space="0" w:color="auto"/>
              <w:right w:val="single" w:sz="4" w:space="0" w:color="auto"/>
            </w:tcBorders>
            <w:shd w:val="clear" w:color="auto" w:fill="auto"/>
            <w:noWrap/>
            <w:hideMark/>
          </w:tcPr>
          <w:p w:rsidR="00AD3747" w:rsidRPr="004A57CE" w:rsidRDefault="00AD3747" w:rsidP="00FA2158">
            <w:pPr>
              <w:jc w:val="center"/>
              <w:rPr>
                <w:bCs/>
                <w:color w:val="000000"/>
                <w:sz w:val="22"/>
                <w:szCs w:val="22"/>
                <w:lang w:val="en-GB"/>
              </w:rPr>
            </w:pPr>
            <w:r w:rsidRPr="004A57CE">
              <w:rPr>
                <w:sz w:val="22"/>
                <w:szCs w:val="22"/>
                <w:lang w:val="en-GB"/>
              </w:rPr>
              <w:t>CPA_S95</w:t>
            </w:r>
          </w:p>
        </w:tc>
      </w:tr>
      <w:tr w:rsidR="00AD3747" w:rsidRPr="004A57CE" w:rsidTr="00FA2158">
        <w:trPr>
          <w:trHeight w:val="321"/>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hideMark/>
          </w:tcPr>
          <w:p w:rsidR="00AD3747" w:rsidRPr="004A57CE" w:rsidRDefault="00AD3747" w:rsidP="00FA2158">
            <w:pPr>
              <w:jc w:val="center"/>
              <w:rPr>
                <w:bCs/>
                <w:color w:val="000000"/>
                <w:sz w:val="22"/>
                <w:szCs w:val="22"/>
                <w:lang w:val="en-GB"/>
              </w:rPr>
            </w:pPr>
            <w:r w:rsidRPr="004A57CE">
              <w:rPr>
                <w:bCs/>
                <w:color w:val="000000"/>
                <w:sz w:val="22"/>
                <w:szCs w:val="22"/>
                <w:lang w:val="en-GB"/>
              </w:rPr>
              <w:t>Long-standing member states of EU</w:t>
            </w:r>
          </w:p>
        </w:tc>
        <w:tc>
          <w:tcPr>
            <w:tcW w:w="1093"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bCs/>
                <w:color w:val="000000"/>
                <w:sz w:val="22"/>
                <w:szCs w:val="22"/>
                <w:lang w:val="en-GB"/>
              </w:rPr>
            </w:pPr>
            <w:r w:rsidRPr="004A57CE">
              <w:rPr>
                <w:bCs/>
                <w:color w:val="000000"/>
                <w:sz w:val="22"/>
                <w:szCs w:val="22"/>
                <w:lang w:val="en-GB"/>
              </w:rPr>
              <w:t>Output multiplier</w:t>
            </w:r>
          </w:p>
        </w:tc>
        <w:tc>
          <w:tcPr>
            <w:tcW w:w="1093"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bCs/>
                <w:color w:val="000000"/>
                <w:sz w:val="22"/>
                <w:szCs w:val="22"/>
                <w:lang w:val="en-GB"/>
              </w:rPr>
            </w:pPr>
            <w:r w:rsidRPr="004A57CE">
              <w:rPr>
                <w:bCs/>
                <w:color w:val="000000"/>
                <w:sz w:val="22"/>
                <w:szCs w:val="22"/>
                <w:lang w:val="en-GB"/>
              </w:rPr>
              <w:t>Value added multiplier</w:t>
            </w:r>
          </w:p>
        </w:tc>
        <w:tc>
          <w:tcPr>
            <w:tcW w:w="1093"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bCs/>
                <w:color w:val="000000"/>
                <w:sz w:val="22"/>
                <w:szCs w:val="22"/>
                <w:lang w:val="en-GB"/>
              </w:rPr>
            </w:pPr>
            <w:r w:rsidRPr="004A57CE">
              <w:rPr>
                <w:bCs/>
                <w:color w:val="000000"/>
                <w:sz w:val="22"/>
                <w:szCs w:val="22"/>
                <w:lang w:val="en-GB"/>
              </w:rPr>
              <w:t>Output multiplier</w:t>
            </w:r>
          </w:p>
        </w:tc>
        <w:tc>
          <w:tcPr>
            <w:tcW w:w="1093"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bCs/>
                <w:color w:val="000000"/>
                <w:sz w:val="22"/>
                <w:szCs w:val="22"/>
                <w:lang w:val="en-GB"/>
              </w:rPr>
            </w:pPr>
            <w:r w:rsidRPr="004A57CE">
              <w:rPr>
                <w:bCs/>
                <w:color w:val="000000"/>
                <w:sz w:val="22"/>
                <w:szCs w:val="22"/>
                <w:lang w:val="en-GB"/>
              </w:rPr>
              <w:t>Value added multiplier</w:t>
            </w:r>
          </w:p>
        </w:tc>
        <w:tc>
          <w:tcPr>
            <w:tcW w:w="1093"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bCs/>
                <w:color w:val="000000"/>
                <w:sz w:val="22"/>
                <w:szCs w:val="22"/>
                <w:lang w:val="en-GB"/>
              </w:rPr>
            </w:pPr>
            <w:r w:rsidRPr="004A57CE">
              <w:rPr>
                <w:bCs/>
                <w:color w:val="000000"/>
                <w:sz w:val="22"/>
                <w:szCs w:val="22"/>
                <w:lang w:val="en-GB"/>
              </w:rPr>
              <w:t>Output multiplier</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bCs/>
                <w:color w:val="000000"/>
                <w:sz w:val="22"/>
                <w:szCs w:val="22"/>
                <w:lang w:val="en-GB"/>
              </w:rPr>
            </w:pPr>
            <w:r w:rsidRPr="004A57CE">
              <w:rPr>
                <w:bCs/>
                <w:color w:val="000000"/>
                <w:sz w:val="22"/>
                <w:szCs w:val="22"/>
                <w:lang w:val="en-GB"/>
              </w:rPr>
              <w:t>Value added multiplier</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bCs/>
                <w:color w:val="000000"/>
                <w:sz w:val="22"/>
                <w:szCs w:val="22"/>
                <w:lang w:val="en-GB"/>
              </w:rPr>
            </w:pPr>
            <w:r w:rsidRPr="004A57CE">
              <w:rPr>
                <w:bCs/>
                <w:color w:val="000000"/>
                <w:sz w:val="22"/>
                <w:szCs w:val="22"/>
                <w:lang w:val="en-GB"/>
              </w:rPr>
              <w:t>Output multiplier</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bCs/>
                <w:color w:val="000000"/>
                <w:sz w:val="22"/>
                <w:szCs w:val="22"/>
                <w:lang w:val="en-GB"/>
              </w:rPr>
            </w:pPr>
            <w:r w:rsidRPr="004A57CE">
              <w:rPr>
                <w:bCs/>
                <w:color w:val="000000"/>
                <w:sz w:val="22"/>
                <w:szCs w:val="22"/>
                <w:lang w:val="en-GB"/>
              </w:rPr>
              <w:t>Value added multiplier</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bCs/>
                <w:color w:val="000000"/>
                <w:sz w:val="22"/>
                <w:szCs w:val="22"/>
                <w:lang w:val="en-GB"/>
              </w:rPr>
            </w:pPr>
            <w:r w:rsidRPr="004A57CE">
              <w:rPr>
                <w:bCs/>
                <w:color w:val="000000"/>
                <w:sz w:val="22"/>
                <w:szCs w:val="22"/>
                <w:lang w:val="en-GB"/>
              </w:rPr>
              <w:t>Output multiplier</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bCs/>
                <w:color w:val="000000"/>
                <w:sz w:val="22"/>
                <w:szCs w:val="22"/>
                <w:lang w:val="en-GB"/>
              </w:rPr>
            </w:pPr>
            <w:r w:rsidRPr="004A57CE">
              <w:rPr>
                <w:bCs/>
                <w:color w:val="000000"/>
                <w:sz w:val="22"/>
                <w:szCs w:val="22"/>
                <w:lang w:val="en-GB"/>
              </w:rPr>
              <w:t>Value added multiplier</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bCs/>
                <w:color w:val="000000"/>
                <w:sz w:val="22"/>
                <w:szCs w:val="22"/>
                <w:lang w:val="en-GB"/>
              </w:rPr>
            </w:pPr>
            <w:r w:rsidRPr="004A57CE">
              <w:rPr>
                <w:bCs/>
                <w:color w:val="000000"/>
                <w:sz w:val="22"/>
                <w:szCs w:val="22"/>
                <w:lang w:val="en-GB"/>
              </w:rPr>
              <w:t>Output multiplier</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bCs/>
                <w:color w:val="000000"/>
                <w:sz w:val="22"/>
                <w:szCs w:val="22"/>
                <w:lang w:val="en-GB"/>
              </w:rPr>
            </w:pPr>
            <w:r w:rsidRPr="004A57CE">
              <w:rPr>
                <w:bCs/>
                <w:color w:val="000000"/>
                <w:sz w:val="22"/>
                <w:szCs w:val="22"/>
                <w:lang w:val="en-GB"/>
              </w:rPr>
              <w:t>Value added multiplier</w:t>
            </w:r>
          </w:p>
        </w:tc>
      </w:tr>
      <w:tr w:rsidR="00AD3747" w:rsidRPr="004A57CE" w:rsidTr="00FA2158">
        <w:trPr>
          <w:trHeight w:val="321"/>
          <w:jc w:val="center"/>
        </w:trPr>
        <w:tc>
          <w:tcPr>
            <w:tcW w:w="1056" w:type="dxa"/>
            <w:tcBorders>
              <w:top w:val="single" w:sz="4" w:space="0" w:color="auto"/>
              <w:left w:val="single" w:sz="4" w:space="0" w:color="auto"/>
              <w:bottom w:val="single" w:sz="4" w:space="0" w:color="auto"/>
              <w:right w:val="nil"/>
            </w:tcBorders>
            <w:shd w:val="clear" w:color="auto" w:fill="auto"/>
            <w:noWrap/>
            <w:hideMark/>
          </w:tcPr>
          <w:p w:rsidR="00AD3747" w:rsidRPr="004A57CE" w:rsidRDefault="00AD3747" w:rsidP="00FA2158">
            <w:pPr>
              <w:jc w:val="center"/>
              <w:rPr>
                <w:bCs/>
                <w:color w:val="000000"/>
                <w:sz w:val="22"/>
                <w:szCs w:val="22"/>
                <w:lang w:val="en-GB"/>
              </w:rPr>
            </w:pPr>
            <w:r w:rsidRPr="004A57CE">
              <w:rPr>
                <w:bCs/>
                <w:color w:val="000000"/>
                <w:sz w:val="22"/>
                <w:szCs w:val="22"/>
                <w:lang w:val="en-GB"/>
              </w:rPr>
              <w:t>Germany</w:t>
            </w:r>
          </w:p>
        </w:tc>
        <w:tc>
          <w:tcPr>
            <w:tcW w:w="1093" w:type="dxa"/>
            <w:tcBorders>
              <w:top w:val="nil"/>
              <w:left w:val="single" w:sz="4" w:space="0" w:color="auto"/>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1.654</w:t>
            </w:r>
          </w:p>
        </w:tc>
        <w:tc>
          <w:tcPr>
            <w:tcW w:w="1093"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1.812</w:t>
            </w:r>
          </w:p>
        </w:tc>
        <w:tc>
          <w:tcPr>
            <w:tcW w:w="1093"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1.773</w:t>
            </w:r>
          </w:p>
        </w:tc>
        <w:tc>
          <w:tcPr>
            <w:tcW w:w="1093"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1.756</w:t>
            </w:r>
          </w:p>
        </w:tc>
        <w:tc>
          <w:tcPr>
            <w:tcW w:w="1093"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1.840</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1.937</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2.016</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2.396</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1.493</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1.451</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1.316</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1.205</w:t>
            </w:r>
          </w:p>
        </w:tc>
      </w:tr>
      <w:tr w:rsidR="00AD3747" w:rsidRPr="004A57CE" w:rsidTr="00FA2158">
        <w:trPr>
          <w:trHeight w:val="321"/>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hideMark/>
          </w:tcPr>
          <w:p w:rsidR="00AD3747" w:rsidRPr="004A57CE" w:rsidRDefault="00AD3747" w:rsidP="00FA2158">
            <w:pPr>
              <w:jc w:val="center"/>
              <w:rPr>
                <w:bCs/>
                <w:color w:val="000000"/>
                <w:sz w:val="22"/>
                <w:szCs w:val="22"/>
                <w:lang w:val="en-GB"/>
              </w:rPr>
            </w:pPr>
            <w:r w:rsidRPr="004A57CE">
              <w:rPr>
                <w:bCs/>
                <w:color w:val="000000"/>
                <w:sz w:val="22"/>
                <w:szCs w:val="22"/>
                <w:lang w:val="en-GB"/>
              </w:rPr>
              <w:t>France</w:t>
            </w:r>
          </w:p>
        </w:tc>
        <w:tc>
          <w:tcPr>
            <w:tcW w:w="1093" w:type="dxa"/>
            <w:tcBorders>
              <w:top w:val="nil"/>
              <w:left w:val="single" w:sz="4" w:space="0" w:color="auto"/>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1.849</w:t>
            </w:r>
          </w:p>
        </w:tc>
        <w:tc>
          <w:tcPr>
            <w:tcW w:w="1093"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2.430</w:t>
            </w:r>
          </w:p>
        </w:tc>
        <w:tc>
          <w:tcPr>
            <w:tcW w:w="1093"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1.769</w:t>
            </w:r>
          </w:p>
        </w:tc>
        <w:tc>
          <w:tcPr>
            <w:tcW w:w="1093"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1.781</w:t>
            </w:r>
          </w:p>
        </w:tc>
        <w:tc>
          <w:tcPr>
            <w:tcW w:w="1093"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1.818</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1.836</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1.881</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1.933</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1.609</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1.511</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1.488</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1.387</w:t>
            </w:r>
          </w:p>
        </w:tc>
      </w:tr>
      <w:tr w:rsidR="00AD3747" w:rsidRPr="004A57CE" w:rsidTr="00FA2158">
        <w:trPr>
          <w:trHeight w:val="321"/>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hideMark/>
          </w:tcPr>
          <w:p w:rsidR="00AD3747" w:rsidRPr="004A57CE" w:rsidRDefault="00AD3747" w:rsidP="00FA2158">
            <w:pPr>
              <w:jc w:val="center"/>
              <w:rPr>
                <w:bCs/>
                <w:color w:val="000000"/>
                <w:sz w:val="22"/>
                <w:szCs w:val="22"/>
                <w:lang w:val="en-GB"/>
              </w:rPr>
            </w:pPr>
            <w:r w:rsidRPr="004A57CE">
              <w:rPr>
                <w:bCs/>
                <w:color w:val="000000"/>
                <w:sz w:val="22"/>
                <w:szCs w:val="22"/>
                <w:lang w:val="en-GB"/>
              </w:rPr>
              <w:t>Italy</w:t>
            </w:r>
          </w:p>
        </w:tc>
        <w:tc>
          <w:tcPr>
            <w:tcW w:w="1093" w:type="dxa"/>
            <w:tcBorders>
              <w:top w:val="nil"/>
              <w:left w:val="single" w:sz="4" w:space="0" w:color="auto"/>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1.689</w:t>
            </w:r>
          </w:p>
        </w:tc>
        <w:tc>
          <w:tcPr>
            <w:tcW w:w="1093"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1.885</w:t>
            </w:r>
          </w:p>
        </w:tc>
        <w:tc>
          <w:tcPr>
            <w:tcW w:w="1093"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1.873</w:t>
            </w:r>
          </w:p>
        </w:tc>
        <w:tc>
          <w:tcPr>
            <w:tcW w:w="1093"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1.843</w:t>
            </w:r>
          </w:p>
        </w:tc>
        <w:tc>
          <w:tcPr>
            <w:tcW w:w="1093"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1.904</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2.012</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1.811</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1.731</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1.698</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1.654</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1.652</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1.480</w:t>
            </w:r>
          </w:p>
        </w:tc>
      </w:tr>
      <w:tr w:rsidR="00AD3747" w:rsidRPr="004A57CE" w:rsidTr="00FA2158">
        <w:trPr>
          <w:trHeight w:val="321"/>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hideMark/>
          </w:tcPr>
          <w:p w:rsidR="00AD3747" w:rsidRPr="004A57CE" w:rsidRDefault="00AD3747" w:rsidP="00FA2158">
            <w:pPr>
              <w:jc w:val="center"/>
              <w:rPr>
                <w:bCs/>
                <w:color w:val="000000"/>
                <w:sz w:val="22"/>
                <w:szCs w:val="22"/>
                <w:lang w:val="en-GB"/>
              </w:rPr>
            </w:pPr>
            <w:r w:rsidRPr="004A57CE">
              <w:rPr>
                <w:bCs/>
                <w:color w:val="000000"/>
                <w:sz w:val="22"/>
                <w:szCs w:val="22"/>
                <w:lang w:val="en-GB"/>
              </w:rPr>
              <w:t>Belgium</w:t>
            </w:r>
          </w:p>
        </w:tc>
        <w:tc>
          <w:tcPr>
            <w:tcW w:w="1093" w:type="dxa"/>
            <w:tcBorders>
              <w:top w:val="nil"/>
              <w:left w:val="single" w:sz="4" w:space="0" w:color="auto"/>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1.524</w:t>
            </w:r>
          </w:p>
        </w:tc>
        <w:tc>
          <w:tcPr>
            <w:tcW w:w="1093"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1.714</w:t>
            </w:r>
          </w:p>
        </w:tc>
        <w:tc>
          <w:tcPr>
            <w:tcW w:w="1093"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1.592</w:t>
            </w:r>
          </w:p>
        </w:tc>
        <w:tc>
          <w:tcPr>
            <w:tcW w:w="1093"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1.546</w:t>
            </w:r>
          </w:p>
        </w:tc>
        <w:tc>
          <w:tcPr>
            <w:tcW w:w="1093"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1.799</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1.815</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1.685</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1.667</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1.782</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1.814</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1.699</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1.707</w:t>
            </w:r>
          </w:p>
        </w:tc>
      </w:tr>
      <w:tr w:rsidR="00AD3747" w:rsidRPr="004A57CE" w:rsidTr="00FA2158">
        <w:trPr>
          <w:trHeight w:val="321"/>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hideMark/>
          </w:tcPr>
          <w:p w:rsidR="00AD3747" w:rsidRPr="004A57CE" w:rsidRDefault="00AD3747" w:rsidP="00FA2158">
            <w:pPr>
              <w:jc w:val="center"/>
              <w:rPr>
                <w:bCs/>
                <w:color w:val="000000"/>
                <w:sz w:val="22"/>
                <w:szCs w:val="22"/>
                <w:lang w:val="en-GB"/>
              </w:rPr>
            </w:pPr>
            <w:r w:rsidRPr="004A57CE">
              <w:rPr>
                <w:bCs/>
                <w:color w:val="000000"/>
                <w:sz w:val="22"/>
                <w:szCs w:val="22"/>
                <w:lang w:val="en-GB"/>
              </w:rPr>
              <w:t>United Kingdom</w:t>
            </w:r>
          </w:p>
        </w:tc>
        <w:tc>
          <w:tcPr>
            <w:tcW w:w="1093" w:type="dxa"/>
            <w:tcBorders>
              <w:top w:val="nil"/>
              <w:left w:val="single" w:sz="4" w:space="0" w:color="auto"/>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1.710</w:t>
            </w:r>
          </w:p>
        </w:tc>
        <w:tc>
          <w:tcPr>
            <w:tcW w:w="1093"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1.720</w:t>
            </w:r>
          </w:p>
        </w:tc>
        <w:tc>
          <w:tcPr>
            <w:tcW w:w="1093"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1.786</w:t>
            </w:r>
          </w:p>
        </w:tc>
        <w:tc>
          <w:tcPr>
            <w:tcW w:w="1093"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1.816</w:t>
            </w:r>
          </w:p>
        </w:tc>
        <w:tc>
          <w:tcPr>
            <w:tcW w:w="1093"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1.683</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1.638</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1.465</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1.450</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1.461</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1.396</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1.462</w:t>
            </w:r>
          </w:p>
        </w:tc>
        <w:tc>
          <w:tcPr>
            <w:tcW w:w="1092" w:type="dxa"/>
            <w:tcBorders>
              <w:top w:val="nil"/>
              <w:left w:val="nil"/>
              <w:bottom w:val="single" w:sz="4" w:space="0" w:color="auto"/>
              <w:right w:val="single" w:sz="4" w:space="0" w:color="auto"/>
            </w:tcBorders>
            <w:shd w:val="clear" w:color="auto" w:fill="auto"/>
            <w:noWrap/>
            <w:hideMark/>
          </w:tcPr>
          <w:p w:rsidR="00AD3747" w:rsidRPr="004A57CE" w:rsidRDefault="00AD3747" w:rsidP="00FA2158">
            <w:pPr>
              <w:jc w:val="center"/>
              <w:rPr>
                <w:color w:val="000000"/>
                <w:sz w:val="22"/>
                <w:szCs w:val="22"/>
                <w:lang w:val="en-GB"/>
              </w:rPr>
            </w:pPr>
            <w:r w:rsidRPr="004A57CE">
              <w:rPr>
                <w:color w:val="000000"/>
                <w:sz w:val="22"/>
                <w:szCs w:val="22"/>
                <w:lang w:val="en-GB"/>
              </w:rPr>
              <w:t>1.419</w:t>
            </w:r>
          </w:p>
        </w:tc>
      </w:tr>
    </w:tbl>
    <w:p w:rsidR="00AD3747" w:rsidRDefault="00AD3747" w:rsidP="00AD3747">
      <w:pPr>
        <w:pStyle w:val="Tijeloteksta"/>
        <w:spacing w:before="0"/>
        <w:ind w:left="771" w:hanging="782"/>
        <w:jc w:val="left"/>
        <w:rPr>
          <w:b w:val="0"/>
          <w:sz w:val="22"/>
          <w:szCs w:val="22"/>
        </w:rPr>
      </w:pPr>
    </w:p>
    <w:p w:rsidR="00AD3747" w:rsidRPr="002F072F" w:rsidRDefault="00AD3747" w:rsidP="00AD3747">
      <w:pPr>
        <w:pStyle w:val="Tijeloteksta"/>
        <w:spacing w:before="0"/>
        <w:ind w:left="771" w:hanging="782"/>
        <w:jc w:val="left"/>
        <w:rPr>
          <w:rFonts w:eastAsiaTheme="minorEastAsia"/>
          <w:b w:val="0"/>
          <w:sz w:val="22"/>
          <w:szCs w:val="22"/>
        </w:rPr>
      </w:pPr>
      <w:r w:rsidRPr="002F072F">
        <w:rPr>
          <w:b w:val="0"/>
          <w:sz w:val="22"/>
          <w:szCs w:val="22"/>
        </w:rPr>
        <w:t xml:space="preserve">Table </w:t>
      </w:r>
      <w:r>
        <w:rPr>
          <w:b w:val="0"/>
          <w:sz w:val="22"/>
          <w:szCs w:val="22"/>
        </w:rPr>
        <w:t>5</w:t>
      </w:r>
      <w:r w:rsidRPr="002F072F">
        <w:rPr>
          <w:b w:val="0"/>
          <w:sz w:val="22"/>
          <w:szCs w:val="22"/>
        </w:rPr>
        <w:t xml:space="preserve">: </w:t>
      </w:r>
      <w:r w:rsidRPr="002F072F">
        <w:rPr>
          <w:rFonts w:eastAsiaTheme="minorEastAsia"/>
          <w:b w:val="0"/>
          <w:sz w:val="22"/>
          <w:szCs w:val="22"/>
        </w:rPr>
        <w:t>Output and value added multiplier</w:t>
      </w:r>
      <w:r>
        <w:rPr>
          <w:rFonts w:eastAsiaTheme="minorEastAsia"/>
          <w:b w:val="0"/>
          <w:sz w:val="22"/>
          <w:szCs w:val="22"/>
        </w:rPr>
        <w:t>s</w:t>
      </w:r>
      <w:r w:rsidRPr="002F072F">
        <w:rPr>
          <w:rFonts w:eastAsiaTheme="minorEastAsia"/>
          <w:b w:val="0"/>
          <w:sz w:val="22"/>
          <w:szCs w:val="22"/>
        </w:rPr>
        <w:t xml:space="preserve"> for ICT sectors for </w:t>
      </w:r>
      <w:r>
        <w:rPr>
          <w:b w:val="0"/>
          <w:bCs/>
          <w:color w:val="000000"/>
          <w:sz w:val="22"/>
          <w:szCs w:val="22"/>
        </w:rPr>
        <w:t>long-standing</w:t>
      </w:r>
      <w:r w:rsidRPr="002F072F">
        <w:rPr>
          <w:b w:val="0"/>
          <w:bCs/>
          <w:color w:val="000000"/>
          <w:sz w:val="22"/>
          <w:szCs w:val="22"/>
        </w:rPr>
        <w:t xml:space="preserve"> member states of EU</w:t>
      </w:r>
      <w:r w:rsidRPr="002F072F">
        <w:rPr>
          <w:rFonts w:eastAsiaTheme="minorEastAsia"/>
          <w:b w:val="0"/>
          <w:sz w:val="22"/>
          <w:szCs w:val="22"/>
        </w:rPr>
        <w:t xml:space="preserve"> for 2010</w:t>
      </w:r>
    </w:p>
    <w:p w:rsidR="00BC021F" w:rsidRPr="002F072F" w:rsidRDefault="00BC021F" w:rsidP="00BC021F">
      <w:pPr>
        <w:pStyle w:val="Tijeloteksta"/>
        <w:spacing w:before="0"/>
        <w:jc w:val="left"/>
        <w:rPr>
          <w:rFonts w:eastAsiaTheme="minorEastAsia"/>
          <w:b w:val="0"/>
          <w:sz w:val="22"/>
          <w:szCs w:val="22"/>
        </w:rPr>
      </w:pPr>
    </w:p>
    <w:p w:rsidR="00BC021F" w:rsidRPr="00BC021F" w:rsidRDefault="00BC021F" w:rsidP="00BC021F">
      <w:pPr>
        <w:autoSpaceDE w:val="0"/>
        <w:autoSpaceDN w:val="0"/>
        <w:adjustRightInd w:val="0"/>
        <w:spacing w:before="0" w:line="276" w:lineRule="auto"/>
        <w:contextualSpacing/>
        <w:rPr>
          <w:lang w:val="en-GB"/>
        </w:rPr>
      </w:pPr>
    </w:p>
    <w:p w:rsidR="000D13B9" w:rsidRPr="00E74C57" w:rsidRDefault="000D13B9" w:rsidP="000D13B9">
      <w:pPr>
        <w:autoSpaceDE w:val="0"/>
        <w:autoSpaceDN w:val="0"/>
        <w:adjustRightInd w:val="0"/>
        <w:spacing w:before="0" w:line="276" w:lineRule="auto"/>
        <w:contextualSpacing/>
        <w:rPr>
          <w:bCs/>
          <w:lang w:val="en-GB"/>
        </w:rPr>
      </w:pPr>
    </w:p>
    <w:p w:rsidR="000D13B9" w:rsidRPr="00E74C57" w:rsidRDefault="000D13B9" w:rsidP="000D13B9">
      <w:pPr>
        <w:autoSpaceDE w:val="0"/>
        <w:autoSpaceDN w:val="0"/>
        <w:adjustRightInd w:val="0"/>
        <w:spacing w:before="0" w:line="276" w:lineRule="auto"/>
        <w:contextualSpacing/>
        <w:rPr>
          <w:bCs/>
          <w:lang w:val="en-GB"/>
        </w:rPr>
      </w:pPr>
    </w:p>
    <w:p w:rsidR="000D13B9" w:rsidRPr="009A629F" w:rsidRDefault="000D13B9" w:rsidP="00991598">
      <w:pPr>
        <w:rPr>
          <w:rFonts w:eastAsiaTheme="minorEastAsia"/>
          <w:lang w:val="en-GB"/>
        </w:rPr>
      </w:pPr>
    </w:p>
    <w:sectPr w:rsidR="000D13B9" w:rsidRPr="009A629F" w:rsidSect="00BC021F">
      <w:pgSz w:w="16838" w:h="11906" w:orient="landscape"/>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9C9" w:rsidRDefault="008B39C9">
      <w:r>
        <w:separator/>
      </w:r>
    </w:p>
  </w:endnote>
  <w:endnote w:type="continuationSeparator" w:id="0">
    <w:p w:rsidR="008B39C9" w:rsidRDefault="008B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C9" w:rsidRPr="00FE7BC6" w:rsidRDefault="008B39C9" w:rsidP="006C0348">
    <w:pPr>
      <w:pStyle w:val="Podnoje"/>
      <w:ind w:right="360"/>
      <w:rPr>
        <w:sz w:val="18"/>
        <w:szCs w:val="18"/>
      </w:rPr>
    </w:pPr>
    <w:r w:rsidRPr="006C0348">
      <w:rPr>
        <w:sz w:val="18"/>
        <w:szCs w:val="18"/>
        <w:lang w:val="hr-HR" w:eastAsia="hr-HR"/>
      </w:rPr>
      <w:t>http://www.hdoi.hr/crorr-journal</w:t>
    </w:r>
    <w:r w:rsidRPr="00FE7BC6">
      <w:rPr>
        <w:sz w:val="18"/>
        <w:szCs w:val="18"/>
        <w:lang w:val="hr-HR" w:eastAsia="hr-HR"/>
      </w:rPr>
      <w:t xml:space="preserve">©201x Croatian </w:t>
    </w:r>
    <w:proofErr w:type="spellStart"/>
    <w:r w:rsidRPr="00FE7BC6">
      <w:rPr>
        <w:sz w:val="18"/>
        <w:szCs w:val="18"/>
        <w:lang w:val="hr-HR" w:eastAsia="hr-HR"/>
      </w:rPr>
      <w:t>Operational</w:t>
    </w:r>
    <w:proofErr w:type="spellEnd"/>
    <w:r w:rsidRPr="00FE7BC6">
      <w:rPr>
        <w:sz w:val="18"/>
        <w:szCs w:val="18"/>
        <w:lang w:val="hr-HR" w:eastAsia="hr-HR"/>
      </w:rPr>
      <w:t xml:space="preserve"> Research </w:t>
    </w:r>
    <w:proofErr w:type="spellStart"/>
    <w:r w:rsidRPr="00FE7BC6">
      <w:rPr>
        <w:sz w:val="18"/>
        <w:szCs w:val="18"/>
        <w:lang w:val="hr-HR" w:eastAsia="hr-HR"/>
      </w:rPr>
      <w:t>Society</w:t>
    </w:r>
    <w:proofErr w:type="spellEnd"/>
  </w:p>
  <w:p w:rsidR="008B39C9" w:rsidRDefault="008B39C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9C9" w:rsidRDefault="008B39C9">
      <w:r>
        <w:separator/>
      </w:r>
    </w:p>
  </w:footnote>
  <w:footnote w:type="continuationSeparator" w:id="0">
    <w:p w:rsidR="008B39C9" w:rsidRDefault="008B3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C9" w:rsidRPr="005273B2" w:rsidRDefault="008B39C9" w:rsidP="003D1D07">
    <w:pPr>
      <w:pStyle w:val="Zaglavlje"/>
      <w:jc w:val="center"/>
      <w:rPr>
        <w:sz w:val="18"/>
        <w:szCs w:val="18"/>
      </w:rPr>
    </w:pPr>
    <w:r>
      <w:rPr>
        <w:sz w:val="18"/>
        <w:szCs w:val="18"/>
      </w:rPr>
      <w:t>First author and Second author</w:t>
    </w:r>
  </w:p>
  <w:p w:rsidR="008B39C9" w:rsidRDefault="008B39C9" w:rsidP="005273B2">
    <w:pPr>
      <w:pStyle w:val="Zaglavlje"/>
      <w:rPr>
        <w:noProof/>
      </w:rPr>
    </w:pPr>
    <w:r w:rsidRPr="005273B2">
      <w:fldChar w:fldCharType="begin"/>
    </w:r>
    <w:r w:rsidRPr="005273B2">
      <w:instrText xml:space="preserve"> PAGE   \* MERGEFORMAT </w:instrText>
    </w:r>
    <w:r w:rsidRPr="005273B2">
      <w:fldChar w:fldCharType="separate"/>
    </w:r>
    <w:r w:rsidR="000375CA">
      <w:rPr>
        <w:noProof/>
      </w:rPr>
      <w:t>2</w:t>
    </w:r>
    <w:r w:rsidRPr="005273B2">
      <w:rPr>
        <w:noProof/>
      </w:rPr>
      <w:fldChar w:fldCharType="end"/>
    </w:r>
  </w:p>
  <w:p w:rsidR="008B39C9" w:rsidRPr="005273B2" w:rsidRDefault="008B39C9" w:rsidP="005273B2">
    <w:pPr>
      <w:pStyle w:val="Zaglavlje"/>
      <w:rPr>
        <w:noProof/>
      </w:rPr>
    </w:pPr>
  </w:p>
  <w:p w:rsidR="008B39C9" w:rsidRDefault="008B39C9" w:rsidP="005273B2">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C9" w:rsidRPr="005273B2" w:rsidRDefault="008B39C9" w:rsidP="003D1D07">
    <w:pPr>
      <w:pStyle w:val="Zaglavlje"/>
      <w:jc w:val="center"/>
      <w:rPr>
        <w:sz w:val="18"/>
        <w:szCs w:val="18"/>
      </w:rPr>
    </w:pPr>
    <w:r>
      <w:rPr>
        <w:sz w:val="18"/>
        <w:szCs w:val="18"/>
      </w:rPr>
      <w:t>Here comes the title of the paper</w:t>
    </w:r>
  </w:p>
  <w:p w:rsidR="008B39C9" w:rsidRPr="005273B2" w:rsidRDefault="008B39C9" w:rsidP="006C0348">
    <w:pPr>
      <w:pStyle w:val="Zaglavlje"/>
      <w:jc w:val="right"/>
    </w:pPr>
    <w:r w:rsidRPr="005273B2">
      <w:fldChar w:fldCharType="begin"/>
    </w:r>
    <w:r w:rsidRPr="005273B2">
      <w:instrText xml:space="preserve"> PAGE   \* MERGEFORMAT </w:instrText>
    </w:r>
    <w:r w:rsidRPr="005273B2">
      <w:fldChar w:fldCharType="separate"/>
    </w:r>
    <w:r w:rsidR="000375CA">
      <w:rPr>
        <w:noProof/>
      </w:rPr>
      <w:t>13</w:t>
    </w:r>
    <w:r w:rsidRPr="005273B2">
      <w:rPr>
        <w:noProof/>
      </w:rPr>
      <w:fldChar w:fldCharType="end"/>
    </w:r>
  </w:p>
  <w:p w:rsidR="008B39C9" w:rsidRDefault="008B39C9">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C9" w:rsidRPr="0041497A" w:rsidRDefault="008B39C9" w:rsidP="006C0348">
    <w:pPr>
      <w:pStyle w:val="Zaglavlje"/>
      <w:rPr>
        <w:sz w:val="20"/>
        <w:szCs w:val="20"/>
      </w:rPr>
    </w:pPr>
    <w:r w:rsidRPr="0041497A">
      <w:rPr>
        <w:sz w:val="20"/>
        <w:szCs w:val="20"/>
      </w:rPr>
      <w:t>Croatian Operational Research Review</w:t>
    </w:r>
  </w:p>
  <w:p w:rsidR="008B39C9" w:rsidRPr="0041497A" w:rsidRDefault="008B39C9" w:rsidP="006C0348">
    <w:pPr>
      <w:pStyle w:val="Zaglavlje"/>
      <w:rPr>
        <w:sz w:val="20"/>
        <w:szCs w:val="20"/>
      </w:rPr>
    </w:pPr>
    <w:r w:rsidRPr="0041497A">
      <w:rPr>
        <w:sz w:val="20"/>
        <w:szCs w:val="20"/>
      </w:rPr>
      <w:t>CRORR x (201x)</w:t>
    </w:r>
    <w:r>
      <w:rPr>
        <w:sz w:val="20"/>
        <w:szCs w:val="20"/>
      </w:rPr>
      <w:t>, 1-5</w:t>
    </w:r>
  </w:p>
  <w:p w:rsidR="008B39C9" w:rsidRDefault="008B39C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3F46"/>
    <w:multiLevelType w:val="multilevel"/>
    <w:tmpl w:val="2B188482"/>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2033"/>
        </w:tabs>
        <w:ind w:left="2033" w:hanging="600"/>
      </w:pPr>
      <w:rPr>
        <w:rFonts w:hint="default"/>
      </w:rPr>
    </w:lvl>
    <w:lvl w:ilvl="2">
      <w:start w:val="1"/>
      <w:numFmt w:val="decimal"/>
      <w:lvlText w:val="%1.%2.%3."/>
      <w:lvlJc w:val="left"/>
      <w:pPr>
        <w:tabs>
          <w:tab w:val="num" w:pos="3586"/>
        </w:tabs>
        <w:ind w:left="3586" w:hanging="720"/>
      </w:pPr>
      <w:rPr>
        <w:rFonts w:hint="default"/>
      </w:rPr>
    </w:lvl>
    <w:lvl w:ilvl="3">
      <w:start w:val="1"/>
      <w:numFmt w:val="decimal"/>
      <w:lvlText w:val="%1.%2.%3.%4."/>
      <w:lvlJc w:val="left"/>
      <w:pPr>
        <w:tabs>
          <w:tab w:val="num" w:pos="5019"/>
        </w:tabs>
        <w:ind w:left="5019" w:hanging="720"/>
      </w:pPr>
      <w:rPr>
        <w:rFonts w:hint="default"/>
      </w:rPr>
    </w:lvl>
    <w:lvl w:ilvl="4">
      <w:start w:val="1"/>
      <w:numFmt w:val="decimal"/>
      <w:lvlText w:val="%1.%2.%3.%4.%5."/>
      <w:lvlJc w:val="left"/>
      <w:pPr>
        <w:tabs>
          <w:tab w:val="num" w:pos="6812"/>
        </w:tabs>
        <w:ind w:left="6812" w:hanging="1080"/>
      </w:pPr>
      <w:rPr>
        <w:rFonts w:hint="default"/>
      </w:rPr>
    </w:lvl>
    <w:lvl w:ilvl="5">
      <w:start w:val="1"/>
      <w:numFmt w:val="decimal"/>
      <w:lvlText w:val="%1.%2.%3.%4.%5.%6."/>
      <w:lvlJc w:val="left"/>
      <w:pPr>
        <w:tabs>
          <w:tab w:val="num" w:pos="8245"/>
        </w:tabs>
        <w:ind w:left="8245" w:hanging="1080"/>
      </w:pPr>
      <w:rPr>
        <w:rFonts w:hint="default"/>
      </w:rPr>
    </w:lvl>
    <w:lvl w:ilvl="6">
      <w:start w:val="1"/>
      <w:numFmt w:val="decimal"/>
      <w:lvlText w:val="%1.%2.%3.%4.%5.%6.%7."/>
      <w:lvlJc w:val="left"/>
      <w:pPr>
        <w:tabs>
          <w:tab w:val="num" w:pos="10038"/>
        </w:tabs>
        <w:ind w:left="10038" w:hanging="1440"/>
      </w:pPr>
      <w:rPr>
        <w:rFonts w:hint="default"/>
      </w:rPr>
    </w:lvl>
    <w:lvl w:ilvl="7">
      <w:start w:val="1"/>
      <w:numFmt w:val="decimal"/>
      <w:lvlText w:val="%1.%2.%3.%4.%5.%6.%7.%8."/>
      <w:lvlJc w:val="left"/>
      <w:pPr>
        <w:tabs>
          <w:tab w:val="num" w:pos="11471"/>
        </w:tabs>
        <w:ind w:left="11471" w:hanging="1440"/>
      </w:pPr>
      <w:rPr>
        <w:rFonts w:hint="default"/>
      </w:rPr>
    </w:lvl>
    <w:lvl w:ilvl="8">
      <w:start w:val="1"/>
      <w:numFmt w:val="decimal"/>
      <w:lvlText w:val="%1.%2.%3.%4.%5.%6.%7.%8.%9."/>
      <w:lvlJc w:val="left"/>
      <w:pPr>
        <w:tabs>
          <w:tab w:val="num" w:pos="13264"/>
        </w:tabs>
        <w:ind w:left="13264" w:hanging="1800"/>
      </w:pPr>
      <w:rPr>
        <w:rFonts w:hint="default"/>
      </w:rPr>
    </w:lvl>
  </w:abstractNum>
  <w:abstractNum w:abstractNumId="1" w15:restartNumberingAfterBreak="0">
    <w:nsid w:val="04BD666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E05082D"/>
    <w:multiLevelType w:val="multilevel"/>
    <w:tmpl w:val="95EE5B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244D99"/>
    <w:multiLevelType w:val="hybridMultilevel"/>
    <w:tmpl w:val="887ECC98"/>
    <w:lvl w:ilvl="0" w:tplc="CEF0586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146228F0"/>
    <w:multiLevelType w:val="hybridMultilevel"/>
    <w:tmpl w:val="AA86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357"/>
    <w:multiLevelType w:val="hybridMultilevel"/>
    <w:tmpl w:val="087847E8"/>
    <w:lvl w:ilvl="0" w:tplc="04090001">
      <w:start w:val="1"/>
      <w:numFmt w:val="bullet"/>
      <w:lvlText w:val=""/>
      <w:lvlJc w:val="left"/>
      <w:pPr>
        <w:tabs>
          <w:tab w:val="num" w:pos="720"/>
        </w:tabs>
        <w:ind w:left="720" w:hanging="360"/>
      </w:pPr>
      <w:rPr>
        <w:rFonts w:ascii="Symbol" w:hAnsi="Symbol" w:cs="Symbol" w:hint="default"/>
      </w:rPr>
    </w:lvl>
    <w:lvl w:ilvl="1" w:tplc="1E949502">
      <w:start w:val="1"/>
      <w:numFmt w:val="bullet"/>
      <w:lvlText w:val=""/>
      <w:lvlJc w:val="left"/>
      <w:pPr>
        <w:tabs>
          <w:tab w:val="num" w:pos="1440"/>
        </w:tabs>
        <w:ind w:left="1440" w:hanging="360"/>
      </w:pPr>
      <w:rPr>
        <w:rFonts w:ascii="Wingdings" w:hAnsi="Wingdings" w:cs="Wingdings"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6FC1197"/>
    <w:multiLevelType w:val="hybridMultilevel"/>
    <w:tmpl w:val="77AC81D8"/>
    <w:lvl w:ilvl="0" w:tplc="B5203324">
      <w:start w:val="759"/>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B4D3026"/>
    <w:multiLevelType w:val="multilevel"/>
    <w:tmpl w:val="DBB067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7B17CA"/>
    <w:multiLevelType w:val="hybridMultilevel"/>
    <w:tmpl w:val="4F6AEF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47B72F8"/>
    <w:multiLevelType w:val="hybridMultilevel"/>
    <w:tmpl w:val="7436D0F2"/>
    <w:lvl w:ilvl="0" w:tplc="B3AA0684">
      <w:start w:val="776"/>
      <w:numFmt w:val="decimal"/>
      <w:lvlText w:val="%1"/>
      <w:lvlJc w:val="left"/>
      <w:pPr>
        <w:tabs>
          <w:tab w:val="num" w:pos="1800"/>
        </w:tabs>
        <w:ind w:left="1800" w:hanging="14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6212FAB"/>
    <w:multiLevelType w:val="hybridMultilevel"/>
    <w:tmpl w:val="D84C7F5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1" w15:restartNumberingAfterBreak="0">
    <w:nsid w:val="47C17BAB"/>
    <w:multiLevelType w:val="multilevel"/>
    <w:tmpl w:val="2C8C742E"/>
    <w:lvl w:ilvl="0">
      <w:start w:val="2"/>
      <w:numFmt w:val="decimal"/>
      <w:lvlText w:val="%1."/>
      <w:lvlJc w:val="left"/>
      <w:pPr>
        <w:tabs>
          <w:tab w:val="num" w:pos="480"/>
        </w:tabs>
        <w:ind w:left="480" w:hanging="480"/>
      </w:pPr>
      <w:rPr>
        <w:rFonts w:hint="default"/>
      </w:rPr>
    </w:lvl>
    <w:lvl w:ilvl="1">
      <w:start w:val="5"/>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4AFD08AE"/>
    <w:multiLevelType w:val="hybridMultilevel"/>
    <w:tmpl w:val="76400E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5084DF7"/>
    <w:multiLevelType w:val="multilevel"/>
    <w:tmpl w:val="6AC2ED8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82F447B"/>
    <w:multiLevelType w:val="multilevel"/>
    <w:tmpl w:val="EA5ED04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8347F5D"/>
    <w:multiLevelType w:val="hybridMultilevel"/>
    <w:tmpl w:val="F3185F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2F7693F"/>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63F5010E"/>
    <w:multiLevelType w:val="hybridMultilevel"/>
    <w:tmpl w:val="632037CE"/>
    <w:lvl w:ilvl="0" w:tplc="22A6A870">
      <w:start w:val="87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6B601754"/>
    <w:multiLevelType w:val="hybridMultilevel"/>
    <w:tmpl w:val="595A3C84"/>
    <w:lvl w:ilvl="0" w:tplc="CEF058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D937E2C"/>
    <w:multiLevelType w:val="hybridMultilevel"/>
    <w:tmpl w:val="892CC9DC"/>
    <w:lvl w:ilvl="0" w:tplc="22DE19E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712E4C2E"/>
    <w:multiLevelType w:val="multilevel"/>
    <w:tmpl w:val="529240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6"/>
  </w:num>
  <w:num w:numId="3">
    <w:abstractNumId w:val="17"/>
  </w:num>
  <w:num w:numId="4">
    <w:abstractNumId w:val="8"/>
  </w:num>
  <w:num w:numId="5">
    <w:abstractNumId w:val="10"/>
  </w:num>
  <w:num w:numId="6">
    <w:abstractNumId w:val="16"/>
  </w:num>
  <w:num w:numId="7">
    <w:abstractNumId w:val="1"/>
  </w:num>
  <w:num w:numId="8">
    <w:abstractNumId w:val="5"/>
  </w:num>
  <w:num w:numId="9">
    <w:abstractNumId w:val="14"/>
  </w:num>
  <w:num w:numId="10">
    <w:abstractNumId w:val="11"/>
  </w:num>
  <w:num w:numId="11">
    <w:abstractNumId w:val="13"/>
  </w:num>
  <w:num w:numId="12">
    <w:abstractNumId w:val="0"/>
  </w:num>
  <w:num w:numId="13">
    <w:abstractNumId w:val="20"/>
  </w:num>
  <w:num w:numId="14">
    <w:abstractNumId w:val="2"/>
  </w:num>
  <w:num w:numId="15">
    <w:abstractNumId w:val="15"/>
  </w:num>
  <w:num w:numId="16">
    <w:abstractNumId w:val="3"/>
  </w:num>
  <w:num w:numId="17">
    <w:abstractNumId w:val="19"/>
  </w:num>
  <w:num w:numId="18">
    <w:abstractNumId w:val="7"/>
  </w:num>
  <w:num w:numId="19">
    <w:abstractNumId w:val="12"/>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GB"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8F2"/>
    <w:rsid w:val="00007028"/>
    <w:rsid w:val="00021AFE"/>
    <w:rsid w:val="00036595"/>
    <w:rsid w:val="000375CA"/>
    <w:rsid w:val="00042FCD"/>
    <w:rsid w:val="00047465"/>
    <w:rsid w:val="00052110"/>
    <w:rsid w:val="000632EE"/>
    <w:rsid w:val="00063811"/>
    <w:rsid w:val="00070D6D"/>
    <w:rsid w:val="00071AAD"/>
    <w:rsid w:val="00094C59"/>
    <w:rsid w:val="00097B78"/>
    <w:rsid w:val="000A16FB"/>
    <w:rsid w:val="000B37B7"/>
    <w:rsid w:val="000D13B9"/>
    <w:rsid w:val="000D1891"/>
    <w:rsid w:val="000D554A"/>
    <w:rsid w:val="000D6697"/>
    <w:rsid w:val="000E4521"/>
    <w:rsid w:val="00117960"/>
    <w:rsid w:val="00126F48"/>
    <w:rsid w:val="00134EA1"/>
    <w:rsid w:val="00140E1B"/>
    <w:rsid w:val="00172C90"/>
    <w:rsid w:val="00174F15"/>
    <w:rsid w:val="001760F5"/>
    <w:rsid w:val="00177C1D"/>
    <w:rsid w:val="001C29F5"/>
    <w:rsid w:val="001C3835"/>
    <w:rsid w:val="001C74DB"/>
    <w:rsid w:val="001D08B6"/>
    <w:rsid w:val="001E1636"/>
    <w:rsid w:val="001E5E33"/>
    <w:rsid w:val="001F299B"/>
    <w:rsid w:val="002546A8"/>
    <w:rsid w:val="00255A5C"/>
    <w:rsid w:val="0028304A"/>
    <w:rsid w:val="0029037B"/>
    <w:rsid w:val="00295137"/>
    <w:rsid w:val="002C0EB2"/>
    <w:rsid w:val="002D1B5B"/>
    <w:rsid w:val="002E1F00"/>
    <w:rsid w:val="002F072F"/>
    <w:rsid w:val="002F2132"/>
    <w:rsid w:val="002F59A8"/>
    <w:rsid w:val="00301CC1"/>
    <w:rsid w:val="00305EE6"/>
    <w:rsid w:val="00313E1E"/>
    <w:rsid w:val="003143FB"/>
    <w:rsid w:val="00314425"/>
    <w:rsid w:val="0032159D"/>
    <w:rsid w:val="0032315B"/>
    <w:rsid w:val="003246AC"/>
    <w:rsid w:val="00335500"/>
    <w:rsid w:val="00345F9A"/>
    <w:rsid w:val="00353105"/>
    <w:rsid w:val="00397E4D"/>
    <w:rsid w:val="003B704F"/>
    <w:rsid w:val="003C40B1"/>
    <w:rsid w:val="003D1D07"/>
    <w:rsid w:val="003E1AF6"/>
    <w:rsid w:val="00407164"/>
    <w:rsid w:val="0041497A"/>
    <w:rsid w:val="00417288"/>
    <w:rsid w:val="00426F53"/>
    <w:rsid w:val="00427BD9"/>
    <w:rsid w:val="00427EE5"/>
    <w:rsid w:val="004521C4"/>
    <w:rsid w:val="0047304D"/>
    <w:rsid w:val="00476C66"/>
    <w:rsid w:val="004811DF"/>
    <w:rsid w:val="0048562F"/>
    <w:rsid w:val="004916D0"/>
    <w:rsid w:val="00492C95"/>
    <w:rsid w:val="004A1772"/>
    <w:rsid w:val="004B590B"/>
    <w:rsid w:val="004D3670"/>
    <w:rsid w:val="004E6DC3"/>
    <w:rsid w:val="004F779E"/>
    <w:rsid w:val="00501CA7"/>
    <w:rsid w:val="00502D2F"/>
    <w:rsid w:val="0050479B"/>
    <w:rsid w:val="00510141"/>
    <w:rsid w:val="005273B2"/>
    <w:rsid w:val="00527FF8"/>
    <w:rsid w:val="00566BD2"/>
    <w:rsid w:val="005A3341"/>
    <w:rsid w:val="005D1679"/>
    <w:rsid w:val="005D26A0"/>
    <w:rsid w:val="005D62C3"/>
    <w:rsid w:val="00600340"/>
    <w:rsid w:val="0060490E"/>
    <w:rsid w:val="00623455"/>
    <w:rsid w:val="00647D48"/>
    <w:rsid w:val="00647E7A"/>
    <w:rsid w:val="00654FD8"/>
    <w:rsid w:val="00676776"/>
    <w:rsid w:val="00685AFB"/>
    <w:rsid w:val="00696F04"/>
    <w:rsid w:val="00697334"/>
    <w:rsid w:val="006A3959"/>
    <w:rsid w:val="006C0348"/>
    <w:rsid w:val="006D6858"/>
    <w:rsid w:val="006E0464"/>
    <w:rsid w:val="006F03ED"/>
    <w:rsid w:val="007066CC"/>
    <w:rsid w:val="007136E6"/>
    <w:rsid w:val="00716344"/>
    <w:rsid w:val="00716B23"/>
    <w:rsid w:val="007260C8"/>
    <w:rsid w:val="007512D7"/>
    <w:rsid w:val="007560C5"/>
    <w:rsid w:val="0076669B"/>
    <w:rsid w:val="00771533"/>
    <w:rsid w:val="00785D17"/>
    <w:rsid w:val="0079461B"/>
    <w:rsid w:val="00795EE5"/>
    <w:rsid w:val="007A7E4C"/>
    <w:rsid w:val="007B0937"/>
    <w:rsid w:val="007C4B15"/>
    <w:rsid w:val="007E136B"/>
    <w:rsid w:val="007E350D"/>
    <w:rsid w:val="007E5863"/>
    <w:rsid w:val="007E7F02"/>
    <w:rsid w:val="008300D3"/>
    <w:rsid w:val="008460EB"/>
    <w:rsid w:val="00852B3E"/>
    <w:rsid w:val="008775BA"/>
    <w:rsid w:val="0088280F"/>
    <w:rsid w:val="00890FDA"/>
    <w:rsid w:val="008B39C9"/>
    <w:rsid w:val="008B7060"/>
    <w:rsid w:val="008C7EA6"/>
    <w:rsid w:val="008E2B68"/>
    <w:rsid w:val="008E6C4C"/>
    <w:rsid w:val="008F2F9E"/>
    <w:rsid w:val="008F497D"/>
    <w:rsid w:val="00905948"/>
    <w:rsid w:val="009077E9"/>
    <w:rsid w:val="0092656E"/>
    <w:rsid w:val="00935A83"/>
    <w:rsid w:val="0093762D"/>
    <w:rsid w:val="00974832"/>
    <w:rsid w:val="00991598"/>
    <w:rsid w:val="009A0017"/>
    <w:rsid w:val="009A5CAF"/>
    <w:rsid w:val="009A629F"/>
    <w:rsid w:val="009C520B"/>
    <w:rsid w:val="009F1CFD"/>
    <w:rsid w:val="00A06222"/>
    <w:rsid w:val="00A1176A"/>
    <w:rsid w:val="00A11AD8"/>
    <w:rsid w:val="00A145F7"/>
    <w:rsid w:val="00A249DE"/>
    <w:rsid w:val="00A2503D"/>
    <w:rsid w:val="00A551A4"/>
    <w:rsid w:val="00A706F8"/>
    <w:rsid w:val="00A8184E"/>
    <w:rsid w:val="00A9501D"/>
    <w:rsid w:val="00AA113E"/>
    <w:rsid w:val="00AA7E21"/>
    <w:rsid w:val="00AC5AA3"/>
    <w:rsid w:val="00AD3747"/>
    <w:rsid w:val="00AF4B77"/>
    <w:rsid w:val="00B02EBC"/>
    <w:rsid w:val="00B1752C"/>
    <w:rsid w:val="00B1759E"/>
    <w:rsid w:val="00B1798F"/>
    <w:rsid w:val="00B262F3"/>
    <w:rsid w:val="00B47F38"/>
    <w:rsid w:val="00B65D86"/>
    <w:rsid w:val="00B81A7B"/>
    <w:rsid w:val="00BC021F"/>
    <w:rsid w:val="00BD1B60"/>
    <w:rsid w:val="00BD7DCE"/>
    <w:rsid w:val="00BE5310"/>
    <w:rsid w:val="00BE531C"/>
    <w:rsid w:val="00BF3BBA"/>
    <w:rsid w:val="00C1267A"/>
    <w:rsid w:val="00C41F06"/>
    <w:rsid w:val="00C46F7E"/>
    <w:rsid w:val="00C62C13"/>
    <w:rsid w:val="00C81192"/>
    <w:rsid w:val="00C956C2"/>
    <w:rsid w:val="00CA4BEA"/>
    <w:rsid w:val="00CE5B3F"/>
    <w:rsid w:val="00CE6038"/>
    <w:rsid w:val="00CF10E1"/>
    <w:rsid w:val="00CF7FBD"/>
    <w:rsid w:val="00D05A9B"/>
    <w:rsid w:val="00D13BA6"/>
    <w:rsid w:val="00D31032"/>
    <w:rsid w:val="00D40062"/>
    <w:rsid w:val="00D458FE"/>
    <w:rsid w:val="00D468CD"/>
    <w:rsid w:val="00D5211A"/>
    <w:rsid w:val="00D5321A"/>
    <w:rsid w:val="00D5510B"/>
    <w:rsid w:val="00D55E6D"/>
    <w:rsid w:val="00D6365B"/>
    <w:rsid w:val="00D65D03"/>
    <w:rsid w:val="00D65E8F"/>
    <w:rsid w:val="00D96FFA"/>
    <w:rsid w:val="00DA2AAE"/>
    <w:rsid w:val="00DA42DF"/>
    <w:rsid w:val="00DA7C0F"/>
    <w:rsid w:val="00DB19D9"/>
    <w:rsid w:val="00DC1C9B"/>
    <w:rsid w:val="00DE0069"/>
    <w:rsid w:val="00DE6945"/>
    <w:rsid w:val="00E00B93"/>
    <w:rsid w:val="00E239E7"/>
    <w:rsid w:val="00E40730"/>
    <w:rsid w:val="00E41E1C"/>
    <w:rsid w:val="00E53CA6"/>
    <w:rsid w:val="00E708F2"/>
    <w:rsid w:val="00E74489"/>
    <w:rsid w:val="00E74C57"/>
    <w:rsid w:val="00E859D4"/>
    <w:rsid w:val="00E91FA3"/>
    <w:rsid w:val="00EA358F"/>
    <w:rsid w:val="00EF6B58"/>
    <w:rsid w:val="00EF726C"/>
    <w:rsid w:val="00F036F0"/>
    <w:rsid w:val="00F1749F"/>
    <w:rsid w:val="00F22601"/>
    <w:rsid w:val="00F31AA0"/>
    <w:rsid w:val="00F46E53"/>
    <w:rsid w:val="00F509AC"/>
    <w:rsid w:val="00F5557F"/>
    <w:rsid w:val="00F6137C"/>
    <w:rsid w:val="00F935E3"/>
    <w:rsid w:val="00F97F76"/>
    <w:rsid w:val="00FA2158"/>
    <w:rsid w:val="00FB6E7F"/>
    <w:rsid w:val="00FD3651"/>
    <w:rsid w:val="00FD7529"/>
    <w:rsid w:val="00FE21BE"/>
    <w:rsid w:val="00FE7BC6"/>
    <w:rsid w:val="00FF225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5:docId w15:val="{2980937A-08A6-4083-BB01-63D9FB3A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EE6"/>
    <w:rPr>
      <w:sz w:val="24"/>
      <w:szCs w:val="24"/>
      <w:lang w:val="en-US" w:eastAsia="en-US"/>
    </w:rPr>
  </w:style>
  <w:style w:type="paragraph" w:styleId="Naslov1">
    <w:name w:val="heading 1"/>
    <w:basedOn w:val="Normal"/>
    <w:next w:val="Normal"/>
    <w:qFormat/>
    <w:rsid w:val="00305EE6"/>
    <w:pPr>
      <w:keepNext/>
      <w:jc w:val="center"/>
      <w:outlineLvl w:val="0"/>
    </w:pPr>
    <w:rPr>
      <w:b/>
      <w:bCs/>
      <w:lang w:val="en-GB"/>
    </w:rPr>
  </w:style>
  <w:style w:type="paragraph" w:styleId="Naslov2">
    <w:name w:val="heading 2"/>
    <w:basedOn w:val="Normal"/>
    <w:next w:val="Normal"/>
    <w:qFormat/>
    <w:rsid w:val="00305EE6"/>
    <w:pPr>
      <w:keepNext/>
      <w:outlineLvl w:val="1"/>
    </w:pPr>
    <w:rPr>
      <w:b/>
      <w:bCs/>
      <w:lang w:val="en-GB"/>
    </w:rPr>
  </w:style>
  <w:style w:type="paragraph" w:styleId="Naslov3">
    <w:name w:val="heading 3"/>
    <w:basedOn w:val="Normal"/>
    <w:next w:val="Normal"/>
    <w:qFormat/>
    <w:rsid w:val="00305EE6"/>
    <w:pPr>
      <w:keepNext/>
      <w:spacing w:before="240"/>
      <w:outlineLvl w:val="2"/>
    </w:pPr>
    <w:rPr>
      <w:rFonts w:cs="Arial"/>
      <w:b/>
      <w:bCs/>
      <w:szCs w:val="26"/>
    </w:rPr>
  </w:style>
  <w:style w:type="paragraph" w:styleId="Naslov4">
    <w:name w:val="heading 4"/>
    <w:basedOn w:val="Normal"/>
    <w:next w:val="Normal"/>
    <w:qFormat/>
    <w:rsid w:val="00353105"/>
    <w:pPr>
      <w:keepNext/>
      <w:spacing w:before="240" w:after="60"/>
      <w:outlineLvl w:val="3"/>
    </w:pPr>
    <w:rPr>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fusnote">
    <w:name w:val="footnote reference"/>
    <w:semiHidden/>
    <w:rsid w:val="00305EE6"/>
    <w:rPr>
      <w:vertAlign w:val="superscript"/>
    </w:rPr>
  </w:style>
  <w:style w:type="character" w:styleId="Hiperveza">
    <w:name w:val="Hyperlink"/>
    <w:uiPriority w:val="99"/>
    <w:rsid w:val="00305EE6"/>
    <w:rPr>
      <w:color w:val="0000FF"/>
      <w:u w:val="single"/>
    </w:rPr>
  </w:style>
  <w:style w:type="paragraph" w:styleId="Tekstfusnote">
    <w:name w:val="footnote text"/>
    <w:basedOn w:val="Normal"/>
    <w:semiHidden/>
    <w:rsid w:val="00305EE6"/>
    <w:rPr>
      <w:sz w:val="20"/>
      <w:szCs w:val="20"/>
    </w:rPr>
  </w:style>
  <w:style w:type="character" w:styleId="Brojstranice">
    <w:name w:val="page number"/>
    <w:basedOn w:val="Zadanifontodlomka"/>
    <w:rsid w:val="00305EE6"/>
  </w:style>
  <w:style w:type="paragraph" w:styleId="Podnoje">
    <w:name w:val="footer"/>
    <w:basedOn w:val="Normal"/>
    <w:rsid w:val="00305EE6"/>
    <w:pPr>
      <w:tabs>
        <w:tab w:val="center" w:pos="4536"/>
        <w:tab w:val="right" w:pos="9072"/>
      </w:tabs>
    </w:pPr>
  </w:style>
  <w:style w:type="paragraph" w:styleId="Tijeloteksta">
    <w:name w:val="Body Text"/>
    <w:basedOn w:val="Normal"/>
    <w:rsid w:val="00305EE6"/>
    <w:pPr>
      <w:jc w:val="center"/>
    </w:pPr>
    <w:rPr>
      <w:b/>
      <w:sz w:val="28"/>
      <w:lang w:val="en-GB"/>
    </w:rPr>
  </w:style>
  <w:style w:type="paragraph" w:styleId="Zaglavlje">
    <w:name w:val="header"/>
    <w:basedOn w:val="Normal"/>
    <w:link w:val="ZaglavljeChar"/>
    <w:uiPriority w:val="99"/>
    <w:rsid w:val="00305EE6"/>
    <w:pPr>
      <w:tabs>
        <w:tab w:val="center" w:pos="4536"/>
        <w:tab w:val="right" w:pos="9072"/>
      </w:tabs>
    </w:pPr>
  </w:style>
  <w:style w:type="paragraph" w:styleId="Uvuenotijeloteksta">
    <w:name w:val="Body Text Indent"/>
    <w:basedOn w:val="Normal"/>
    <w:rsid w:val="00305EE6"/>
    <w:pPr>
      <w:ind w:left="540" w:hanging="540"/>
    </w:pPr>
    <w:rPr>
      <w:lang w:val="en-GB"/>
    </w:rPr>
  </w:style>
  <w:style w:type="character" w:styleId="SlijeenaHiperveza">
    <w:name w:val="FollowedHyperlink"/>
    <w:rsid w:val="00305EE6"/>
    <w:rPr>
      <w:color w:val="800080"/>
      <w:u w:val="single"/>
    </w:rPr>
  </w:style>
  <w:style w:type="character" w:styleId="Istaknuto">
    <w:name w:val="Emphasis"/>
    <w:uiPriority w:val="20"/>
    <w:qFormat/>
    <w:rsid w:val="00353105"/>
    <w:rPr>
      <w:i/>
      <w:iCs/>
    </w:rPr>
  </w:style>
  <w:style w:type="character" w:customStyle="1" w:styleId="ZaglavljeChar">
    <w:name w:val="Zaglavlje Char"/>
    <w:link w:val="Zaglavlje"/>
    <w:uiPriority w:val="99"/>
    <w:rsid w:val="006F03ED"/>
    <w:rPr>
      <w:sz w:val="24"/>
      <w:szCs w:val="24"/>
      <w:lang w:val="en-US" w:eastAsia="en-US"/>
    </w:rPr>
  </w:style>
  <w:style w:type="paragraph" w:styleId="Tekstbalonia">
    <w:name w:val="Balloon Text"/>
    <w:basedOn w:val="Normal"/>
    <w:link w:val="TekstbaloniaChar"/>
    <w:uiPriority w:val="99"/>
    <w:rsid w:val="006F03ED"/>
    <w:rPr>
      <w:rFonts w:ascii="Tahoma" w:hAnsi="Tahoma" w:cs="Tahoma"/>
      <w:sz w:val="16"/>
      <w:szCs w:val="16"/>
    </w:rPr>
  </w:style>
  <w:style w:type="character" w:customStyle="1" w:styleId="TekstbaloniaChar">
    <w:name w:val="Tekst balončića Char"/>
    <w:link w:val="Tekstbalonia"/>
    <w:uiPriority w:val="99"/>
    <w:rsid w:val="006F03ED"/>
    <w:rPr>
      <w:rFonts w:ascii="Tahoma" w:hAnsi="Tahoma" w:cs="Tahoma"/>
      <w:sz w:val="16"/>
      <w:szCs w:val="16"/>
      <w:lang w:val="en-US" w:eastAsia="en-US"/>
    </w:rPr>
  </w:style>
  <w:style w:type="table" w:styleId="Reetkatablice">
    <w:name w:val="Table Grid"/>
    <w:basedOn w:val="Obinatablica"/>
    <w:rsid w:val="00414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rsid w:val="001C3835"/>
  </w:style>
  <w:style w:type="paragraph" w:styleId="Odlomakpopisa">
    <w:name w:val="List Paragraph"/>
    <w:basedOn w:val="Normal"/>
    <w:uiPriority w:val="34"/>
    <w:qFormat/>
    <w:rsid w:val="0076669B"/>
    <w:pPr>
      <w:ind w:left="708"/>
    </w:pPr>
  </w:style>
  <w:style w:type="character" w:styleId="Naglaeno">
    <w:name w:val="Strong"/>
    <w:uiPriority w:val="22"/>
    <w:qFormat/>
    <w:rsid w:val="005D2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2827">
      <w:bodyDiv w:val="1"/>
      <w:marLeft w:val="0"/>
      <w:marRight w:val="0"/>
      <w:marTop w:val="0"/>
      <w:marBottom w:val="0"/>
      <w:divBdr>
        <w:top w:val="none" w:sz="0" w:space="0" w:color="auto"/>
        <w:left w:val="none" w:sz="0" w:space="0" w:color="auto"/>
        <w:bottom w:val="none" w:sz="0" w:space="0" w:color="auto"/>
        <w:right w:val="none" w:sz="0" w:space="0" w:color="auto"/>
      </w:divBdr>
    </w:div>
    <w:div w:id="12136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zs.h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x.doi.org/10.1016/j.telpol.2012.05.001" TargetMode="External"/><Relationship Id="rId4" Type="http://schemas.openxmlformats.org/officeDocument/2006/relationships/settings" Target="settings.xml"/><Relationship Id="rId9" Type="http://schemas.openxmlformats.org/officeDocument/2006/relationships/hyperlink" Target="http://dx.doi.org/10.1016/0270-0255(82)90027-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A0F78-E8BC-4FA9-B18A-D159FEC0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16</Pages>
  <Words>6778</Words>
  <Characters>38500</Characters>
  <Application>Microsoft Office Word</Application>
  <DocSecurity>0</DocSecurity>
  <Lines>320</Lines>
  <Paragraphs>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Prof</vt:lpstr>
      <vt:lpstr>Prof</vt:lpstr>
    </vt:vector>
  </TitlesOfParts>
  <Company>efst</Company>
  <LinksUpToDate>false</LinksUpToDate>
  <CharactersWithSpaces>45188</CharactersWithSpaces>
  <SharedDoc>false</SharedDoc>
  <HLinks>
    <vt:vector size="6" baseType="variant">
      <vt:variant>
        <vt:i4>3145847</vt:i4>
      </vt:variant>
      <vt:variant>
        <vt:i4>6</vt:i4>
      </vt:variant>
      <vt:variant>
        <vt:i4>0</vt:i4>
      </vt:variant>
      <vt:variant>
        <vt:i4>5</vt:i4>
      </vt:variant>
      <vt:variant>
        <vt:lpwstr>http://www.nber.org/cycles.html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creator>djelatnik</dc:creator>
  <cp:lastModifiedBy>Nikolina</cp:lastModifiedBy>
  <cp:revision>14</cp:revision>
  <cp:lastPrinted>2016-01-25T17:39:00Z</cp:lastPrinted>
  <dcterms:created xsi:type="dcterms:W3CDTF">2016-02-08T11:49:00Z</dcterms:created>
  <dcterms:modified xsi:type="dcterms:W3CDTF">2016-02-17T08:41:00Z</dcterms:modified>
</cp:coreProperties>
</file>