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A6F479" w14:textId="07951D15" w:rsidR="00BA4410" w:rsidRPr="00FA491C" w:rsidRDefault="00BA4410" w:rsidP="00BA4410">
      <w:pPr>
        <w:jc w:val="center"/>
        <w:rPr>
          <w:b/>
          <w:bCs/>
          <w:sz w:val="28"/>
          <w:szCs w:val="28"/>
          <w:lang w:val="en-GB"/>
        </w:rPr>
      </w:pPr>
      <w:r>
        <w:rPr>
          <w:b/>
          <w:bCs/>
          <w:sz w:val="28"/>
          <w:szCs w:val="28"/>
          <w:lang w:val="en-GB"/>
        </w:rPr>
        <w:t>Can Consumer Survey produce</w:t>
      </w:r>
      <w:r w:rsidR="007F56BD">
        <w:rPr>
          <w:b/>
          <w:bCs/>
          <w:sz w:val="28"/>
          <w:szCs w:val="28"/>
          <w:lang w:val="en-GB"/>
        </w:rPr>
        <w:t xml:space="preserve"> a</w:t>
      </w:r>
      <w:r>
        <w:rPr>
          <w:b/>
          <w:bCs/>
          <w:sz w:val="28"/>
          <w:szCs w:val="28"/>
          <w:lang w:val="en-GB"/>
        </w:rPr>
        <w:t xml:space="preserve"> new</w:t>
      </w:r>
      <w:r w:rsidR="007F56BD">
        <w:rPr>
          <w:b/>
          <w:bCs/>
          <w:sz w:val="28"/>
          <w:szCs w:val="28"/>
          <w:lang w:val="en-GB"/>
        </w:rPr>
        <w:t xml:space="preserve"> Measure of </w:t>
      </w:r>
      <w:r w:rsidRPr="00FA491C">
        <w:rPr>
          <w:b/>
          <w:bCs/>
          <w:sz w:val="28"/>
          <w:szCs w:val="28"/>
          <w:lang w:val="en-GB"/>
        </w:rPr>
        <w:t>Households’ Financial Distress</w:t>
      </w:r>
      <w:r>
        <w:rPr>
          <w:b/>
          <w:bCs/>
          <w:sz w:val="28"/>
          <w:szCs w:val="28"/>
          <w:lang w:val="en-GB"/>
        </w:rPr>
        <w:t xml:space="preserve">?  </w:t>
      </w:r>
    </w:p>
    <w:p w14:paraId="24F40149" w14:textId="77777777" w:rsidR="00C81192" w:rsidRPr="00FA491C" w:rsidRDefault="00C81192" w:rsidP="00C81192">
      <w:pPr>
        <w:rPr>
          <w:b/>
          <w:bCs/>
          <w:lang w:val="en-GB"/>
        </w:rPr>
      </w:pPr>
    </w:p>
    <w:p w14:paraId="3FE20232" w14:textId="77777777" w:rsidR="00DC1C9B" w:rsidRPr="00FA491C" w:rsidRDefault="00F702DA" w:rsidP="00DC1C9B">
      <w:pPr>
        <w:pStyle w:val="Naslov1"/>
      </w:pPr>
      <w:r w:rsidRPr="00FA491C">
        <w:t>Nataša Kurnoga</w:t>
      </w:r>
      <w:r w:rsidR="00FE21BE" w:rsidRPr="00FA491C">
        <w:rPr>
          <w:rStyle w:val="Referencafusnote"/>
        </w:rPr>
        <w:footnoteReference w:id="1"/>
      </w:r>
    </w:p>
    <w:p w14:paraId="5C7B13E0" w14:textId="77777777" w:rsidR="00DC1C9B" w:rsidRPr="00FA491C" w:rsidRDefault="00F702DA" w:rsidP="00DC1C9B">
      <w:pPr>
        <w:jc w:val="center"/>
        <w:rPr>
          <w:lang w:val="en-GB"/>
        </w:rPr>
      </w:pPr>
      <w:r w:rsidRPr="00FA491C">
        <w:rPr>
          <w:lang w:val="en-GB"/>
        </w:rPr>
        <w:t>Faculty of Economics and Business, University of Zagreb</w:t>
      </w:r>
    </w:p>
    <w:p w14:paraId="78B65ECD" w14:textId="77777777" w:rsidR="00DC1C9B" w:rsidRPr="00FA491C" w:rsidRDefault="00F702DA" w:rsidP="00DC1C9B">
      <w:pPr>
        <w:jc w:val="center"/>
        <w:rPr>
          <w:caps/>
          <w:lang w:val="en-GB"/>
        </w:rPr>
      </w:pPr>
      <w:r w:rsidRPr="00FA491C">
        <w:rPr>
          <w:lang w:val="en-GB"/>
        </w:rPr>
        <w:t>J. F. Kennedy 6, 10 000 Zagreb, Croatia</w:t>
      </w:r>
    </w:p>
    <w:p w14:paraId="075FC3EE" w14:textId="77777777" w:rsidR="0092656E" w:rsidRPr="00FA491C" w:rsidRDefault="0092656E" w:rsidP="0092656E">
      <w:pPr>
        <w:jc w:val="center"/>
        <w:rPr>
          <w:lang w:val="en-GB"/>
        </w:rPr>
      </w:pPr>
      <w:r w:rsidRPr="00FA491C">
        <w:rPr>
          <w:lang w:val="en-GB"/>
        </w:rPr>
        <w:t xml:space="preserve">E-mail: </w:t>
      </w:r>
      <w:hyperlink r:id="rId8" w:history="1">
        <w:r w:rsidR="00F702DA" w:rsidRPr="00FA491C">
          <w:rPr>
            <w:rStyle w:val="Hiperveza"/>
            <w:lang w:val="en-GB"/>
          </w:rPr>
          <w:t>nkurnoga@efzg.hr</w:t>
        </w:r>
      </w:hyperlink>
      <w:r w:rsidR="00F702DA" w:rsidRPr="00FA491C">
        <w:rPr>
          <w:lang w:val="en-GB"/>
        </w:rPr>
        <w:t xml:space="preserve"> </w:t>
      </w:r>
    </w:p>
    <w:p w14:paraId="7FEC32D6" w14:textId="77777777" w:rsidR="00CE6038" w:rsidRPr="00FA491C" w:rsidRDefault="00CE6038">
      <w:pPr>
        <w:jc w:val="center"/>
        <w:rPr>
          <w:lang w:val="en-GB"/>
        </w:rPr>
      </w:pPr>
    </w:p>
    <w:p w14:paraId="2367307C" w14:textId="77777777" w:rsidR="00DC1C9B" w:rsidRPr="00FA491C" w:rsidRDefault="00651200" w:rsidP="00DC1C9B">
      <w:pPr>
        <w:pStyle w:val="Naslov1"/>
      </w:pPr>
      <w:r w:rsidRPr="00FA491C">
        <w:t xml:space="preserve">Mirjana </w:t>
      </w:r>
      <w:proofErr w:type="spellStart"/>
      <w:r w:rsidRPr="00FA491C">
        <w:t>Čižmešija</w:t>
      </w:r>
      <w:proofErr w:type="spellEnd"/>
      <w:r w:rsidRPr="00FA491C">
        <w:t xml:space="preserve"> </w:t>
      </w:r>
    </w:p>
    <w:p w14:paraId="48BBB886" w14:textId="77777777" w:rsidR="00F702DA" w:rsidRPr="00FA491C" w:rsidRDefault="00F702DA" w:rsidP="00F702DA">
      <w:pPr>
        <w:jc w:val="center"/>
        <w:rPr>
          <w:lang w:val="en-GB"/>
        </w:rPr>
      </w:pPr>
      <w:r w:rsidRPr="00FA491C">
        <w:rPr>
          <w:lang w:val="en-GB"/>
        </w:rPr>
        <w:t>Faculty of Economics and Business, University of Zagreb</w:t>
      </w:r>
    </w:p>
    <w:p w14:paraId="64A2BE5A" w14:textId="77777777" w:rsidR="00F702DA" w:rsidRPr="00FA491C" w:rsidRDefault="00F702DA" w:rsidP="00F702DA">
      <w:pPr>
        <w:jc w:val="center"/>
        <w:rPr>
          <w:lang w:val="en-GB"/>
        </w:rPr>
      </w:pPr>
      <w:r w:rsidRPr="00FA491C">
        <w:rPr>
          <w:lang w:val="en-GB"/>
        </w:rPr>
        <w:t>J. F. Kennedy 6, 10 000 Zagreb, Croatia</w:t>
      </w:r>
    </w:p>
    <w:p w14:paraId="526D5C15" w14:textId="77777777" w:rsidR="0092656E" w:rsidRPr="00FA491C" w:rsidRDefault="0092656E" w:rsidP="00F702DA">
      <w:pPr>
        <w:jc w:val="center"/>
        <w:rPr>
          <w:lang w:val="en-GB"/>
        </w:rPr>
      </w:pPr>
      <w:r w:rsidRPr="00FA491C">
        <w:rPr>
          <w:lang w:val="en-GB"/>
        </w:rPr>
        <w:t xml:space="preserve">E-mail: </w:t>
      </w:r>
      <w:hyperlink r:id="rId9" w:history="1">
        <w:r w:rsidR="00F702DA" w:rsidRPr="00FA491C">
          <w:rPr>
            <w:rStyle w:val="Hiperveza"/>
            <w:lang w:val="en-GB"/>
          </w:rPr>
          <w:t>mcizmesija@efzg.hr</w:t>
        </w:r>
      </w:hyperlink>
      <w:r w:rsidR="00F702DA" w:rsidRPr="00FA491C">
        <w:rPr>
          <w:lang w:val="en-GB"/>
        </w:rPr>
        <w:t xml:space="preserve"> </w:t>
      </w:r>
    </w:p>
    <w:p w14:paraId="48728638" w14:textId="77777777" w:rsidR="00DC1C9B" w:rsidRPr="00FA491C" w:rsidRDefault="00DC1C9B">
      <w:pPr>
        <w:jc w:val="center"/>
        <w:rPr>
          <w:b/>
          <w:bCs/>
          <w:lang w:val="en-GB"/>
        </w:rPr>
      </w:pPr>
    </w:p>
    <w:p w14:paraId="6C93DE18" w14:textId="77777777" w:rsidR="00D5211A" w:rsidRDefault="00D5211A" w:rsidP="00D5211A">
      <w:pPr>
        <w:rPr>
          <w:b/>
          <w:bCs/>
          <w:lang w:val="en-GB"/>
        </w:rPr>
      </w:pPr>
      <w:r w:rsidRPr="00FA491C">
        <w:rPr>
          <w:b/>
          <w:bCs/>
          <w:lang w:val="en-GB"/>
        </w:rPr>
        <w:t>Abstract</w:t>
      </w:r>
    </w:p>
    <w:p w14:paraId="06F29C60" w14:textId="77777777" w:rsidR="006A1C42" w:rsidRPr="00FA491C" w:rsidRDefault="006A1C42" w:rsidP="00D5211A">
      <w:pPr>
        <w:rPr>
          <w:b/>
          <w:bCs/>
          <w:lang w:val="en-GB"/>
        </w:rPr>
      </w:pPr>
    </w:p>
    <w:p w14:paraId="51AA9A86" w14:textId="162CAD7B" w:rsidR="004D47BF" w:rsidRPr="0033316B" w:rsidRDefault="00880864" w:rsidP="004D47BF">
      <w:pPr>
        <w:spacing w:line="360" w:lineRule="auto"/>
        <w:jc w:val="both"/>
        <w:rPr>
          <w:sz w:val="22"/>
          <w:szCs w:val="22"/>
          <w:lang w:val="en-GB"/>
        </w:rPr>
      </w:pPr>
      <w:r w:rsidRPr="0033316B">
        <w:rPr>
          <w:sz w:val="22"/>
          <w:szCs w:val="22"/>
          <w:lang w:val="en-GB"/>
        </w:rPr>
        <w:t xml:space="preserve">The goal of this paper is concentrated on the pioneer application of </w:t>
      </w:r>
      <w:r w:rsidRPr="00E11EF5">
        <w:rPr>
          <w:i/>
          <w:sz w:val="22"/>
          <w:szCs w:val="22"/>
          <w:lang w:val="en-GB"/>
        </w:rPr>
        <w:t>Harmonized EU Consumer survey (CS)</w:t>
      </w:r>
      <w:r w:rsidRPr="0033316B">
        <w:rPr>
          <w:sz w:val="22"/>
          <w:szCs w:val="22"/>
          <w:lang w:val="en-GB"/>
        </w:rPr>
        <w:t xml:space="preserve"> in tracking poverty levels in Croatia. As opposed to the annual </w:t>
      </w:r>
      <w:r w:rsidR="00386950" w:rsidRPr="008F1BF3">
        <w:rPr>
          <w:i/>
          <w:sz w:val="22"/>
          <w:szCs w:val="22"/>
          <w:lang w:val="en-GB"/>
        </w:rPr>
        <w:t>EU Statistics on Income and Living Conditions</w:t>
      </w:r>
      <w:r w:rsidR="00386950" w:rsidRPr="008F1BF3">
        <w:rPr>
          <w:sz w:val="22"/>
          <w:szCs w:val="22"/>
          <w:lang w:val="en-GB"/>
        </w:rPr>
        <w:t xml:space="preserve"> (EU-SILC)</w:t>
      </w:r>
      <w:r w:rsidR="008F1BF3">
        <w:rPr>
          <w:sz w:val="22"/>
          <w:szCs w:val="22"/>
          <w:lang w:val="en-GB"/>
        </w:rPr>
        <w:t xml:space="preserve"> </w:t>
      </w:r>
      <w:r w:rsidRPr="0033316B">
        <w:rPr>
          <w:sz w:val="22"/>
          <w:szCs w:val="22"/>
          <w:lang w:val="en-GB"/>
        </w:rPr>
        <w:t>variables, CS offer</w:t>
      </w:r>
      <w:r w:rsidR="00E5223C">
        <w:rPr>
          <w:sz w:val="22"/>
          <w:szCs w:val="22"/>
          <w:lang w:val="en-GB"/>
        </w:rPr>
        <w:t>s</w:t>
      </w:r>
      <w:r w:rsidRPr="0033316B">
        <w:rPr>
          <w:sz w:val="22"/>
          <w:szCs w:val="22"/>
          <w:lang w:val="en-GB"/>
        </w:rPr>
        <w:t xml:space="preserve"> a considerable benefit by providing monthly information on the consumers’ financial position. It is of interest to calculate a CS-based composite indicator of households’ financial distress, using factor analysis. The newly proposed indicator could serve as a timely indicator of cumulous socio-economic problems in Croatia, as well as in all other EU member states, and in that way significantly complement the EU-SILC data. The harmonized European CS offer</w:t>
      </w:r>
      <w:r w:rsidR="0033316B" w:rsidRPr="0033316B">
        <w:rPr>
          <w:sz w:val="22"/>
          <w:szCs w:val="22"/>
          <w:lang w:val="en-GB"/>
        </w:rPr>
        <w:t xml:space="preserve"> three</w:t>
      </w:r>
      <w:r w:rsidRPr="0033316B">
        <w:rPr>
          <w:sz w:val="22"/>
          <w:szCs w:val="22"/>
          <w:lang w:val="en-GB"/>
        </w:rPr>
        <w:t xml:space="preserve"> questions pointing to the financial situation of households (Q1: </w:t>
      </w:r>
      <w:r w:rsidRPr="0033316B">
        <w:rPr>
          <w:i/>
          <w:sz w:val="22"/>
          <w:szCs w:val="22"/>
          <w:lang w:val="en-GB"/>
        </w:rPr>
        <w:t>Financial situation over last 12 months</w:t>
      </w:r>
      <w:r w:rsidRPr="0033316B">
        <w:rPr>
          <w:sz w:val="22"/>
          <w:szCs w:val="22"/>
          <w:lang w:val="en-GB"/>
        </w:rPr>
        <w:t xml:space="preserve">, Q2: </w:t>
      </w:r>
      <w:r w:rsidRPr="0033316B">
        <w:rPr>
          <w:i/>
          <w:sz w:val="22"/>
          <w:szCs w:val="22"/>
          <w:lang w:val="en-GB"/>
        </w:rPr>
        <w:t>Financial situation over next 12 months,</w:t>
      </w:r>
      <w:r w:rsidRPr="0033316B">
        <w:rPr>
          <w:sz w:val="22"/>
          <w:szCs w:val="22"/>
          <w:lang w:val="en-GB"/>
        </w:rPr>
        <w:t xml:space="preserve"> and Q12:</w:t>
      </w:r>
      <w:r w:rsidRPr="0033316B">
        <w:rPr>
          <w:lang w:val="en-GB"/>
        </w:rPr>
        <w:t xml:space="preserve"> </w:t>
      </w:r>
      <w:r w:rsidRPr="0033316B">
        <w:rPr>
          <w:i/>
          <w:sz w:val="22"/>
          <w:szCs w:val="22"/>
          <w:lang w:val="en-GB"/>
        </w:rPr>
        <w:t>Statement on financial situation of household</w:t>
      </w:r>
      <w:r w:rsidRPr="0033316B">
        <w:rPr>
          <w:sz w:val="22"/>
          <w:szCs w:val="22"/>
          <w:lang w:val="en-GB"/>
        </w:rPr>
        <w:t>). The main advantage of these questions is their monthly frequency, which provides more detailed information about the prevailing social trends than</w:t>
      </w:r>
      <w:r w:rsidR="00E5223C">
        <w:rPr>
          <w:sz w:val="22"/>
          <w:szCs w:val="22"/>
          <w:lang w:val="en-GB"/>
        </w:rPr>
        <w:t xml:space="preserve"> the</w:t>
      </w:r>
      <w:r w:rsidRPr="0033316B">
        <w:rPr>
          <w:sz w:val="22"/>
          <w:szCs w:val="22"/>
          <w:lang w:val="en-GB"/>
        </w:rPr>
        <w:t xml:space="preserve"> annual EU-SILC data.  </w:t>
      </w:r>
    </w:p>
    <w:p w14:paraId="52D0B753" w14:textId="63AFCFDB" w:rsidR="00D86B67" w:rsidRPr="0033316B" w:rsidRDefault="00D86B67" w:rsidP="004D47BF">
      <w:pPr>
        <w:spacing w:line="360" w:lineRule="auto"/>
        <w:jc w:val="both"/>
        <w:rPr>
          <w:sz w:val="22"/>
          <w:szCs w:val="22"/>
          <w:lang w:val="en-GB"/>
        </w:rPr>
      </w:pPr>
      <w:r w:rsidRPr="0033316B">
        <w:rPr>
          <w:sz w:val="22"/>
          <w:szCs w:val="22"/>
          <w:lang w:val="en-GB"/>
        </w:rPr>
        <w:t>The factor analysis was performed to calculate the new CS composite indicator of households’ financial distress on three selected CS variables</w:t>
      </w:r>
      <w:r w:rsidR="0033316B" w:rsidRPr="0033316B">
        <w:rPr>
          <w:sz w:val="22"/>
          <w:szCs w:val="22"/>
          <w:lang w:val="en-GB"/>
        </w:rPr>
        <w:t>, as mentioned above.</w:t>
      </w:r>
      <w:r w:rsidR="004171CA" w:rsidRPr="0033316B">
        <w:rPr>
          <w:sz w:val="22"/>
          <w:szCs w:val="22"/>
          <w:lang w:val="en-GB"/>
        </w:rPr>
        <w:t xml:space="preserve"> </w:t>
      </w:r>
      <w:r w:rsidR="007E7F32" w:rsidRPr="0033316B">
        <w:rPr>
          <w:sz w:val="22"/>
          <w:szCs w:val="22"/>
          <w:lang w:val="en-GB"/>
        </w:rPr>
        <w:t>One factor was extracted, the factor scores were calculated, and they were compared with the chosen variables of EU-SILC data.</w:t>
      </w:r>
    </w:p>
    <w:p w14:paraId="18F4FEDE" w14:textId="77777777" w:rsidR="00D5211A" w:rsidRPr="00FA491C" w:rsidRDefault="00D5211A" w:rsidP="00C956C2">
      <w:pPr>
        <w:jc w:val="center"/>
        <w:rPr>
          <w:b/>
          <w:bCs/>
          <w:lang w:val="en-GB"/>
        </w:rPr>
      </w:pPr>
    </w:p>
    <w:p w14:paraId="09E24F96" w14:textId="3D8015F8" w:rsidR="00DC1C9B" w:rsidRPr="00FA491C" w:rsidRDefault="00DC1C9B" w:rsidP="00C956C2">
      <w:pPr>
        <w:jc w:val="both"/>
        <w:rPr>
          <w:i/>
          <w:iCs/>
          <w:lang w:val="en-GB"/>
        </w:rPr>
      </w:pPr>
      <w:r w:rsidRPr="00FA491C">
        <w:rPr>
          <w:b/>
          <w:bCs/>
          <w:lang w:val="en-GB"/>
        </w:rPr>
        <w:t xml:space="preserve">Keywords: </w:t>
      </w:r>
      <w:r w:rsidRPr="00FA491C">
        <w:rPr>
          <w:b/>
          <w:bCs/>
          <w:lang w:val="en-GB"/>
        </w:rPr>
        <w:tab/>
      </w:r>
      <w:r w:rsidR="008A75CD" w:rsidRPr="00FA491C">
        <w:rPr>
          <w:i/>
          <w:iCs/>
          <w:lang w:val="en-GB"/>
        </w:rPr>
        <w:t>Consumer Survey</w:t>
      </w:r>
      <w:r w:rsidR="00386950">
        <w:rPr>
          <w:i/>
          <w:iCs/>
          <w:lang w:val="en-GB"/>
        </w:rPr>
        <w:t xml:space="preserve"> (CS)</w:t>
      </w:r>
      <w:r w:rsidR="008A75CD" w:rsidRPr="00FA491C">
        <w:rPr>
          <w:i/>
          <w:iCs/>
          <w:lang w:val="en-GB"/>
        </w:rPr>
        <w:t xml:space="preserve">, EU Statistics on Income and Living Conditions (EU-SILC), Composite indicator, Factor analysis, </w:t>
      </w:r>
      <w:proofErr w:type="gramStart"/>
      <w:r w:rsidR="008A75CD" w:rsidRPr="00FA491C">
        <w:rPr>
          <w:i/>
          <w:iCs/>
          <w:lang w:val="en-GB"/>
        </w:rPr>
        <w:t>Financial</w:t>
      </w:r>
      <w:proofErr w:type="gramEnd"/>
      <w:r w:rsidR="008A75CD" w:rsidRPr="00FA491C">
        <w:rPr>
          <w:i/>
          <w:iCs/>
          <w:lang w:val="en-GB"/>
        </w:rPr>
        <w:t xml:space="preserve"> distress</w:t>
      </w:r>
    </w:p>
    <w:p w14:paraId="4A13E52A" w14:textId="77777777" w:rsidR="001760F5" w:rsidRPr="00FA491C" w:rsidRDefault="001760F5" w:rsidP="00C956C2">
      <w:pPr>
        <w:jc w:val="both"/>
        <w:rPr>
          <w:i/>
          <w:iCs/>
          <w:lang w:val="en-GB"/>
        </w:rPr>
      </w:pPr>
    </w:p>
    <w:p w14:paraId="784B5485" w14:textId="77777777" w:rsidR="001760F5" w:rsidRPr="00FA491C" w:rsidRDefault="001760F5" w:rsidP="001760F5">
      <w:pPr>
        <w:jc w:val="center"/>
        <w:rPr>
          <w:iCs/>
          <w:color w:val="FF0000"/>
          <w:lang w:val="en-GB"/>
        </w:rPr>
      </w:pPr>
      <w:r w:rsidRPr="00FA491C">
        <w:rPr>
          <w:iCs/>
          <w:color w:val="FF0000"/>
          <w:lang w:val="en-GB"/>
        </w:rPr>
        <w:t xml:space="preserve">Received: xx </w:t>
      </w:r>
      <w:proofErr w:type="spellStart"/>
      <w:r w:rsidRPr="00FA491C">
        <w:rPr>
          <w:iCs/>
          <w:color w:val="FF0000"/>
          <w:lang w:val="en-GB"/>
        </w:rPr>
        <w:t>xx</w:t>
      </w:r>
      <w:proofErr w:type="spellEnd"/>
      <w:r w:rsidRPr="00FA491C">
        <w:rPr>
          <w:iCs/>
          <w:color w:val="FF0000"/>
          <w:lang w:val="en-GB"/>
        </w:rPr>
        <w:t xml:space="preserve">, 201x; accepted: </w:t>
      </w:r>
      <w:proofErr w:type="spellStart"/>
      <w:r w:rsidRPr="00FA491C">
        <w:rPr>
          <w:iCs/>
          <w:color w:val="FF0000"/>
          <w:lang w:val="en-GB"/>
        </w:rPr>
        <w:t>yy</w:t>
      </w:r>
      <w:proofErr w:type="spellEnd"/>
      <w:r w:rsidRPr="00FA491C">
        <w:rPr>
          <w:iCs/>
          <w:color w:val="FF0000"/>
          <w:lang w:val="en-GB"/>
        </w:rPr>
        <w:t xml:space="preserve"> </w:t>
      </w:r>
      <w:proofErr w:type="spellStart"/>
      <w:r w:rsidRPr="00FA491C">
        <w:rPr>
          <w:iCs/>
          <w:color w:val="FF0000"/>
          <w:lang w:val="en-GB"/>
        </w:rPr>
        <w:t>yy</w:t>
      </w:r>
      <w:proofErr w:type="spellEnd"/>
      <w:r w:rsidRPr="00FA491C">
        <w:rPr>
          <w:iCs/>
          <w:color w:val="FF0000"/>
          <w:lang w:val="en-GB"/>
        </w:rPr>
        <w:t xml:space="preserve"> 201x; available online: </w:t>
      </w:r>
      <w:proofErr w:type="spellStart"/>
      <w:r w:rsidRPr="00FA491C">
        <w:rPr>
          <w:iCs/>
          <w:color w:val="FF0000"/>
          <w:lang w:val="en-GB"/>
        </w:rPr>
        <w:t>zz</w:t>
      </w:r>
      <w:proofErr w:type="spellEnd"/>
      <w:r w:rsidRPr="00FA491C">
        <w:rPr>
          <w:iCs/>
          <w:color w:val="FF0000"/>
          <w:lang w:val="en-GB"/>
        </w:rPr>
        <w:t xml:space="preserve"> </w:t>
      </w:r>
      <w:proofErr w:type="spellStart"/>
      <w:r w:rsidRPr="00FA491C">
        <w:rPr>
          <w:iCs/>
          <w:color w:val="FF0000"/>
          <w:lang w:val="en-GB"/>
        </w:rPr>
        <w:t>zz</w:t>
      </w:r>
      <w:proofErr w:type="spellEnd"/>
      <w:r w:rsidRPr="00FA491C">
        <w:rPr>
          <w:iCs/>
          <w:color w:val="FF0000"/>
          <w:lang w:val="en-GB"/>
        </w:rPr>
        <w:t>; 201x</w:t>
      </w:r>
    </w:p>
    <w:p w14:paraId="7CF67177" w14:textId="77777777" w:rsidR="00CE6038" w:rsidRPr="00FA491C" w:rsidRDefault="00CE6038" w:rsidP="00C956C2">
      <w:pPr>
        <w:pBdr>
          <w:bottom w:val="single" w:sz="6" w:space="1" w:color="auto"/>
        </w:pBdr>
        <w:jc w:val="both"/>
        <w:rPr>
          <w:b/>
          <w:bCs/>
          <w:lang w:val="en-GB"/>
        </w:rPr>
      </w:pPr>
    </w:p>
    <w:p w14:paraId="156BEBE0" w14:textId="77777777" w:rsidR="00933373" w:rsidRPr="00FA491C" w:rsidRDefault="00933373">
      <w:pPr>
        <w:jc w:val="both"/>
        <w:rPr>
          <w:b/>
          <w:bCs/>
          <w:sz w:val="28"/>
          <w:szCs w:val="28"/>
          <w:lang w:val="en-GB"/>
        </w:rPr>
      </w:pPr>
    </w:p>
    <w:p w14:paraId="6844BDC6" w14:textId="77777777" w:rsidR="00D65E8F" w:rsidRPr="00FA491C" w:rsidRDefault="00CE6038">
      <w:pPr>
        <w:jc w:val="both"/>
        <w:rPr>
          <w:b/>
          <w:bCs/>
          <w:sz w:val="28"/>
          <w:szCs w:val="28"/>
          <w:lang w:val="en-GB"/>
        </w:rPr>
      </w:pPr>
      <w:r w:rsidRPr="00FA491C">
        <w:rPr>
          <w:b/>
          <w:bCs/>
          <w:sz w:val="28"/>
          <w:szCs w:val="28"/>
          <w:lang w:val="en-GB"/>
        </w:rPr>
        <w:t>1.</w:t>
      </w:r>
      <w:r w:rsidR="006D6858" w:rsidRPr="00FA491C">
        <w:rPr>
          <w:b/>
          <w:bCs/>
          <w:sz w:val="28"/>
          <w:szCs w:val="28"/>
          <w:lang w:val="en-GB"/>
        </w:rPr>
        <w:t xml:space="preserve"> </w:t>
      </w:r>
      <w:r w:rsidR="00C956C2" w:rsidRPr="00FA491C">
        <w:rPr>
          <w:b/>
          <w:bCs/>
          <w:sz w:val="28"/>
          <w:szCs w:val="28"/>
          <w:lang w:val="en-GB"/>
        </w:rPr>
        <w:t>Introduction</w:t>
      </w:r>
    </w:p>
    <w:p w14:paraId="3031471F" w14:textId="77777777" w:rsidR="00D65E8F" w:rsidRPr="00FA491C" w:rsidRDefault="00D65E8F">
      <w:pPr>
        <w:jc w:val="both"/>
        <w:rPr>
          <w:b/>
          <w:bCs/>
          <w:lang w:val="en-GB"/>
        </w:rPr>
      </w:pPr>
    </w:p>
    <w:p w14:paraId="6D824334" w14:textId="48B70C69" w:rsidR="004A365D" w:rsidRPr="00FA491C" w:rsidRDefault="004A365D" w:rsidP="004A365D">
      <w:pPr>
        <w:spacing w:before="120"/>
        <w:jc w:val="both"/>
        <w:rPr>
          <w:lang w:val="en-GB"/>
        </w:rPr>
      </w:pPr>
      <w:r w:rsidRPr="00FA491C">
        <w:rPr>
          <w:lang w:val="en-GB"/>
        </w:rPr>
        <w:t xml:space="preserve">The recent crisis and recession in Europe, which is still strongly expressed in EU and especially in Croatia, actualizes the problem of poverty and all other social problems. The scientific and professional community deal with different aspects and consequences of poverty and financial problems. So, Ware (2015) analysed the actual problems like debt, poverty and personal </w:t>
      </w:r>
      <w:r w:rsidRPr="00FA491C">
        <w:rPr>
          <w:lang w:val="en-GB"/>
        </w:rPr>
        <w:lastRenderedPageBreak/>
        <w:t xml:space="preserve">financial distress from the theoretical point of view with their clear definitions. Barton, </w:t>
      </w:r>
      <w:proofErr w:type="spellStart"/>
      <w:r w:rsidRPr="00FA491C">
        <w:rPr>
          <w:lang w:val="en-GB"/>
        </w:rPr>
        <w:t>Futris</w:t>
      </w:r>
      <w:proofErr w:type="spellEnd"/>
      <w:r w:rsidRPr="00FA491C">
        <w:rPr>
          <w:lang w:val="en-GB"/>
        </w:rPr>
        <w:t xml:space="preserve"> and Nielsen (2015) studied how financial distress and marital quality are correlated. Starkey et al. (2013) explored the impact of financial distress on depressive symptoms among African American Women. McNair et al. (2016) investigated the individual-level factors in predicting consumer financial behaviour at a time of high pressure. </w:t>
      </w:r>
      <w:proofErr w:type="spellStart"/>
      <w:r w:rsidRPr="00FA491C">
        <w:rPr>
          <w:lang w:val="en-GB"/>
        </w:rPr>
        <w:t>Jonsson</w:t>
      </w:r>
      <w:proofErr w:type="spellEnd"/>
      <w:r w:rsidRPr="00FA491C">
        <w:rPr>
          <w:lang w:val="en-GB"/>
        </w:rPr>
        <w:t xml:space="preserve">, Mood and </w:t>
      </w:r>
      <w:proofErr w:type="spellStart"/>
      <w:r w:rsidRPr="00FA491C">
        <w:rPr>
          <w:lang w:val="en-GB"/>
        </w:rPr>
        <w:t>Bihagen</w:t>
      </w:r>
      <w:proofErr w:type="spellEnd"/>
      <w:r w:rsidRPr="00FA491C">
        <w:rPr>
          <w:lang w:val="en-GB"/>
        </w:rPr>
        <w:t xml:space="preserve"> (2016) analysed poverty trends during two recessions and two recoveries 1991–2013. They concluded that recessions can generally be expected to suppress real incomes and increase poverty measured using a fixed poverty line, while effects on inequality and relative income poverty are more ambiguous, both theoretically and empirically. Different national economies made different reactions and different intensity on recession trend. </w:t>
      </w:r>
      <w:proofErr w:type="spellStart"/>
      <w:r w:rsidRPr="00FA491C">
        <w:rPr>
          <w:lang w:val="en-GB"/>
        </w:rPr>
        <w:t>Cotsomitis</w:t>
      </w:r>
      <w:proofErr w:type="spellEnd"/>
      <w:r w:rsidRPr="00FA491C">
        <w:rPr>
          <w:lang w:val="en-GB"/>
        </w:rPr>
        <w:t xml:space="preserve">, Andy and Kwan (2006) made a first formal attempt to examine the ability of consumer confidence to forecast household spending within a multicounty framework, using CS data. Klein and </w:t>
      </w:r>
      <w:proofErr w:type="spellStart"/>
      <w:r w:rsidRPr="00FA491C">
        <w:rPr>
          <w:lang w:val="en-GB"/>
        </w:rPr>
        <w:t>Özmucur</w:t>
      </w:r>
      <w:proofErr w:type="spellEnd"/>
      <w:r w:rsidRPr="00FA491C">
        <w:rPr>
          <w:lang w:val="en-GB"/>
        </w:rPr>
        <w:t xml:space="preserve"> (2010) suggested that it may be better for researchers to use not just the headline index, but expectations or other </w:t>
      </w:r>
      <w:r w:rsidR="00386950">
        <w:rPr>
          <w:lang w:val="en-GB"/>
        </w:rPr>
        <w:t>i</w:t>
      </w:r>
      <w:r w:rsidRPr="00FA491C">
        <w:rPr>
          <w:lang w:val="en-GB"/>
        </w:rPr>
        <w:t xml:space="preserve">ndicators derived from </w:t>
      </w:r>
      <w:r w:rsidR="00F861A9">
        <w:rPr>
          <w:lang w:val="en-GB"/>
        </w:rPr>
        <w:t>Business and Consumer survey</w:t>
      </w:r>
      <w:r w:rsidRPr="00FA491C">
        <w:rPr>
          <w:lang w:val="en-GB"/>
        </w:rPr>
        <w:t xml:space="preserve"> </w:t>
      </w:r>
      <w:r w:rsidR="006A1C42">
        <w:rPr>
          <w:lang w:val="en-GB"/>
        </w:rPr>
        <w:t xml:space="preserve">(BCS) </w:t>
      </w:r>
      <w:r w:rsidRPr="00FA491C">
        <w:rPr>
          <w:lang w:val="en-GB"/>
        </w:rPr>
        <w:t>if they wish to better predict referent macroeconomic variables.</w:t>
      </w:r>
    </w:p>
    <w:p w14:paraId="5FA3EB31" w14:textId="46255BAC" w:rsidR="004A365D" w:rsidRPr="00FA491C" w:rsidRDefault="004A365D" w:rsidP="004A365D">
      <w:pPr>
        <w:spacing w:before="120"/>
        <w:jc w:val="both"/>
        <w:rPr>
          <w:lang w:val="en-GB"/>
        </w:rPr>
      </w:pPr>
      <w:r w:rsidRPr="00FA491C">
        <w:rPr>
          <w:lang w:val="en-GB"/>
        </w:rPr>
        <w:t>It is well known that the poverty is highly correlated with the quality of life. So, in 2003</w:t>
      </w:r>
      <w:r w:rsidR="00386950">
        <w:rPr>
          <w:lang w:val="en-GB"/>
        </w:rPr>
        <w:t>, following the</w:t>
      </w:r>
      <w:r w:rsidR="00F861A9">
        <w:rPr>
          <w:lang w:val="en-GB"/>
        </w:rPr>
        <w:t xml:space="preserve"> </w:t>
      </w:r>
      <w:hyperlink r:id="rId10" w:history="1">
        <w:r w:rsidR="00F861A9" w:rsidRPr="00F861A9">
          <w:rPr>
            <w:lang w:val="en-GB"/>
          </w:rPr>
          <w:t>Eurostat</w:t>
        </w:r>
      </w:hyperlink>
      <w:r w:rsidR="00386950">
        <w:rPr>
          <w:lang w:val="en-GB"/>
        </w:rPr>
        <w:t xml:space="preserve"> </w:t>
      </w:r>
      <w:r w:rsidR="007567D4">
        <w:rPr>
          <w:lang w:val="en-GB"/>
        </w:rPr>
        <w:t>initiation</w:t>
      </w:r>
      <w:r w:rsidR="00F861A9" w:rsidRPr="00F861A9">
        <w:rPr>
          <w:lang w:val="en-GB"/>
        </w:rPr>
        <w:t xml:space="preserve">, six EU Member States (Austria, Belgium, Denmark, Greece, Ireland, </w:t>
      </w:r>
      <w:proofErr w:type="gramStart"/>
      <w:r w:rsidR="00F861A9" w:rsidRPr="00F861A9">
        <w:rPr>
          <w:lang w:val="en-GB"/>
        </w:rPr>
        <w:t>Luxembourg</w:t>
      </w:r>
      <w:proofErr w:type="gramEnd"/>
      <w:r w:rsidR="00F861A9" w:rsidRPr="00F861A9">
        <w:rPr>
          <w:lang w:val="en-GB"/>
        </w:rPr>
        <w:t>) and Norway have</w:t>
      </w:r>
      <w:r w:rsidRPr="00FA491C">
        <w:rPr>
          <w:lang w:val="en-GB"/>
        </w:rPr>
        <w:t xml:space="preserve"> established the EU Statistics on Income and Living Conditions (EU-SILC) project, with the aim to quantify the poverty levels and social problems in individual EU countries. EU-SILC project started in 2004 in EU-15 (except </w:t>
      </w:r>
      <w:r w:rsidR="00E5223C">
        <w:rPr>
          <w:lang w:val="en-GB"/>
        </w:rPr>
        <w:t xml:space="preserve">in </w:t>
      </w:r>
      <w:r w:rsidRPr="00FA491C">
        <w:rPr>
          <w:lang w:val="en-GB"/>
        </w:rPr>
        <w:t>Germany, the Netherlands and the United Kingdom),</w:t>
      </w:r>
      <w:r w:rsidR="008F1BF3">
        <w:rPr>
          <w:lang w:val="en-GB"/>
        </w:rPr>
        <w:t xml:space="preserve"> </w:t>
      </w:r>
      <w:r w:rsidR="00E5223C">
        <w:rPr>
          <w:lang w:val="en-GB"/>
        </w:rPr>
        <w:t>in</w:t>
      </w:r>
      <w:r w:rsidRPr="00FA491C">
        <w:rPr>
          <w:lang w:val="en-GB"/>
        </w:rPr>
        <w:t xml:space="preserve"> Estonia, Norway and Iceland. Since 2005, the new EU-SILC covers European Union member states and several non-EU </w:t>
      </w:r>
      <w:r w:rsidRPr="002E7312">
        <w:rPr>
          <w:lang w:val="en-GB"/>
        </w:rPr>
        <w:t>countries</w:t>
      </w:r>
      <w:r w:rsidR="008F1BF3" w:rsidRPr="002E7312">
        <w:rPr>
          <w:lang w:val="en-GB"/>
        </w:rPr>
        <w:t xml:space="preserve"> [6</w:t>
      </w:r>
      <w:r w:rsidR="002E7312" w:rsidRPr="002E7312">
        <w:rPr>
          <w:lang w:val="en-GB"/>
        </w:rPr>
        <w:t>]</w:t>
      </w:r>
      <w:r w:rsidRPr="002E7312">
        <w:rPr>
          <w:lang w:val="en-GB"/>
        </w:rPr>
        <w:t>.</w:t>
      </w:r>
      <w:r w:rsidRPr="00FA491C">
        <w:rPr>
          <w:lang w:val="en-GB"/>
        </w:rPr>
        <w:t xml:space="preserve"> EU-SILC is a source for comparative statistics on income, poverty, social exclusion, housing conditions, labour, education, health and other living conditions in EU. The survey </w:t>
      </w:r>
      <w:r w:rsidR="00E5223C">
        <w:rPr>
          <w:lang w:val="en-GB"/>
        </w:rPr>
        <w:t xml:space="preserve">is </w:t>
      </w:r>
      <w:r w:rsidRPr="00FA491C">
        <w:rPr>
          <w:lang w:val="en-GB"/>
        </w:rPr>
        <w:t xml:space="preserve">organized as a cross-sectional and longitudinal sample survey, coordinated by Eurostat </w:t>
      </w:r>
      <w:r w:rsidR="002E7312">
        <w:rPr>
          <w:lang w:val="en-GB"/>
        </w:rPr>
        <w:t>[2]</w:t>
      </w:r>
      <w:r w:rsidRPr="00FA491C">
        <w:rPr>
          <w:lang w:val="en-GB"/>
        </w:rPr>
        <w:t>.</w:t>
      </w:r>
    </w:p>
    <w:p w14:paraId="07E4F4F5" w14:textId="0040D5C7" w:rsidR="00F861A9" w:rsidRPr="006B1576" w:rsidRDefault="00F861A9" w:rsidP="00F861A9">
      <w:pPr>
        <w:spacing w:before="120"/>
        <w:jc w:val="both"/>
        <w:rPr>
          <w:lang w:val="en-GB"/>
        </w:rPr>
      </w:pPr>
      <w:r w:rsidRPr="00FA491C">
        <w:rPr>
          <w:lang w:val="en-GB"/>
        </w:rPr>
        <w:t xml:space="preserve">In the light of creating new measures which expressed households’ financial distress, CS </w:t>
      </w:r>
      <w:r w:rsidRPr="006B1576">
        <w:rPr>
          <w:lang w:val="en-GB"/>
        </w:rPr>
        <w:t>results were analysed. Namely, CS offer</w:t>
      </w:r>
      <w:r w:rsidR="00E5223C">
        <w:rPr>
          <w:lang w:val="en-GB"/>
        </w:rPr>
        <w:t>s</w:t>
      </w:r>
      <w:r w:rsidRPr="006B1576">
        <w:rPr>
          <w:lang w:val="en-GB"/>
        </w:rPr>
        <w:t xml:space="preserve"> direct assessment of the otherwise intangible factors such as consumers’ perceptions and expectations. They measure the </w:t>
      </w:r>
      <w:r w:rsidR="005D3CC8" w:rsidRPr="006B1576">
        <w:rPr>
          <w:lang w:val="en-GB"/>
        </w:rPr>
        <w:t xml:space="preserve">consumers’ </w:t>
      </w:r>
      <w:r w:rsidRPr="006B1576">
        <w:rPr>
          <w:lang w:val="en-GB"/>
        </w:rPr>
        <w:t xml:space="preserve">willingness to consume/invest/save, as opposed to their ability to do the same. Hence these psychological factors are crucial to understand the underlying market forces and </w:t>
      </w:r>
      <w:r w:rsidR="005D3CC8" w:rsidRPr="006B1576">
        <w:rPr>
          <w:lang w:val="en-GB"/>
        </w:rPr>
        <w:t xml:space="preserve">consumers’ </w:t>
      </w:r>
      <w:r w:rsidRPr="006B1576">
        <w:rPr>
          <w:lang w:val="en-GB"/>
        </w:rPr>
        <w:t xml:space="preserve">behaviour. </w:t>
      </w:r>
    </w:p>
    <w:p w14:paraId="7596190B" w14:textId="60BA269A" w:rsidR="00F861A9" w:rsidRPr="006B1576" w:rsidRDefault="00F861A9" w:rsidP="00F861A9">
      <w:pPr>
        <w:spacing w:before="120"/>
        <w:jc w:val="both"/>
        <w:rPr>
          <w:lang w:val="en-GB"/>
        </w:rPr>
      </w:pPr>
      <w:r w:rsidRPr="006B1576">
        <w:rPr>
          <w:lang w:val="en-GB"/>
        </w:rPr>
        <w:t>The harmonised CS results and EU-SILC data are available at the webpages: European Commission webpage and at the Eurostat webpage</w:t>
      </w:r>
      <w:r w:rsidR="006B1576" w:rsidRPr="006B1576">
        <w:rPr>
          <w:lang w:val="en-GB"/>
        </w:rPr>
        <w:t>.</w:t>
      </w:r>
    </w:p>
    <w:p w14:paraId="2E82B1C2" w14:textId="77777777" w:rsidR="00FA491C" w:rsidRPr="006B1576" w:rsidRDefault="00FA491C" w:rsidP="004A365D">
      <w:pPr>
        <w:spacing w:before="120"/>
        <w:jc w:val="both"/>
        <w:rPr>
          <w:lang w:val="en-GB"/>
        </w:rPr>
      </w:pPr>
    </w:p>
    <w:p w14:paraId="43100550" w14:textId="77777777" w:rsidR="006D6858" w:rsidRPr="00FA491C" w:rsidRDefault="006D6858" w:rsidP="006D6858">
      <w:pPr>
        <w:autoSpaceDE w:val="0"/>
        <w:autoSpaceDN w:val="0"/>
        <w:adjustRightInd w:val="0"/>
        <w:rPr>
          <w:b/>
          <w:sz w:val="28"/>
          <w:szCs w:val="28"/>
          <w:lang w:val="en-GB" w:eastAsia="hr-HR"/>
        </w:rPr>
      </w:pPr>
      <w:r w:rsidRPr="00FA491C">
        <w:rPr>
          <w:b/>
          <w:sz w:val="28"/>
          <w:szCs w:val="28"/>
          <w:lang w:val="en-GB" w:eastAsia="hr-HR"/>
        </w:rPr>
        <w:t xml:space="preserve">2. </w:t>
      </w:r>
      <w:r w:rsidR="00E0159C" w:rsidRPr="00FA491C">
        <w:rPr>
          <w:b/>
          <w:sz w:val="28"/>
          <w:szCs w:val="28"/>
          <w:lang w:val="en-GB" w:eastAsia="hr-HR"/>
        </w:rPr>
        <w:t>Consumer Surveys (CS) and EU Statistics on Income and Living Conditions (EU-SILC)</w:t>
      </w:r>
    </w:p>
    <w:p w14:paraId="58A8A86D" w14:textId="77777777" w:rsidR="006D6858" w:rsidRPr="00FA491C" w:rsidRDefault="006D6858" w:rsidP="006D6858">
      <w:pPr>
        <w:autoSpaceDE w:val="0"/>
        <w:autoSpaceDN w:val="0"/>
        <w:adjustRightInd w:val="0"/>
        <w:rPr>
          <w:sz w:val="22"/>
          <w:szCs w:val="22"/>
          <w:lang w:val="en-GB" w:eastAsia="hr-HR"/>
        </w:rPr>
      </w:pPr>
    </w:p>
    <w:p w14:paraId="595239AF" w14:textId="1B16F90F" w:rsidR="00FA491C" w:rsidRPr="00FA491C" w:rsidRDefault="00FA491C" w:rsidP="00FA491C">
      <w:pPr>
        <w:jc w:val="both"/>
        <w:rPr>
          <w:lang w:val="en-GB"/>
        </w:rPr>
      </w:pPr>
      <w:r w:rsidRPr="00FA491C">
        <w:rPr>
          <w:lang w:val="en-GB"/>
        </w:rPr>
        <w:t xml:space="preserve">CS is a part of harmonised EU </w:t>
      </w:r>
      <w:r w:rsidR="0033316B">
        <w:rPr>
          <w:lang w:val="en-GB"/>
        </w:rPr>
        <w:t>Business and Consumer survey</w:t>
      </w:r>
      <w:r w:rsidR="00E5223C">
        <w:rPr>
          <w:lang w:val="en-GB"/>
        </w:rPr>
        <w:t>s</w:t>
      </w:r>
      <w:r w:rsidR="007567D4">
        <w:rPr>
          <w:lang w:val="en-GB"/>
        </w:rPr>
        <w:t xml:space="preserve"> (BCS)</w:t>
      </w:r>
      <w:r w:rsidRPr="00FA491C">
        <w:rPr>
          <w:lang w:val="en-GB"/>
        </w:rPr>
        <w:t xml:space="preserve">. BCS as qualitative monthly surveys are being conducted in five sectors: manufacturing industry, services, construction and retail trade, as well as for consumers. Surveys provide managers’ and consumers´ assessments, explanations and expectations of key economic variables. Some of </w:t>
      </w:r>
      <w:r w:rsidR="00E5223C">
        <w:rPr>
          <w:lang w:val="en-GB"/>
        </w:rPr>
        <w:t xml:space="preserve">the </w:t>
      </w:r>
      <w:r w:rsidRPr="00FA491C">
        <w:rPr>
          <w:lang w:val="en-GB"/>
        </w:rPr>
        <w:t>variables included in Business survey (BS) are: production level, selling prices, stocks of finished products, factors limiting production, order books, export order books, capacity utilisation, firm’s employment, competitive position at the domestic market and at the EU markets etc. Variables included in CS are: consumers’ financial situation, general economic situation, consumer prices, unemployment, major purchases of durable consumer goods, savings, savings intentions etc.</w:t>
      </w:r>
    </w:p>
    <w:p w14:paraId="67B0EA07" w14:textId="129A9B5B" w:rsidR="008A70F5" w:rsidRDefault="00FA491C" w:rsidP="00FA491C">
      <w:pPr>
        <w:jc w:val="both"/>
        <w:rPr>
          <w:lang w:val="en-GB"/>
        </w:rPr>
      </w:pPr>
      <w:r w:rsidRPr="00FA491C">
        <w:rPr>
          <w:lang w:val="en-GB"/>
        </w:rPr>
        <w:t xml:space="preserve">The European Commission has defined </w:t>
      </w:r>
      <w:r w:rsidRPr="00FA491C">
        <w:rPr>
          <w:i/>
          <w:iCs/>
          <w:lang w:val="en-GB"/>
        </w:rPr>
        <w:t>The Joint Harmonized EU Programme of Business and Consumer Surveys</w:t>
      </w:r>
      <w:r w:rsidRPr="00FA491C">
        <w:rPr>
          <w:lang w:val="en-GB"/>
        </w:rPr>
        <w:t xml:space="preserve">, to fully synchronize BCS on the EU level. This programme was launched </w:t>
      </w:r>
      <w:r w:rsidRPr="00FA491C">
        <w:rPr>
          <w:lang w:val="en-GB"/>
        </w:rPr>
        <w:lastRenderedPageBreak/>
        <w:t xml:space="preserve">by the European Commission decision of 15 November 1961, and was modified through the subsequent Council and Commission decisions. The first survey was the harmonised business survey in the manufacturing industry, conducted in 1962. After that, the BCS programme was extended to other sectors. CS were included in Program in 1972. Now (July 2016) </w:t>
      </w:r>
      <w:r w:rsidRPr="00FA491C">
        <w:rPr>
          <w:i/>
          <w:lang w:val="en-GB"/>
        </w:rPr>
        <w:t>The Joint Harmonised EU Programme</w:t>
      </w:r>
      <w:r w:rsidRPr="00FA491C">
        <w:rPr>
          <w:lang w:val="en-GB"/>
        </w:rPr>
        <w:t xml:space="preserve"> includes all 28 EU Member States and </w:t>
      </w:r>
      <w:r w:rsidR="008A70F5">
        <w:rPr>
          <w:lang w:val="en-GB"/>
        </w:rPr>
        <w:t>f</w:t>
      </w:r>
      <w:r w:rsidRPr="00FA491C">
        <w:rPr>
          <w:lang w:val="en-GB"/>
        </w:rPr>
        <w:t xml:space="preserve">ive candidate countries: Albania, Montenegro, The Former Yugoslav Republic of Macedonia, Turkey and Serbia </w:t>
      </w:r>
      <w:r w:rsidR="009D1533">
        <w:rPr>
          <w:lang w:val="en-GB"/>
        </w:rPr>
        <w:t>[4]</w:t>
      </w:r>
    </w:p>
    <w:p w14:paraId="4B7FF450" w14:textId="77777777" w:rsidR="008A70F5" w:rsidRDefault="00FA491C" w:rsidP="008A70F5">
      <w:pPr>
        <w:jc w:val="both"/>
        <w:rPr>
          <w:lang w:val="en-GB"/>
        </w:rPr>
      </w:pPr>
      <w:r w:rsidRPr="00FA491C">
        <w:rPr>
          <w:lang w:val="en-GB"/>
        </w:rPr>
        <w:t>CS is, in essence, a qualitative monthly (or quarterly) survey. Questions (variables) are dominantly of qualitative natures. The questionnaire has fifteen questions: 12 monthly questions and 3 quarterly questions. The stratified sample with a random choice is usually used for the survey sampling. The answers in CS have four, five or six options.</w:t>
      </w:r>
    </w:p>
    <w:p w14:paraId="3C9BB76C" w14:textId="402F971E" w:rsidR="008A70F5" w:rsidRDefault="00FA491C" w:rsidP="008A70F5">
      <w:pPr>
        <w:jc w:val="both"/>
        <w:rPr>
          <w:rFonts w:eastAsia="TimesNewRoman"/>
          <w:lang w:val="en-GB"/>
        </w:rPr>
      </w:pPr>
      <w:r w:rsidRPr="00FA491C">
        <w:rPr>
          <w:rFonts w:eastAsia="TimesNewRoman"/>
          <w:lang w:val="en-GB"/>
        </w:rPr>
        <w:t xml:space="preserve">Answers obtained from the survey are aggregated in the form of </w:t>
      </w:r>
      <w:r w:rsidRPr="00FA491C">
        <w:rPr>
          <w:rFonts w:eastAsia="TimesNewRoman"/>
          <w:i/>
          <w:lang w:val="en-GB"/>
        </w:rPr>
        <w:t>balance</w:t>
      </w:r>
      <w:r w:rsidRPr="00FA491C">
        <w:rPr>
          <w:rFonts w:eastAsia="TimesNewRoman"/>
          <w:lang w:val="en-GB"/>
        </w:rPr>
        <w:t xml:space="preserve">. Balance is a difference between the percentage of respondents giving positive and negative answers </w:t>
      </w:r>
      <w:r w:rsidR="00784A02">
        <w:rPr>
          <w:rFonts w:eastAsia="TimesNewRoman"/>
          <w:lang w:val="en-GB"/>
        </w:rPr>
        <w:t>[5]</w:t>
      </w:r>
      <w:r w:rsidRPr="00FA491C">
        <w:rPr>
          <w:rFonts w:eastAsia="TimesNewRoman"/>
          <w:lang w:val="en-GB"/>
        </w:rPr>
        <w:t>. So, if a question has three alternative options: positive (up, more, more than sufficient, good, to large, increase, improve etc.), neutral (unchanged, as much, sufficient, satisfactory, adequate, etc.) and negative (down, less, not sufficient, too small, decline, etc.), then P, E and M (with P+E+M=100) denote the percentages of respondents having chosen respectively the option positive, neutral, and negative. Then, the balance is B = P – M.</w:t>
      </w:r>
    </w:p>
    <w:p w14:paraId="00A08D4A" w14:textId="5A14C7A4" w:rsidR="00FA491C" w:rsidRPr="00FA491C" w:rsidRDefault="00FA491C" w:rsidP="008A70F5">
      <w:pPr>
        <w:jc w:val="both"/>
        <w:rPr>
          <w:lang w:val="en-GB"/>
        </w:rPr>
      </w:pPr>
      <w:r w:rsidRPr="00FA491C">
        <w:rPr>
          <w:rFonts w:eastAsia="TimesNewRoman"/>
          <w:lang w:val="en-GB"/>
        </w:rPr>
        <w:t>If questions have six alternative options (most useful in consumer survey): positive, neutral and negative, and in addition:  very positive (very much higher, increase sharply etc.), very negative (very unfavourable, fall sharply, etc.) and</w:t>
      </w:r>
      <w:r w:rsidR="005D3CC8">
        <w:rPr>
          <w:rFonts w:eastAsia="TimesNewRoman"/>
          <w:lang w:val="en-GB"/>
        </w:rPr>
        <w:t xml:space="preserve"> </w:t>
      </w:r>
      <w:r w:rsidRPr="00FA491C">
        <w:rPr>
          <w:rFonts w:eastAsia="TimesNewRoman"/>
          <w:lang w:val="en-GB"/>
        </w:rPr>
        <w:t xml:space="preserve">don’t know, the balance is calculated as a weighted average. If P, E and M are the same as mentioned above, while PP denotes the percentage of respondents having chosen the option </w:t>
      </w:r>
      <w:r w:rsidRPr="00E11EF5">
        <w:rPr>
          <w:rFonts w:eastAsia="TimesNewRoman"/>
          <w:lang w:val="en-GB"/>
        </w:rPr>
        <w:t>very positive</w:t>
      </w:r>
      <w:r w:rsidRPr="00FA491C">
        <w:rPr>
          <w:rFonts w:eastAsia="TimesNewRoman"/>
          <w:lang w:val="en-GB"/>
        </w:rPr>
        <w:t xml:space="preserve">, MM the percentage of respondents having chosen the option </w:t>
      </w:r>
      <w:r w:rsidRPr="00E11EF5">
        <w:rPr>
          <w:rFonts w:eastAsia="TimesNewRoman"/>
          <w:lang w:val="en-GB"/>
        </w:rPr>
        <w:t>very negative</w:t>
      </w:r>
      <w:r w:rsidRPr="00784A02">
        <w:rPr>
          <w:rFonts w:eastAsia="TimesNewRoman"/>
          <w:lang w:val="en-GB"/>
        </w:rPr>
        <w:t xml:space="preserve"> </w:t>
      </w:r>
      <w:r w:rsidRPr="00FA491C">
        <w:rPr>
          <w:rFonts w:eastAsia="TimesNewRoman"/>
          <w:lang w:val="en-GB"/>
        </w:rPr>
        <w:t xml:space="preserve">and N is the percentage of respondents without any opinion (PP+P+E+M+MM+N=100), balance is calculated as B = (PP + ½P) − (½M + MM). After that, seasonally adjusted balances (for all variables of interest in survey) are used to calculate the composite confidence indicators. These indicators are produced to reflect overall perceptions and expectations at the individual sector level and on the level of consumers in a one-dimensional index. In accordance with </w:t>
      </w:r>
      <w:r w:rsidRPr="00E11EF5">
        <w:rPr>
          <w:iCs/>
          <w:lang w:val="en-GB"/>
        </w:rPr>
        <w:t>The Joint Harmonized EU Programme of Business and Consumer Surveys</w:t>
      </w:r>
      <w:r w:rsidR="00957D9E">
        <w:rPr>
          <w:i/>
          <w:iCs/>
          <w:lang w:val="en-GB"/>
        </w:rPr>
        <w:t>,</w:t>
      </w:r>
      <w:r w:rsidRPr="00FA491C">
        <w:rPr>
          <w:rFonts w:eastAsia="TimesNewRoman"/>
          <w:lang w:val="en-GB"/>
        </w:rPr>
        <w:t xml:space="preserve"> confidence indicators are calculated using the unique methodology. These indicators</w:t>
      </w:r>
      <w:r w:rsidRPr="00FA491C">
        <w:rPr>
          <w:lang w:val="en-GB"/>
        </w:rPr>
        <w:t xml:space="preserve"> are simple arithmetic averages of the (seasonally adjusted) balances of answers</w:t>
      </w:r>
      <w:r w:rsidR="00957D9E">
        <w:rPr>
          <w:lang w:val="en-GB"/>
        </w:rPr>
        <w:t xml:space="preserve"> </w:t>
      </w:r>
      <w:r w:rsidR="00957D9E" w:rsidRPr="00FA491C">
        <w:rPr>
          <w:lang w:val="en-GB"/>
        </w:rPr>
        <w:t>(in percentage points)</w:t>
      </w:r>
      <w:r w:rsidRPr="00FA491C">
        <w:rPr>
          <w:lang w:val="en-GB"/>
        </w:rPr>
        <w:t xml:space="preserve"> to the selected questions (variables). The choice of variables was conducted by the aim of achieving an as high as possible, coincident correlation of the confidence indicator with a reference series. </w:t>
      </w:r>
    </w:p>
    <w:p w14:paraId="2A590FCC" w14:textId="3CE97696" w:rsidR="00FA491C" w:rsidRPr="00FA491C" w:rsidRDefault="00FA491C" w:rsidP="00FA491C">
      <w:pPr>
        <w:autoSpaceDE w:val="0"/>
        <w:autoSpaceDN w:val="0"/>
        <w:adjustRightInd w:val="0"/>
        <w:jc w:val="both"/>
        <w:rPr>
          <w:rFonts w:eastAsia="TimesNewRoman"/>
          <w:lang w:val="en-GB"/>
        </w:rPr>
      </w:pPr>
      <w:r w:rsidRPr="00FA491C">
        <w:rPr>
          <w:lang w:val="en-GB"/>
        </w:rPr>
        <w:t xml:space="preserve">The goal of CS is to collect information on households’ spending and savings intentions and to assess their perception of the factors influencing these decisions. Thus the Consumer Confidence Indicator (CCI) includes four variables (derived from CS): the financial situation of households, the general economic situation, unemployment expectations (with an inverted sign) and savings, all over the next 12 months </w:t>
      </w:r>
      <w:r w:rsidR="00784A02">
        <w:rPr>
          <w:lang w:val="en-GB"/>
        </w:rPr>
        <w:t>[4]</w:t>
      </w:r>
      <w:r w:rsidRPr="00FA491C">
        <w:rPr>
          <w:lang w:val="en-GB"/>
        </w:rPr>
        <w:t xml:space="preserve">. The referent series for CCI is private consumption (expressed as y-o-y percentage growth rate). </w:t>
      </w:r>
    </w:p>
    <w:p w14:paraId="69D97262" w14:textId="1DB21E46" w:rsidR="008A70F5" w:rsidRDefault="00FA491C" w:rsidP="008A70F5">
      <w:pPr>
        <w:autoSpaceDE w:val="0"/>
        <w:autoSpaceDN w:val="0"/>
        <w:adjustRightInd w:val="0"/>
        <w:jc w:val="both"/>
        <w:rPr>
          <w:rFonts w:eastAsia="TimesNewRoman"/>
          <w:lang w:val="en-GB"/>
        </w:rPr>
      </w:pPr>
      <w:r w:rsidRPr="00FA491C">
        <w:rPr>
          <w:rFonts w:eastAsia="TimesNewRoman"/>
          <w:lang w:val="en-GB"/>
        </w:rPr>
        <w:t xml:space="preserve">Furthermore, more complex quantification methods were developed. </w:t>
      </w:r>
      <w:proofErr w:type="spellStart"/>
      <w:r w:rsidRPr="00FA491C">
        <w:rPr>
          <w:rFonts w:eastAsia="TimesNewRoman"/>
          <w:lang w:val="en-GB"/>
        </w:rPr>
        <w:t>Nardo</w:t>
      </w:r>
      <w:proofErr w:type="spellEnd"/>
      <w:r w:rsidRPr="00FA491C">
        <w:rPr>
          <w:rFonts w:eastAsia="TimesNewRoman"/>
          <w:lang w:val="en-GB"/>
        </w:rPr>
        <w:t xml:space="preserve"> (2003) gave a critical review of the different quantification methods, while </w:t>
      </w:r>
      <w:proofErr w:type="spellStart"/>
      <w:r w:rsidRPr="00FA491C">
        <w:rPr>
          <w:rFonts w:eastAsia="TimesNewRoman"/>
          <w:lang w:val="en-GB"/>
        </w:rPr>
        <w:t>Goldrian</w:t>
      </w:r>
      <w:proofErr w:type="spellEnd"/>
      <w:r w:rsidRPr="00FA491C">
        <w:rPr>
          <w:rFonts w:eastAsia="TimesNewRoman"/>
          <w:lang w:val="en-GB"/>
        </w:rPr>
        <w:t xml:space="preserve">, </w:t>
      </w:r>
      <w:proofErr w:type="spellStart"/>
      <w:r w:rsidRPr="00FA491C">
        <w:rPr>
          <w:rFonts w:eastAsia="TimesNewRoman"/>
          <w:lang w:val="en-GB"/>
        </w:rPr>
        <w:t>Lindlbauer</w:t>
      </w:r>
      <w:proofErr w:type="spellEnd"/>
      <w:r w:rsidRPr="00FA491C">
        <w:rPr>
          <w:rFonts w:eastAsia="TimesNewRoman"/>
          <w:lang w:val="en-GB"/>
        </w:rPr>
        <w:t xml:space="preserve"> and </w:t>
      </w:r>
      <w:proofErr w:type="spellStart"/>
      <w:r w:rsidRPr="00FA491C">
        <w:rPr>
          <w:rFonts w:eastAsia="TimesNewRoman"/>
          <w:lang w:val="en-GB"/>
        </w:rPr>
        <w:t>Nerb</w:t>
      </w:r>
      <w:r w:rsidR="00957D9E">
        <w:rPr>
          <w:rFonts w:eastAsia="TimesNewRoman"/>
          <w:lang w:val="en-GB"/>
        </w:rPr>
        <w:t>’s</w:t>
      </w:r>
      <w:proofErr w:type="spellEnd"/>
      <w:r w:rsidRPr="00FA491C">
        <w:rPr>
          <w:rFonts w:eastAsia="TimesNewRoman"/>
          <w:lang w:val="en-GB"/>
        </w:rPr>
        <w:t xml:space="preserve"> (2001) mot</w:t>
      </w:r>
      <w:r w:rsidR="00957D9E">
        <w:rPr>
          <w:rFonts w:eastAsia="TimesNewRoman"/>
          <w:lang w:val="en-GB"/>
        </w:rPr>
        <w:t>t</w:t>
      </w:r>
      <w:r w:rsidRPr="00FA491C">
        <w:rPr>
          <w:rFonts w:eastAsia="TimesNewRoman"/>
          <w:lang w:val="en-GB"/>
        </w:rPr>
        <w:t>o is that there is no general construction principle for a perfect composite leading indicator. New approache</w:t>
      </w:r>
      <w:r w:rsidR="008A70F5">
        <w:rPr>
          <w:rFonts w:eastAsia="TimesNewRoman"/>
          <w:lang w:val="en-GB"/>
        </w:rPr>
        <w:t>s and applications are welcome.</w:t>
      </w:r>
    </w:p>
    <w:p w14:paraId="6E936A3D" w14:textId="0597A8BD" w:rsidR="00FA491C" w:rsidRPr="00FA491C" w:rsidRDefault="00FA491C" w:rsidP="008A70F5">
      <w:pPr>
        <w:autoSpaceDE w:val="0"/>
        <w:autoSpaceDN w:val="0"/>
        <w:adjustRightInd w:val="0"/>
        <w:jc w:val="both"/>
        <w:rPr>
          <w:lang w:val="en-GB"/>
        </w:rPr>
      </w:pPr>
      <w:r w:rsidRPr="00FA491C">
        <w:rPr>
          <w:lang w:val="en-GB"/>
        </w:rPr>
        <w:t>EU-SILC data</w:t>
      </w:r>
      <w:r w:rsidR="00784A02">
        <w:rPr>
          <w:lang w:val="en-GB"/>
        </w:rPr>
        <w:t>,</w:t>
      </w:r>
      <w:r w:rsidRPr="00FA491C">
        <w:rPr>
          <w:lang w:val="en-GB"/>
        </w:rPr>
        <w:t xml:space="preserve"> available at the Eurostat webpage, </w:t>
      </w:r>
      <w:r w:rsidR="00784A02">
        <w:rPr>
          <w:lang w:val="en-GB"/>
        </w:rPr>
        <w:t xml:space="preserve">is </w:t>
      </w:r>
      <w:r w:rsidRPr="00FA491C">
        <w:rPr>
          <w:lang w:val="en-GB"/>
        </w:rPr>
        <w:t xml:space="preserve">presented as multidimensional datasets and as a list of </w:t>
      </w:r>
      <w:hyperlink r:id="rId11" w:history="1">
        <w:r w:rsidRPr="00FA491C">
          <w:rPr>
            <w:lang w:val="en-GB"/>
          </w:rPr>
          <w:t>policy indicators</w:t>
        </w:r>
      </w:hyperlink>
      <w:r w:rsidRPr="00FA491C">
        <w:rPr>
          <w:lang w:val="en-GB"/>
        </w:rPr>
        <w:t xml:space="preserve"> (income and living conditions: people at risk of poverty or social exclusion, income distribution and monetary poverty, living conditions and material deprivation). Nevertheless, the comparison of EU-SILC country data produce</w:t>
      </w:r>
      <w:r w:rsidR="00957D9E">
        <w:rPr>
          <w:lang w:val="en-GB"/>
        </w:rPr>
        <w:t>s</w:t>
      </w:r>
      <w:r w:rsidRPr="00FA491C">
        <w:rPr>
          <w:lang w:val="en-GB"/>
        </w:rPr>
        <w:t xml:space="preserve"> some difficulties arising from differences in data collection approaches across countries.</w:t>
      </w:r>
      <w:r w:rsidRPr="00FA491C">
        <w:rPr>
          <w:rStyle w:val="shorttext"/>
          <w:lang w:val="en-GB"/>
        </w:rPr>
        <w:t xml:space="preserve"> </w:t>
      </w:r>
      <w:r w:rsidRPr="00FA491C">
        <w:rPr>
          <w:lang w:val="en-GB"/>
        </w:rPr>
        <w:t xml:space="preserve">One of the major differences is that some countries rely entirely on household surveys, while others also use administrative or ‘register’ data </w:t>
      </w:r>
      <w:r w:rsidR="009D60DF">
        <w:rPr>
          <w:lang w:val="en-GB"/>
        </w:rPr>
        <w:t>[11]</w:t>
      </w:r>
      <w:r w:rsidRPr="00FA491C">
        <w:rPr>
          <w:lang w:val="en-GB"/>
        </w:rPr>
        <w:t xml:space="preserve">. It means that the differences in relationship among </w:t>
      </w:r>
      <w:r w:rsidRPr="00FA491C">
        <w:rPr>
          <w:lang w:val="en-GB"/>
        </w:rPr>
        <w:lastRenderedPageBreak/>
        <w:t xml:space="preserve">employment, earnings and poverty changes exist, when different data collection approaches are used. </w:t>
      </w:r>
    </w:p>
    <w:p w14:paraId="285FA637" w14:textId="77777777" w:rsidR="00FA491C" w:rsidRPr="00362707" w:rsidRDefault="00FA491C" w:rsidP="00FA491C">
      <w:pPr>
        <w:jc w:val="both"/>
        <w:rPr>
          <w:lang w:val="en-GB"/>
        </w:rPr>
      </w:pPr>
    </w:p>
    <w:p w14:paraId="78784FCA" w14:textId="2DF28D0E" w:rsidR="00FA491C" w:rsidRPr="00FA491C" w:rsidRDefault="00FA7001" w:rsidP="00FA491C">
      <w:pPr>
        <w:jc w:val="both"/>
        <w:rPr>
          <w:lang w:val="en-GB"/>
        </w:rPr>
      </w:pPr>
      <w:r w:rsidRPr="00362707">
        <w:rPr>
          <w:lang w:val="en-GB"/>
        </w:rPr>
        <w:t>In addition</w:t>
      </w:r>
      <w:r w:rsidR="00FA491C" w:rsidRPr="00362707">
        <w:rPr>
          <w:lang w:val="en-GB"/>
        </w:rPr>
        <w:t>, the estimates of</w:t>
      </w:r>
      <w:r w:rsidR="00957D9E">
        <w:rPr>
          <w:lang w:val="en-GB"/>
        </w:rPr>
        <w:t xml:space="preserve"> the</w:t>
      </w:r>
      <w:r w:rsidR="00FA491C" w:rsidRPr="00362707">
        <w:rPr>
          <w:lang w:val="en-GB"/>
        </w:rPr>
        <w:t xml:space="preserve"> indicator of poverty (at-risk-of-poverty rate) vary across countries</w:t>
      </w:r>
      <w:r w:rsidRPr="00362707">
        <w:rPr>
          <w:lang w:val="en-GB"/>
        </w:rPr>
        <w:t>.</w:t>
      </w:r>
      <w:r w:rsidR="00FA491C" w:rsidRPr="00362707">
        <w:rPr>
          <w:lang w:val="en-GB"/>
        </w:rPr>
        <w:t xml:space="preserve"> </w:t>
      </w:r>
      <w:r w:rsidRPr="00362707">
        <w:rPr>
          <w:lang w:val="en-GB"/>
        </w:rPr>
        <w:t xml:space="preserve">This is because the </w:t>
      </w:r>
      <w:r w:rsidR="00FA491C" w:rsidRPr="00362707">
        <w:rPr>
          <w:lang w:val="en-GB"/>
        </w:rPr>
        <w:t>indicator is sensitive to the</w:t>
      </w:r>
      <w:r w:rsidRPr="00362707">
        <w:rPr>
          <w:lang w:val="en-GB"/>
        </w:rPr>
        <w:t xml:space="preserve"> different </w:t>
      </w:r>
      <w:r w:rsidR="00FA491C" w:rsidRPr="00362707">
        <w:rPr>
          <w:lang w:val="en-GB"/>
        </w:rPr>
        <w:t xml:space="preserve">measures used and explores the underlying patterns across the vulnerable groups and the likely causes of poverty </w:t>
      </w:r>
      <w:r w:rsidR="00FA491C" w:rsidRPr="00FA491C">
        <w:rPr>
          <w:lang w:val="en-GB"/>
        </w:rPr>
        <w:t xml:space="preserve">in these countries </w:t>
      </w:r>
      <w:r w:rsidR="009D60DF">
        <w:rPr>
          <w:lang w:val="en-GB"/>
        </w:rPr>
        <w:t>[10]</w:t>
      </w:r>
      <w:r w:rsidR="00784A02">
        <w:rPr>
          <w:lang w:val="en-GB"/>
        </w:rPr>
        <w:t>.</w:t>
      </w:r>
    </w:p>
    <w:p w14:paraId="3A99E0FC" w14:textId="77777777" w:rsidR="00FA491C" w:rsidRPr="00FA491C" w:rsidRDefault="00FA491C" w:rsidP="00FA491C">
      <w:pPr>
        <w:jc w:val="both"/>
        <w:rPr>
          <w:lang w:val="en-GB"/>
        </w:rPr>
      </w:pPr>
    </w:p>
    <w:p w14:paraId="3C58ECE7" w14:textId="4D1A221C" w:rsidR="00FA491C" w:rsidRPr="00FA491C" w:rsidRDefault="00FA491C" w:rsidP="00FA491C">
      <w:pPr>
        <w:jc w:val="both"/>
        <w:rPr>
          <w:lang w:val="en-GB"/>
        </w:rPr>
      </w:pPr>
      <w:r w:rsidRPr="00FA491C">
        <w:rPr>
          <w:lang w:val="en-GB"/>
        </w:rPr>
        <w:t>All th</w:t>
      </w:r>
      <w:r w:rsidR="00957D9E">
        <w:rPr>
          <w:lang w:val="en-GB"/>
        </w:rPr>
        <w:t xml:space="preserve">ese </w:t>
      </w:r>
      <w:r w:rsidRPr="00FA491C">
        <w:rPr>
          <w:lang w:val="en-GB"/>
        </w:rPr>
        <w:t>things show</w:t>
      </w:r>
      <w:r w:rsidR="00957D9E">
        <w:rPr>
          <w:lang w:val="en-GB"/>
        </w:rPr>
        <w:t xml:space="preserve"> </w:t>
      </w:r>
      <w:r w:rsidRPr="00FA491C">
        <w:rPr>
          <w:lang w:val="en-GB"/>
        </w:rPr>
        <w:t xml:space="preserve">that the EU-SILC produce important variables related to the general </w:t>
      </w:r>
      <w:r w:rsidRPr="005D3CC8">
        <w:rPr>
          <w:lang w:val="en-GB"/>
        </w:rPr>
        <w:t xml:space="preserve">national poverty levels. </w:t>
      </w:r>
      <w:r w:rsidR="00FA7001" w:rsidRPr="005D3CC8">
        <w:rPr>
          <w:lang w:val="en-GB"/>
        </w:rPr>
        <w:t>However</w:t>
      </w:r>
      <w:r w:rsidRPr="005D3CC8">
        <w:rPr>
          <w:lang w:val="en-GB"/>
        </w:rPr>
        <w:t xml:space="preserve">, the EU-SILC data </w:t>
      </w:r>
      <w:r w:rsidR="00957D9E" w:rsidRPr="005D3CC8">
        <w:rPr>
          <w:lang w:val="en-GB"/>
        </w:rPr>
        <w:t xml:space="preserve">is </w:t>
      </w:r>
      <w:r w:rsidRPr="005D3CC8">
        <w:rPr>
          <w:lang w:val="en-GB"/>
        </w:rPr>
        <w:t xml:space="preserve">published annually and </w:t>
      </w:r>
      <w:r w:rsidR="00957D9E" w:rsidRPr="005D3CC8">
        <w:rPr>
          <w:lang w:val="en-GB"/>
        </w:rPr>
        <w:t xml:space="preserve">has </w:t>
      </w:r>
      <w:r w:rsidRPr="005D3CC8">
        <w:rPr>
          <w:lang w:val="en-GB"/>
        </w:rPr>
        <w:t>a limited international comparability. In turbulent environment, monthly data may be use</w:t>
      </w:r>
      <w:r w:rsidR="00957D9E" w:rsidRPr="005D3CC8">
        <w:rPr>
          <w:lang w:val="en-GB"/>
        </w:rPr>
        <w:t>d</w:t>
      </w:r>
      <w:r w:rsidRPr="005D3CC8">
        <w:rPr>
          <w:lang w:val="en-GB"/>
        </w:rPr>
        <w:t xml:space="preserve"> to prompt</w:t>
      </w:r>
      <w:r w:rsidR="00957D9E" w:rsidRPr="005D3CC8">
        <w:rPr>
          <w:lang w:val="en-GB"/>
        </w:rPr>
        <w:t>ly</w:t>
      </w:r>
      <w:r w:rsidRPr="005D3CC8">
        <w:rPr>
          <w:lang w:val="en-GB"/>
        </w:rPr>
        <w:t xml:space="preserve"> signalise a change of variables in a timely manner. </w:t>
      </w:r>
      <w:r w:rsidR="00B85DEB" w:rsidRPr="005D3CC8">
        <w:rPr>
          <w:lang w:val="en-GB"/>
        </w:rPr>
        <w:t>Therefore</w:t>
      </w:r>
      <w:r w:rsidRPr="005D3CC8">
        <w:rPr>
          <w:lang w:val="en-GB"/>
        </w:rPr>
        <w:t xml:space="preserve">, the main advantage of CS results is </w:t>
      </w:r>
      <w:r w:rsidRPr="005D3CC8">
        <w:rPr>
          <w:color w:val="222222"/>
          <w:lang w:val="en-GB"/>
        </w:rPr>
        <w:t>exactly</w:t>
      </w:r>
      <w:r w:rsidRPr="005D3CC8">
        <w:rPr>
          <w:lang w:val="en-GB"/>
        </w:rPr>
        <w:t xml:space="preserve"> in their monthly frequency, which provides more detailed information about the prevailing social trends than the annual EU-SILC data. </w:t>
      </w:r>
      <w:r w:rsidR="00784A02">
        <w:rPr>
          <w:lang w:val="en-GB"/>
        </w:rPr>
        <w:t xml:space="preserve">Additionally, CS data is fully harmonised on EU level. </w:t>
      </w:r>
      <w:r w:rsidRPr="005D3CC8">
        <w:rPr>
          <w:lang w:val="en-GB"/>
        </w:rPr>
        <w:t>With this in mind, the aim of this research is to assess the value of CS responses on households’ financial distress</w:t>
      </w:r>
      <w:r w:rsidR="00957D9E" w:rsidRPr="005D3CC8">
        <w:rPr>
          <w:lang w:val="en-GB"/>
        </w:rPr>
        <w:t>. This is</w:t>
      </w:r>
      <w:r w:rsidRPr="005D3CC8">
        <w:rPr>
          <w:lang w:val="en-GB"/>
        </w:rPr>
        <w:t xml:space="preserve"> expressed as a new monthly, inter-EU comparable, indicator by correlating them to the common measures of poverty in Croatia. </w:t>
      </w:r>
    </w:p>
    <w:p w14:paraId="3A852D17" w14:textId="77777777" w:rsidR="00CE6038" w:rsidRPr="00FA491C" w:rsidRDefault="00CE6038" w:rsidP="001C3835">
      <w:pPr>
        <w:rPr>
          <w:lang w:val="en-GB"/>
        </w:rPr>
      </w:pPr>
    </w:p>
    <w:p w14:paraId="221F96A9" w14:textId="77777777" w:rsidR="00CE6038" w:rsidRPr="00FA491C" w:rsidRDefault="0050479B" w:rsidP="001C3835">
      <w:pPr>
        <w:jc w:val="both"/>
        <w:rPr>
          <w:b/>
          <w:bCs/>
          <w:color w:val="000000"/>
          <w:sz w:val="28"/>
          <w:szCs w:val="28"/>
          <w:lang w:val="en-GB"/>
        </w:rPr>
      </w:pPr>
      <w:r w:rsidRPr="00FA491C">
        <w:rPr>
          <w:b/>
          <w:bCs/>
          <w:sz w:val="28"/>
          <w:szCs w:val="28"/>
          <w:lang w:val="en-GB"/>
        </w:rPr>
        <w:t>3</w:t>
      </w:r>
      <w:r w:rsidR="00CE6038" w:rsidRPr="00FA491C">
        <w:rPr>
          <w:b/>
          <w:bCs/>
          <w:sz w:val="28"/>
          <w:szCs w:val="28"/>
          <w:lang w:val="en-GB"/>
        </w:rPr>
        <w:t xml:space="preserve">. </w:t>
      </w:r>
      <w:r w:rsidR="00F062FF" w:rsidRPr="00FA491C">
        <w:rPr>
          <w:b/>
          <w:bCs/>
          <w:sz w:val="28"/>
          <w:szCs w:val="28"/>
          <w:lang w:val="en-GB"/>
        </w:rPr>
        <w:t>Data set and methodology</w:t>
      </w:r>
    </w:p>
    <w:p w14:paraId="30E399ED" w14:textId="77777777" w:rsidR="0050479B" w:rsidRPr="00FA491C" w:rsidRDefault="0050479B" w:rsidP="001C3835">
      <w:pPr>
        <w:jc w:val="both"/>
        <w:rPr>
          <w:b/>
          <w:bCs/>
          <w:color w:val="000000"/>
          <w:lang w:val="en-GB"/>
        </w:rPr>
      </w:pPr>
    </w:p>
    <w:p w14:paraId="2694EC58" w14:textId="62361096" w:rsidR="002C2E7E" w:rsidRPr="00FA491C" w:rsidRDefault="00C92533" w:rsidP="00D3424B">
      <w:pPr>
        <w:spacing w:before="120"/>
        <w:jc w:val="both"/>
        <w:rPr>
          <w:lang w:val="en-GB"/>
        </w:rPr>
      </w:pPr>
      <w:r w:rsidRPr="00FA491C">
        <w:rPr>
          <w:lang w:val="en-GB"/>
        </w:rPr>
        <w:t xml:space="preserve">CS </w:t>
      </w:r>
      <w:r w:rsidR="00784A02">
        <w:rPr>
          <w:lang w:val="en-GB"/>
        </w:rPr>
        <w:t>is</w:t>
      </w:r>
      <w:r w:rsidR="00784A02" w:rsidRPr="00FA491C">
        <w:rPr>
          <w:lang w:val="en-GB"/>
        </w:rPr>
        <w:t xml:space="preserve"> </w:t>
      </w:r>
      <w:r w:rsidRPr="00FA491C">
        <w:rPr>
          <w:lang w:val="en-GB"/>
        </w:rPr>
        <w:t xml:space="preserve">qualitative survey based on </w:t>
      </w:r>
      <w:r w:rsidR="00784A02" w:rsidRPr="00FA491C">
        <w:rPr>
          <w:lang w:val="en-GB"/>
        </w:rPr>
        <w:t>questionnaire</w:t>
      </w:r>
      <w:r w:rsidR="0072254C" w:rsidRPr="00FA491C">
        <w:rPr>
          <w:lang w:val="en-GB"/>
        </w:rPr>
        <w:t xml:space="preserve">. The questionnaire has twelve questions on a monthly basis and three additional questions on a quarterly basis. </w:t>
      </w:r>
      <w:r w:rsidR="00E67B39" w:rsidRPr="00FA491C">
        <w:rPr>
          <w:lang w:val="en-GB"/>
        </w:rPr>
        <w:t xml:space="preserve">This paper focuses on questions on a monthly basis. </w:t>
      </w:r>
      <w:r w:rsidR="00EA54BA" w:rsidRPr="00FA491C">
        <w:rPr>
          <w:lang w:val="en-GB"/>
        </w:rPr>
        <w:t xml:space="preserve">The monthly </w:t>
      </w:r>
      <w:r w:rsidR="009A31D4" w:rsidRPr="00362707">
        <w:rPr>
          <w:lang w:val="en-GB"/>
        </w:rPr>
        <w:t>questions</w:t>
      </w:r>
      <w:r w:rsidR="00B44D29" w:rsidRPr="00362707">
        <w:rPr>
          <w:lang w:val="en-GB"/>
        </w:rPr>
        <w:t xml:space="preserve"> (</w:t>
      </w:r>
      <w:r w:rsidR="009A31D4" w:rsidRPr="00362707">
        <w:rPr>
          <w:lang w:val="en-GB"/>
        </w:rPr>
        <w:t>variables</w:t>
      </w:r>
      <w:r w:rsidR="00B44D29" w:rsidRPr="00362707">
        <w:rPr>
          <w:lang w:val="en-GB"/>
        </w:rPr>
        <w:t xml:space="preserve">) </w:t>
      </w:r>
      <w:r w:rsidR="00EA54BA" w:rsidRPr="00FA491C">
        <w:rPr>
          <w:lang w:val="en-GB"/>
        </w:rPr>
        <w:t xml:space="preserve">in </w:t>
      </w:r>
      <w:r w:rsidR="00E67B39" w:rsidRPr="00FA491C">
        <w:rPr>
          <w:lang w:val="en-GB"/>
        </w:rPr>
        <w:t xml:space="preserve">CS questionnaire </w:t>
      </w:r>
      <w:r w:rsidR="00362707" w:rsidRPr="00362707">
        <w:rPr>
          <w:lang w:val="en-GB"/>
        </w:rPr>
        <w:t>[</w:t>
      </w:r>
      <w:r w:rsidR="005D3CC8">
        <w:rPr>
          <w:lang w:val="en-GB"/>
        </w:rPr>
        <w:t>4</w:t>
      </w:r>
      <w:r w:rsidR="00362707" w:rsidRPr="00362707">
        <w:rPr>
          <w:lang w:val="en-GB"/>
        </w:rPr>
        <w:t>]</w:t>
      </w:r>
      <w:r w:rsidR="00362707">
        <w:rPr>
          <w:lang w:val="en-GB"/>
        </w:rPr>
        <w:t xml:space="preserve"> </w:t>
      </w:r>
      <w:r w:rsidR="00E67B39" w:rsidRPr="00FA491C">
        <w:rPr>
          <w:lang w:val="en-GB"/>
        </w:rPr>
        <w:t>are presented in Table 1.</w:t>
      </w:r>
    </w:p>
    <w:p w14:paraId="3A3BBE3E" w14:textId="77777777" w:rsidR="00D3424B" w:rsidRPr="00FA491C" w:rsidRDefault="00D3424B" w:rsidP="00D3424B">
      <w:pPr>
        <w:spacing w:before="120"/>
        <w:jc w:val="both"/>
        <w:rPr>
          <w:lang w:val="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362707" w:rsidRPr="00362707" w14:paraId="4E75E872" w14:textId="77777777" w:rsidTr="00F03856">
        <w:tc>
          <w:tcPr>
            <w:tcW w:w="9067" w:type="dxa"/>
            <w:shd w:val="clear" w:color="auto" w:fill="auto"/>
          </w:tcPr>
          <w:p w14:paraId="20FE14EF" w14:textId="091AED7E" w:rsidR="002C2E7E" w:rsidRPr="00362707" w:rsidRDefault="002C2E7E" w:rsidP="00362707">
            <w:pPr>
              <w:jc w:val="center"/>
              <w:rPr>
                <w:sz w:val="22"/>
                <w:szCs w:val="22"/>
                <w:lang w:val="en-GB"/>
              </w:rPr>
            </w:pPr>
            <w:r w:rsidRPr="00362707">
              <w:rPr>
                <w:lang w:val="en-GB"/>
              </w:rPr>
              <w:t>Questions</w:t>
            </w:r>
            <w:r w:rsidR="00B44D29" w:rsidRPr="00362707">
              <w:rPr>
                <w:lang w:val="en-GB"/>
              </w:rPr>
              <w:t xml:space="preserve"> (</w:t>
            </w:r>
            <w:r w:rsidR="009A31D4" w:rsidRPr="00362707">
              <w:rPr>
                <w:lang w:val="en-GB"/>
              </w:rPr>
              <w:t>variables</w:t>
            </w:r>
            <w:r w:rsidR="00B44D29" w:rsidRPr="00362707">
              <w:rPr>
                <w:lang w:val="en-GB"/>
              </w:rPr>
              <w:t xml:space="preserve">) </w:t>
            </w:r>
          </w:p>
        </w:tc>
      </w:tr>
      <w:tr w:rsidR="002C2E7E" w:rsidRPr="00FA491C" w14:paraId="23A21D6D" w14:textId="77777777" w:rsidTr="00F03856">
        <w:tc>
          <w:tcPr>
            <w:tcW w:w="9067" w:type="dxa"/>
            <w:shd w:val="clear" w:color="auto" w:fill="auto"/>
          </w:tcPr>
          <w:p w14:paraId="1C632C2B" w14:textId="77777777" w:rsidR="002C2E7E" w:rsidRPr="00FA491C" w:rsidRDefault="0097517F" w:rsidP="00535FD5">
            <w:pPr>
              <w:pStyle w:val="Odlomakpopisa"/>
              <w:numPr>
                <w:ilvl w:val="0"/>
                <w:numId w:val="18"/>
              </w:numPr>
              <w:ind w:left="313" w:hanging="313"/>
              <w:rPr>
                <w:sz w:val="22"/>
                <w:szCs w:val="22"/>
                <w:lang w:val="en-GB"/>
              </w:rPr>
            </w:pPr>
            <w:r w:rsidRPr="00FA491C">
              <w:rPr>
                <w:sz w:val="22"/>
                <w:szCs w:val="22"/>
                <w:lang w:val="en-GB"/>
              </w:rPr>
              <w:t xml:space="preserve">How has the </w:t>
            </w:r>
            <w:r w:rsidR="00F03856" w:rsidRPr="00FA491C">
              <w:rPr>
                <w:sz w:val="22"/>
                <w:szCs w:val="22"/>
                <w:lang w:val="en-GB"/>
              </w:rPr>
              <w:t>financial situation of your households changed over the last 12 month?</w:t>
            </w:r>
          </w:p>
        </w:tc>
      </w:tr>
      <w:tr w:rsidR="002C2E7E" w:rsidRPr="00FA491C" w14:paraId="15BCB9DD" w14:textId="77777777" w:rsidTr="00F03856">
        <w:tc>
          <w:tcPr>
            <w:tcW w:w="9067" w:type="dxa"/>
            <w:shd w:val="clear" w:color="auto" w:fill="auto"/>
          </w:tcPr>
          <w:p w14:paraId="1D4FB418" w14:textId="77777777" w:rsidR="002C2E7E" w:rsidRPr="00FA491C" w:rsidRDefault="00F03856" w:rsidP="00535FD5">
            <w:pPr>
              <w:pStyle w:val="Odlomakpopisa"/>
              <w:numPr>
                <w:ilvl w:val="0"/>
                <w:numId w:val="18"/>
              </w:numPr>
              <w:ind w:left="313" w:hanging="313"/>
              <w:rPr>
                <w:sz w:val="22"/>
                <w:szCs w:val="22"/>
                <w:lang w:val="en-GB"/>
              </w:rPr>
            </w:pPr>
            <w:r w:rsidRPr="00FA491C">
              <w:rPr>
                <w:sz w:val="22"/>
                <w:szCs w:val="22"/>
                <w:lang w:val="en-GB"/>
              </w:rPr>
              <w:t>How do you expect the financial position of your household to change over the next 12 months?</w:t>
            </w:r>
          </w:p>
        </w:tc>
      </w:tr>
      <w:tr w:rsidR="002C2E7E" w:rsidRPr="00FA491C" w14:paraId="35D92A07" w14:textId="77777777" w:rsidTr="00F03856">
        <w:tc>
          <w:tcPr>
            <w:tcW w:w="9067" w:type="dxa"/>
            <w:shd w:val="clear" w:color="auto" w:fill="auto"/>
          </w:tcPr>
          <w:p w14:paraId="04330F28" w14:textId="77777777" w:rsidR="002C2E7E" w:rsidRPr="00FA491C" w:rsidRDefault="00F03856" w:rsidP="00535FD5">
            <w:pPr>
              <w:pStyle w:val="Odlomakpopisa"/>
              <w:numPr>
                <w:ilvl w:val="0"/>
                <w:numId w:val="18"/>
              </w:numPr>
              <w:ind w:left="313" w:hanging="313"/>
              <w:rPr>
                <w:sz w:val="22"/>
                <w:szCs w:val="22"/>
                <w:lang w:val="en-GB"/>
              </w:rPr>
            </w:pPr>
            <w:r w:rsidRPr="00FA491C">
              <w:rPr>
                <w:sz w:val="22"/>
                <w:szCs w:val="22"/>
                <w:lang w:val="en-GB"/>
              </w:rPr>
              <w:t>How do you think the general economic situation in this country has c</w:t>
            </w:r>
            <w:r w:rsidR="00840031" w:rsidRPr="00FA491C">
              <w:rPr>
                <w:sz w:val="22"/>
                <w:szCs w:val="22"/>
                <w:lang w:val="en-GB"/>
              </w:rPr>
              <w:t>hanged over the past 12 months?</w:t>
            </w:r>
          </w:p>
        </w:tc>
      </w:tr>
      <w:tr w:rsidR="002C2E7E" w:rsidRPr="00FA491C" w14:paraId="7090CC1E" w14:textId="77777777" w:rsidTr="00F03856">
        <w:tc>
          <w:tcPr>
            <w:tcW w:w="9067" w:type="dxa"/>
            <w:shd w:val="clear" w:color="auto" w:fill="auto"/>
          </w:tcPr>
          <w:p w14:paraId="672E26BB" w14:textId="77777777" w:rsidR="002C2E7E" w:rsidRPr="00FA491C" w:rsidRDefault="00840031" w:rsidP="00535FD5">
            <w:pPr>
              <w:pStyle w:val="Odlomakpopisa"/>
              <w:numPr>
                <w:ilvl w:val="0"/>
                <w:numId w:val="18"/>
              </w:numPr>
              <w:ind w:left="313" w:hanging="313"/>
              <w:rPr>
                <w:sz w:val="22"/>
                <w:szCs w:val="22"/>
                <w:lang w:val="en-GB"/>
              </w:rPr>
            </w:pPr>
            <w:r w:rsidRPr="00FA491C">
              <w:rPr>
                <w:sz w:val="22"/>
                <w:szCs w:val="22"/>
                <w:lang w:val="en-GB"/>
              </w:rPr>
              <w:t>How do you expect the general economic situation in this country to develop over the next 12 months?</w:t>
            </w:r>
          </w:p>
        </w:tc>
      </w:tr>
      <w:tr w:rsidR="002C2E7E" w:rsidRPr="00FA491C" w14:paraId="01D7B122" w14:textId="77777777" w:rsidTr="00F03856">
        <w:tc>
          <w:tcPr>
            <w:tcW w:w="9067" w:type="dxa"/>
            <w:tcBorders>
              <w:top w:val="single" w:sz="4" w:space="0" w:color="auto"/>
              <w:left w:val="single" w:sz="4" w:space="0" w:color="auto"/>
              <w:bottom w:val="single" w:sz="4" w:space="0" w:color="auto"/>
              <w:right w:val="single" w:sz="4" w:space="0" w:color="auto"/>
            </w:tcBorders>
            <w:shd w:val="clear" w:color="auto" w:fill="auto"/>
          </w:tcPr>
          <w:p w14:paraId="7DF38239" w14:textId="77777777" w:rsidR="002C2E7E" w:rsidRPr="00FA491C" w:rsidRDefault="00840031" w:rsidP="00535FD5">
            <w:pPr>
              <w:pStyle w:val="Odlomakpopisa"/>
              <w:numPr>
                <w:ilvl w:val="0"/>
                <w:numId w:val="18"/>
              </w:numPr>
              <w:ind w:left="313" w:hanging="313"/>
              <w:rPr>
                <w:sz w:val="22"/>
                <w:szCs w:val="22"/>
                <w:lang w:val="en-GB"/>
              </w:rPr>
            </w:pPr>
            <w:r w:rsidRPr="00FA491C">
              <w:rPr>
                <w:sz w:val="22"/>
                <w:szCs w:val="22"/>
                <w:lang w:val="en-GB"/>
              </w:rPr>
              <w:t>How do you think consumer prices have developed over the last 12 months?</w:t>
            </w:r>
          </w:p>
        </w:tc>
      </w:tr>
      <w:tr w:rsidR="002C2E7E" w:rsidRPr="00FA491C" w14:paraId="52DAD98D" w14:textId="77777777" w:rsidTr="00F03856">
        <w:tc>
          <w:tcPr>
            <w:tcW w:w="9067" w:type="dxa"/>
            <w:tcBorders>
              <w:top w:val="single" w:sz="4" w:space="0" w:color="auto"/>
              <w:left w:val="single" w:sz="4" w:space="0" w:color="auto"/>
              <w:bottom w:val="single" w:sz="4" w:space="0" w:color="auto"/>
              <w:right w:val="single" w:sz="4" w:space="0" w:color="auto"/>
            </w:tcBorders>
            <w:shd w:val="clear" w:color="auto" w:fill="auto"/>
          </w:tcPr>
          <w:p w14:paraId="4AB31288" w14:textId="77777777" w:rsidR="002C2E7E" w:rsidRPr="00FA491C" w:rsidRDefault="00840031" w:rsidP="00535FD5">
            <w:pPr>
              <w:pStyle w:val="Odlomakpopisa"/>
              <w:numPr>
                <w:ilvl w:val="0"/>
                <w:numId w:val="18"/>
              </w:numPr>
              <w:ind w:left="313" w:hanging="313"/>
              <w:rPr>
                <w:sz w:val="22"/>
                <w:szCs w:val="22"/>
                <w:lang w:val="en-GB"/>
              </w:rPr>
            </w:pPr>
            <w:r w:rsidRPr="00FA491C">
              <w:rPr>
                <w:sz w:val="22"/>
                <w:szCs w:val="22"/>
                <w:lang w:val="en-GB"/>
              </w:rPr>
              <w:t>In comparison with the past 12 months, how do you expect consumer prices will develop in the next 12 months?</w:t>
            </w:r>
          </w:p>
        </w:tc>
      </w:tr>
      <w:tr w:rsidR="002C2E7E" w:rsidRPr="00FA491C" w14:paraId="0C367F02" w14:textId="77777777" w:rsidTr="00F03856">
        <w:tc>
          <w:tcPr>
            <w:tcW w:w="9067" w:type="dxa"/>
            <w:tcBorders>
              <w:top w:val="single" w:sz="4" w:space="0" w:color="auto"/>
              <w:left w:val="single" w:sz="4" w:space="0" w:color="auto"/>
              <w:bottom w:val="single" w:sz="4" w:space="0" w:color="auto"/>
              <w:right w:val="single" w:sz="4" w:space="0" w:color="auto"/>
            </w:tcBorders>
            <w:shd w:val="clear" w:color="auto" w:fill="auto"/>
          </w:tcPr>
          <w:p w14:paraId="30D8E784" w14:textId="77777777" w:rsidR="002C2E7E" w:rsidRPr="00FA491C" w:rsidRDefault="00840031" w:rsidP="00535FD5">
            <w:pPr>
              <w:pStyle w:val="Odlomakpopisa"/>
              <w:numPr>
                <w:ilvl w:val="0"/>
                <w:numId w:val="18"/>
              </w:numPr>
              <w:ind w:left="313" w:hanging="313"/>
              <w:rPr>
                <w:sz w:val="22"/>
                <w:szCs w:val="22"/>
                <w:lang w:val="en-GB"/>
              </w:rPr>
            </w:pPr>
            <w:r w:rsidRPr="00FA491C">
              <w:rPr>
                <w:sz w:val="22"/>
                <w:szCs w:val="22"/>
                <w:lang w:val="en-GB"/>
              </w:rPr>
              <w:t>How to you expect the number of people unemployment in this country will change over the next 12 months?</w:t>
            </w:r>
          </w:p>
        </w:tc>
      </w:tr>
      <w:tr w:rsidR="002C2E7E" w:rsidRPr="00FA491C" w14:paraId="7273DB60" w14:textId="77777777" w:rsidTr="00F03856">
        <w:tc>
          <w:tcPr>
            <w:tcW w:w="9067" w:type="dxa"/>
            <w:tcBorders>
              <w:top w:val="single" w:sz="4" w:space="0" w:color="auto"/>
              <w:left w:val="single" w:sz="4" w:space="0" w:color="auto"/>
              <w:bottom w:val="single" w:sz="4" w:space="0" w:color="auto"/>
              <w:right w:val="single" w:sz="4" w:space="0" w:color="auto"/>
            </w:tcBorders>
            <w:shd w:val="clear" w:color="auto" w:fill="auto"/>
          </w:tcPr>
          <w:p w14:paraId="21B33137" w14:textId="77777777" w:rsidR="002C2E7E" w:rsidRPr="00FA491C" w:rsidRDefault="00840031" w:rsidP="00535FD5">
            <w:pPr>
              <w:pStyle w:val="Odlomakpopisa"/>
              <w:numPr>
                <w:ilvl w:val="0"/>
                <w:numId w:val="18"/>
              </w:numPr>
              <w:ind w:left="313" w:hanging="313"/>
              <w:rPr>
                <w:sz w:val="22"/>
                <w:szCs w:val="22"/>
                <w:lang w:val="en-GB"/>
              </w:rPr>
            </w:pPr>
            <w:r w:rsidRPr="00FA491C">
              <w:rPr>
                <w:sz w:val="22"/>
                <w:szCs w:val="22"/>
                <w:lang w:val="en-GB"/>
              </w:rPr>
              <w:t>In view of the general economic situation, do you think now is the right time for people to make major purchases such as furniture or electrical goods?</w:t>
            </w:r>
          </w:p>
        </w:tc>
      </w:tr>
      <w:tr w:rsidR="002C2E7E" w:rsidRPr="00FA491C" w14:paraId="4EC82188" w14:textId="77777777" w:rsidTr="00F03856">
        <w:tc>
          <w:tcPr>
            <w:tcW w:w="9067" w:type="dxa"/>
            <w:tcBorders>
              <w:top w:val="single" w:sz="4" w:space="0" w:color="auto"/>
              <w:left w:val="single" w:sz="4" w:space="0" w:color="auto"/>
              <w:bottom w:val="single" w:sz="4" w:space="0" w:color="auto"/>
              <w:right w:val="single" w:sz="4" w:space="0" w:color="auto"/>
            </w:tcBorders>
            <w:shd w:val="clear" w:color="auto" w:fill="auto"/>
          </w:tcPr>
          <w:p w14:paraId="61B3EE41" w14:textId="77777777" w:rsidR="002C2E7E" w:rsidRPr="00FA491C" w:rsidRDefault="00840031" w:rsidP="00535FD5">
            <w:pPr>
              <w:pStyle w:val="Odlomakpopisa"/>
              <w:numPr>
                <w:ilvl w:val="0"/>
                <w:numId w:val="18"/>
              </w:numPr>
              <w:ind w:left="313" w:hanging="313"/>
              <w:rPr>
                <w:sz w:val="22"/>
                <w:szCs w:val="22"/>
                <w:lang w:val="en-GB"/>
              </w:rPr>
            </w:pPr>
            <w:r w:rsidRPr="00FA491C">
              <w:rPr>
                <w:sz w:val="22"/>
                <w:szCs w:val="22"/>
                <w:lang w:val="en-GB"/>
              </w:rPr>
              <w:t xml:space="preserve">Compared to the last 12 months, do you expect to spend more or less money on </w:t>
            </w:r>
            <w:r w:rsidR="001608C9" w:rsidRPr="00FA491C">
              <w:rPr>
                <w:sz w:val="22"/>
                <w:szCs w:val="22"/>
                <w:lang w:val="en-GB"/>
              </w:rPr>
              <w:t>major purchases such as furniture or electrical goods?</w:t>
            </w:r>
          </w:p>
        </w:tc>
      </w:tr>
      <w:tr w:rsidR="002C2E7E" w:rsidRPr="00FA491C" w14:paraId="22189BA7" w14:textId="77777777" w:rsidTr="00F03856">
        <w:tc>
          <w:tcPr>
            <w:tcW w:w="9067" w:type="dxa"/>
            <w:tcBorders>
              <w:top w:val="single" w:sz="4" w:space="0" w:color="auto"/>
              <w:left w:val="single" w:sz="4" w:space="0" w:color="auto"/>
              <w:bottom w:val="single" w:sz="4" w:space="0" w:color="auto"/>
              <w:right w:val="single" w:sz="4" w:space="0" w:color="auto"/>
            </w:tcBorders>
            <w:shd w:val="clear" w:color="auto" w:fill="auto"/>
          </w:tcPr>
          <w:p w14:paraId="6EBB4A27" w14:textId="77777777" w:rsidR="002C2E7E" w:rsidRPr="00FA491C" w:rsidRDefault="001608C9" w:rsidP="00535FD5">
            <w:pPr>
              <w:pStyle w:val="Odlomakpopisa"/>
              <w:numPr>
                <w:ilvl w:val="0"/>
                <w:numId w:val="18"/>
              </w:numPr>
              <w:ind w:left="313" w:hanging="313"/>
              <w:rPr>
                <w:sz w:val="22"/>
                <w:szCs w:val="22"/>
                <w:lang w:val="en-GB"/>
              </w:rPr>
            </w:pPr>
            <w:r w:rsidRPr="00FA491C">
              <w:rPr>
                <w:sz w:val="22"/>
                <w:szCs w:val="22"/>
                <w:lang w:val="en-GB"/>
              </w:rPr>
              <w:t>In view of the general economic situation, do you think that now is?</w:t>
            </w:r>
          </w:p>
        </w:tc>
      </w:tr>
      <w:tr w:rsidR="002C2E7E" w:rsidRPr="00FA491C" w14:paraId="27F54D2A" w14:textId="77777777" w:rsidTr="00F03856">
        <w:tc>
          <w:tcPr>
            <w:tcW w:w="9067" w:type="dxa"/>
            <w:tcBorders>
              <w:top w:val="single" w:sz="4" w:space="0" w:color="auto"/>
              <w:left w:val="single" w:sz="4" w:space="0" w:color="auto"/>
              <w:bottom w:val="single" w:sz="4" w:space="0" w:color="auto"/>
              <w:right w:val="single" w:sz="4" w:space="0" w:color="auto"/>
            </w:tcBorders>
            <w:shd w:val="clear" w:color="auto" w:fill="auto"/>
          </w:tcPr>
          <w:p w14:paraId="25181549" w14:textId="77777777" w:rsidR="002C2E7E" w:rsidRPr="00FA491C" w:rsidRDefault="001608C9" w:rsidP="00535FD5">
            <w:pPr>
              <w:pStyle w:val="Odlomakpopisa"/>
              <w:numPr>
                <w:ilvl w:val="0"/>
                <w:numId w:val="18"/>
              </w:numPr>
              <w:ind w:left="313" w:hanging="313"/>
              <w:rPr>
                <w:sz w:val="22"/>
                <w:szCs w:val="22"/>
                <w:lang w:val="en-GB"/>
              </w:rPr>
            </w:pPr>
            <w:r w:rsidRPr="00FA491C">
              <w:rPr>
                <w:sz w:val="22"/>
                <w:szCs w:val="22"/>
                <w:lang w:val="en-GB"/>
              </w:rPr>
              <w:t>Over the next 12 months, how likely will you be to sa</w:t>
            </w:r>
            <w:r w:rsidR="00535FD5" w:rsidRPr="00FA491C">
              <w:rPr>
                <w:sz w:val="22"/>
                <w:szCs w:val="22"/>
                <w:lang w:val="en-GB"/>
              </w:rPr>
              <w:t>ve an</w:t>
            </w:r>
            <w:r w:rsidRPr="00FA491C">
              <w:rPr>
                <w:sz w:val="22"/>
                <w:szCs w:val="22"/>
                <w:lang w:val="en-GB"/>
              </w:rPr>
              <w:t>y money?</w:t>
            </w:r>
          </w:p>
        </w:tc>
      </w:tr>
      <w:tr w:rsidR="002C2E7E" w:rsidRPr="00FA491C" w14:paraId="3294122C" w14:textId="77777777" w:rsidTr="00F03856">
        <w:tc>
          <w:tcPr>
            <w:tcW w:w="9067" w:type="dxa"/>
            <w:tcBorders>
              <w:top w:val="single" w:sz="4" w:space="0" w:color="auto"/>
              <w:left w:val="single" w:sz="4" w:space="0" w:color="auto"/>
              <w:bottom w:val="single" w:sz="4" w:space="0" w:color="auto"/>
              <w:right w:val="single" w:sz="4" w:space="0" w:color="auto"/>
            </w:tcBorders>
            <w:shd w:val="clear" w:color="auto" w:fill="auto"/>
          </w:tcPr>
          <w:p w14:paraId="089E0E37" w14:textId="77777777" w:rsidR="002C2E7E" w:rsidRPr="00FA491C" w:rsidRDefault="00535FD5" w:rsidP="00535FD5">
            <w:pPr>
              <w:pStyle w:val="Odlomakpopisa"/>
              <w:numPr>
                <w:ilvl w:val="0"/>
                <w:numId w:val="18"/>
              </w:numPr>
              <w:ind w:left="313" w:hanging="313"/>
              <w:rPr>
                <w:sz w:val="22"/>
                <w:szCs w:val="22"/>
                <w:lang w:val="en-GB"/>
              </w:rPr>
            </w:pPr>
            <w:r w:rsidRPr="00FA491C">
              <w:rPr>
                <w:sz w:val="22"/>
                <w:szCs w:val="22"/>
                <w:lang w:val="en-GB"/>
              </w:rPr>
              <w:t>Which of these statements best describes the current financial situation of your household?</w:t>
            </w:r>
          </w:p>
        </w:tc>
      </w:tr>
    </w:tbl>
    <w:p w14:paraId="482FEF1A" w14:textId="77777777" w:rsidR="002C2E7E" w:rsidRPr="00FA491C" w:rsidRDefault="002C2E7E" w:rsidP="002C2E7E">
      <w:pPr>
        <w:pStyle w:val="Tijeloteksta"/>
        <w:ind w:left="770" w:hanging="784"/>
        <w:jc w:val="left"/>
        <w:rPr>
          <w:b w:val="0"/>
          <w:sz w:val="22"/>
          <w:szCs w:val="22"/>
        </w:rPr>
      </w:pPr>
      <w:r w:rsidRPr="00FA491C">
        <w:rPr>
          <w:b w:val="0"/>
          <w:sz w:val="22"/>
          <w:szCs w:val="22"/>
        </w:rPr>
        <w:t>Table 1:</w:t>
      </w:r>
      <w:r w:rsidRPr="00FA491C">
        <w:t xml:space="preserve"> </w:t>
      </w:r>
      <w:r w:rsidRPr="00FA491C">
        <w:rPr>
          <w:b w:val="0"/>
          <w:sz w:val="22"/>
          <w:szCs w:val="22"/>
        </w:rPr>
        <w:t>Questions in</w:t>
      </w:r>
      <w:r w:rsidR="00D2360F" w:rsidRPr="00FA491C">
        <w:rPr>
          <w:b w:val="0"/>
          <w:sz w:val="22"/>
          <w:szCs w:val="22"/>
        </w:rPr>
        <w:t xml:space="preserve"> </w:t>
      </w:r>
      <w:r w:rsidR="00F03856" w:rsidRPr="00FA491C">
        <w:rPr>
          <w:b w:val="0"/>
          <w:sz w:val="22"/>
          <w:szCs w:val="22"/>
        </w:rPr>
        <w:t>CS</w:t>
      </w:r>
      <w:r w:rsidRPr="00FA491C">
        <w:rPr>
          <w:b w:val="0"/>
          <w:sz w:val="22"/>
          <w:szCs w:val="22"/>
        </w:rPr>
        <w:t xml:space="preserve"> questionnaire</w:t>
      </w:r>
    </w:p>
    <w:p w14:paraId="71F495E1" w14:textId="77777777" w:rsidR="004624C4" w:rsidRPr="00FA491C" w:rsidRDefault="004624C4" w:rsidP="002C2E7E">
      <w:pPr>
        <w:pStyle w:val="Tijeloteksta"/>
        <w:ind w:left="770" w:hanging="784"/>
        <w:jc w:val="left"/>
        <w:rPr>
          <w:b w:val="0"/>
          <w:sz w:val="24"/>
        </w:rPr>
      </w:pPr>
    </w:p>
    <w:p w14:paraId="4F26C5FC" w14:textId="50601CA8" w:rsidR="00D3424B" w:rsidRPr="00362707" w:rsidRDefault="00770A24" w:rsidP="00020303">
      <w:pPr>
        <w:spacing w:before="120"/>
        <w:jc w:val="both"/>
        <w:rPr>
          <w:lang w:val="en-GB"/>
        </w:rPr>
      </w:pPr>
      <w:r w:rsidRPr="00FA491C">
        <w:rPr>
          <w:lang w:val="en-GB"/>
        </w:rPr>
        <w:t>Questions have a similar response pattern e.g. got a lot better, got a little better, stayed the same</w:t>
      </w:r>
      <w:r w:rsidR="00361794" w:rsidRPr="00FA491C">
        <w:rPr>
          <w:lang w:val="en-GB"/>
        </w:rPr>
        <w:t xml:space="preserve">, got a little worse, got a lot worse, don’t know. </w:t>
      </w:r>
      <w:r w:rsidR="00EA54BA" w:rsidRPr="00FA491C">
        <w:rPr>
          <w:lang w:val="en-GB"/>
        </w:rPr>
        <w:t>Of all</w:t>
      </w:r>
      <w:r w:rsidR="007175C5">
        <w:rPr>
          <w:lang w:val="en-GB"/>
        </w:rPr>
        <w:t xml:space="preserve"> the</w:t>
      </w:r>
      <w:r w:rsidR="00EA54BA" w:rsidRPr="00FA491C">
        <w:rPr>
          <w:lang w:val="en-GB"/>
        </w:rPr>
        <w:t xml:space="preserve"> monthly questions from the CS questionnaire given in Table 1, three of them indicate the financial c</w:t>
      </w:r>
      <w:r w:rsidR="00F97998" w:rsidRPr="00FA491C">
        <w:rPr>
          <w:lang w:val="en-GB"/>
        </w:rPr>
        <w:t>ondition of households</w:t>
      </w:r>
      <w:r w:rsidR="00A3331F" w:rsidRPr="00FA491C">
        <w:rPr>
          <w:lang w:val="en-GB"/>
        </w:rPr>
        <w:t xml:space="preserve">: financial situation over the last 12 months (Q1 hereinafter); financial situation over the next 12 </w:t>
      </w:r>
      <w:r w:rsidR="00A3331F" w:rsidRPr="00FA491C">
        <w:rPr>
          <w:lang w:val="en-GB"/>
        </w:rPr>
        <w:lastRenderedPageBreak/>
        <w:t xml:space="preserve">months (Q2 hereinafter); statement on financial situation of household (Q12 hereinafter). </w:t>
      </w:r>
      <w:r w:rsidR="00A3331F" w:rsidRPr="00362707">
        <w:rPr>
          <w:lang w:val="en-GB"/>
        </w:rPr>
        <w:t xml:space="preserve">The exact wording of these questions and given answers </w:t>
      </w:r>
      <w:r w:rsidR="00EA54BA" w:rsidRPr="00362707">
        <w:rPr>
          <w:lang w:val="en-GB"/>
        </w:rPr>
        <w:t>is</w:t>
      </w:r>
      <w:r w:rsidR="00A3331F" w:rsidRPr="00362707">
        <w:rPr>
          <w:lang w:val="en-GB"/>
        </w:rPr>
        <w:t xml:space="preserve"> as follows [</w:t>
      </w:r>
      <w:r w:rsidR="0026538A">
        <w:rPr>
          <w:lang w:val="en-GB"/>
        </w:rPr>
        <w:t>4</w:t>
      </w:r>
      <w:r w:rsidR="00A3331F" w:rsidRPr="00362707">
        <w:rPr>
          <w:lang w:val="en-GB"/>
        </w:rPr>
        <w:t>]</w:t>
      </w:r>
    </w:p>
    <w:p w14:paraId="1D862818" w14:textId="5DA0D725" w:rsidR="00D3424B" w:rsidRPr="00FA491C" w:rsidRDefault="00A3331F" w:rsidP="00EB3300">
      <w:pPr>
        <w:spacing w:before="120"/>
        <w:jc w:val="both"/>
        <w:rPr>
          <w:lang w:val="en-GB"/>
        </w:rPr>
      </w:pPr>
      <w:r w:rsidRPr="00FA491C">
        <w:rPr>
          <w:lang w:val="en-GB"/>
        </w:rPr>
        <w:t>Q1: How has the financial situation of your households changed over the last 12 month?</w:t>
      </w:r>
      <w:r w:rsidR="00EB3300" w:rsidRPr="00FA491C">
        <w:rPr>
          <w:lang w:val="en-GB"/>
        </w:rPr>
        <w:t xml:space="preserve"> It has… (1) got a lot better, (2) got a little better, (3) stayed the same, (4) got a little worse, (5) got a lot worse, (6) don’t know</w:t>
      </w:r>
      <w:r w:rsidR="0026538A">
        <w:rPr>
          <w:lang w:val="en-GB"/>
        </w:rPr>
        <w:t>,</w:t>
      </w:r>
    </w:p>
    <w:p w14:paraId="3EBCE880" w14:textId="7E6A8380" w:rsidR="00D3424B" w:rsidRPr="00FA491C" w:rsidRDefault="00EB3300" w:rsidP="005572BC">
      <w:pPr>
        <w:spacing w:before="120"/>
        <w:jc w:val="both"/>
        <w:rPr>
          <w:lang w:val="en-GB"/>
        </w:rPr>
      </w:pPr>
      <w:r w:rsidRPr="00FA491C">
        <w:rPr>
          <w:lang w:val="en-GB"/>
        </w:rPr>
        <w:t xml:space="preserve">Q2: </w:t>
      </w:r>
      <w:r w:rsidR="00951C4A" w:rsidRPr="00FA491C">
        <w:rPr>
          <w:lang w:val="en-GB"/>
        </w:rPr>
        <w:t>How do you expect the financial position of your household to change over the next 12 months?</w:t>
      </w:r>
      <w:r w:rsidRPr="00FA491C">
        <w:rPr>
          <w:lang w:val="en-GB"/>
        </w:rPr>
        <w:t xml:space="preserve"> It </w:t>
      </w:r>
      <w:r w:rsidR="005572BC" w:rsidRPr="00FA491C">
        <w:rPr>
          <w:lang w:val="en-GB"/>
        </w:rPr>
        <w:t>will</w:t>
      </w:r>
      <w:r w:rsidRPr="00FA491C">
        <w:rPr>
          <w:lang w:val="en-GB"/>
        </w:rPr>
        <w:t xml:space="preserve">… (1) </w:t>
      </w:r>
      <w:r w:rsidR="005572BC" w:rsidRPr="00FA491C">
        <w:rPr>
          <w:lang w:val="en-GB"/>
        </w:rPr>
        <w:t>ge</w:t>
      </w:r>
      <w:r w:rsidRPr="00FA491C">
        <w:rPr>
          <w:lang w:val="en-GB"/>
        </w:rPr>
        <w:t xml:space="preserve">t a lot better, (2) </w:t>
      </w:r>
      <w:r w:rsidR="005572BC" w:rsidRPr="00FA491C">
        <w:rPr>
          <w:lang w:val="en-GB"/>
        </w:rPr>
        <w:t>ge</w:t>
      </w:r>
      <w:r w:rsidRPr="00FA491C">
        <w:rPr>
          <w:lang w:val="en-GB"/>
        </w:rPr>
        <w:t xml:space="preserve">t a little better, (3) </w:t>
      </w:r>
      <w:r w:rsidR="005572BC" w:rsidRPr="00FA491C">
        <w:rPr>
          <w:lang w:val="en-GB"/>
        </w:rPr>
        <w:t>stay</w:t>
      </w:r>
      <w:r w:rsidRPr="00FA491C">
        <w:rPr>
          <w:lang w:val="en-GB"/>
        </w:rPr>
        <w:t xml:space="preserve"> the same, (4) </w:t>
      </w:r>
      <w:r w:rsidR="005572BC" w:rsidRPr="00FA491C">
        <w:rPr>
          <w:lang w:val="en-GB"/>
        </w:rPr>
        <w:t>ge</w:t>
      </w:r>
      <w:r w:rsidRPr="00FA491C">
        <w:rPr>
          <w:lang w:val="en-GB"/>
        </w:rPr>
        <w:t xml:space="preserve">t a little worse, (5) </w:t>
      </w:r>
      <w:r w:rsidR="005572BC" w:rsidRPr="00FA491C">
        <w:rPr>
          <w:lang w:val="en-GB"/>
        </w:rPr>
        <w:t>ge</w:t>
      </w:r>
      <w:r w:rsidRPr="00FA491C">
        <w:rPr>
          <w:lang w:val="en-GB"/>
        </w:rPr>
        <w:t>t a lot worse, (6) don’t know</w:t>
      </w:r>
      <w:r w:rsidR="0026538A">
        <w:rPr>
          <w:lang w:val="en-GB"/>
        </w:rPr>
        <w:t>,</w:t>
      </w:r>
    </w:p>
    <w:p w14:paraId="703050C9" w14:textId="77777777" w:rsidR="00D3424B" w:rsidRPr="00FA491C" w:rsidRDefault="005572BC" w:rsidP="00E65708">
      <w:pPr>
        <w:spacing w:before="120"/>
        <w:jc w:val="both"/>
        <w:rPr>
          <w:lang w:val="en-GB"/>
        </w:rPr>
      </w:pPr>
      <w:r w:rsidRPr="00FA491C">
        <w:rPr>
          <w:lang w:val="en-GB"/>
        </w:rPr>
        <w:t>Q12: Which of these statements best describes the current financial situation of you</w:t>
      </w:r>
      <w:r w:rsidR="00D2360F" w:rsidRPr="00FA491C">
        <w:rPr>
          <w:lang w:val="en-GB"/>
        </w:rPr>
        <w:t>r household? (1) we are saving a lot</w:t>
      </w:r>
      <w:r w:rsidRPr="00FA491C">
        <w:rPr>
          <w:lang w:val="en-GB"/>
        </w:rPr>
        <w:t xml:space="preserve">, (2) </w:t>
      </w:r>
      <w:r w:rsidR="00D2360F" w:rsidRPr="00FA491C">
        <w:rPr>
          <w:lang w:val="en-GB"/>
        </w:rPr>
        <w:t xml:space="preserve">we are saving a </w:t>
      </w:r>
      <w:r w:rsidRPr="00FA491C">
        <w:rPr>
          <w:lang w:val="en-GB"/>
        </w:rPr>
        <w:t xml:space="preserve">little, (3) </w:t>
      </w:r>
      <w:r w:rsidR="00D2360F" w:rsidRPr="00FA491C">
        <w:rPr>
          <w:lang w:val="en-GB"/>
        </w:rPr>
        <w:t>we are just manging to make ends meet on our income</w:t>
      </w:r>
      <w:r w:rsidRPr="00FA491C">
        <w:rPr>
          <w:lang w:val="en-GB"/>
        </w:rPr>
        <w:t xml:space="preserve">, (4) </w:t>
      </w:r>
      <w:r w:rsidR="00D2360F" w:rsidRPr="00FA491C">
        <w:rPr>
          <w:lang w:val="en-GB"/>
        </w:rPr>
        <w:t>we are having to draw on our savings</w:t>
      </w:r>
      <w:r w:rsidRPr="00FA491C">
        <w:rPr>
          <w:lang w:val="en-GB"/>
        </w:rPr>
        <w:t xml:space="preserve">, (5) </w:t>
      </w:r>
      <w:r w:rsidR="00D2360F" w:rsidRPr="00FA491C">
        <w:rPr>
          <w:lang w:val="en-GB"/>
        </w:rPr>
        <w:t>we are running into debt</w:t>
      </w:r>
      <w:r w:rsidRPr="00FA491C">
        <w:rPr>
          <w:lang w:val="en-GB"/>
        </w:rPr>
        <w:t>, (6) don’t know.</w:t>
      </w:r>
    </w:p>
    <w:p w14:paraId="08982A81" w14:textId="67E95CC8" w:rsidR="00D3424B" w:rsidRPr="00FA491C" w:rsidRDefault="00E65708" w:rsidP="00020303">
      <w:pPr>
        <w:spacing w:before="120"/>
        <w:jc w:val="both"/>
        <w:rPr>
          <w:lang w:val="en-GB"/>
        </w:rPr>
      </w:pPr>
      <w:r w:rsidRPr="00FA491C">
        <w:rPr>
          <w:lang w:val="en-GB"/>
        </w:rPr>
        <w:t>The monthly CS data cover</w:t>
      </w:r>
      <w:r w:rsidR="007175C5">
        <w:rPr>
          <w:lang w:val="en-GB"/>
        </w:rPr>
        <w:t>s</w:t>
      </w:r>
      <w:r w:rsidRPr="00FA491C">
        <w:rPr>
          <w:lang w:val="en-GB"/>
        </w:rPr>
        <w:t xml:space="preserve"> the period from 2005</w:t>
      </w:r>
      <w:r w:rsidR="005D3CC8">
        <w:rPr>
          <w:lang w:val="en-GB"/>
        </w:rPr>
        <w:t>/5</w:t>
      </w:r>
      <w:r w:rsidRPr="00FA491C">
        <w:rPr>
          <w:lang w:val="en-GB"/>
        </w:rPr>
        <w:t>to 2016/</w:t>
      </w:r>
      <w:r w:rsidR="0068555F">
        <w:rPr>
          <w:lang w:val="en-GB"/>
        </w:rPr>
        <w:t>5 and the annually EU-SILC data cover</w:t>
      </w:r>
      <w:r w:rsidR="007175C5">
        <w:rPr>
          <w:lang w:val="en-GB"/>
        </w:rPr>
        <w:t>s</w:t>
      </w:r>
      <w:r w:rsidR="0068555F">
        <w:rPr>
          <w:lang w:val="en-GB"/>
        </w:rPr>
        <w:t xml:space="preserve"> </w:t>
      </w:r>
      <w:r w:rsidR="009041DA" w:rsidRPr="00FA491C">
        <w:rPr>
          <w:lang w:val="en-GB"/>
        </w:rPr>
        <w:t xml:space="preserve">the </w:t>
      </w:r>
      <w:r w:rsidRPr="00FA491C">
        <w:rPr>
          <w:lang w:val="en-GB"/>
        </w:rPr>
        <w:t>period from 2010 to 2015. The data sources were European Commission (Directorate General for Economic and Financial Affairs) and Eurostat European Union Statistics on Income and Living Conditions.</w:t>
      </w:r>
    </w:p>
    <w:p w14:paraId="50A35787" w14:textId="3BBCB1EA" w:rsidR="00AC3458" w:rsidRPr="00FA491C" w:rsidRDefault="00AC3458" w:rsidP="00020303">
      <w:pPr>
        <w:spacing w:before="120"/>
        <w:jc w:val="both"/>
        <w:rPr>
          <w:lang w:val="en-GB"/>
        </w:rPr>
      </w:pPr>
      <w:r w:rsidRPr="00FA491C">
        <w:rPr>
          <w:lang w:val="en-GB"/>
        </w:rPr>
        <w:t xml:space="preserve">The empirical analysis consists of two parts. In the first </w:t>
      </w:r>
      <w:r w:rsidR="0068555F" w:rsidRPr="00FA491C">
        <w:rPr>
          <w:lang w:val="en-GB"/>
        </w:rPr>
        <w:t>part,</w:t>
      </w:r>
      <w:r w:rsidRPr="00FA491C">
        <w:rPr>
          <w:lang w:val="en-GB"/>
        </w:rPr>
        <w:t xml:space="preserve"> the new CS composite indicator of households’ financial distress was calculated using factor analysis. One factor was extracted out of the three mentioned variables. In the second part, this one extracted factor which represents the new CS composite indicator w</w:t>
      </w:r>
      <w:r w:rsidR="007175C5">
        <w:rPr>
          <w:lang w:val="en-GB"/>
        </w:rPr>
        <w:t>as</w:t>
      </w:r>
      <w:r w:rsidRPr="00FA491C">
        <w:rPr>
          <w:lang w:val="en-GB"/>
        </w:rPr>
        <w:t xml:space="preserve"> </w:t>
      </w:r>
      <w:r w:rsidR="002F106F" w:rsidRPr="00FA491C">
        <w:rPr>
          <w:lang w:val="en-GB"/>
        </w:rPr>
        <w:t xml:space="preserve">compared with </w:t>
      </w:r>
      <w:r w:rsidR="009F1AD2" w:rsidRPr="00FA491C">
        <w:rPr>
          <w:lang w:val="en-GB"/>
        </w:rPr>
        <w:t xml:space="preserve">the </w:t>
      </w:r>
      <w:r w:rsidR="002F106F" w:rsidRPr="00FA491C">
        <w:rPr>
          <w:lang w:val="en-GB"/>
        </w:rPr>
        <w:t>selected EU-SILC</w:t>
      </w:r>
      <w:r w:rsidR="002F106F" w:rsidRPr="00FA491C">
        <w:rPr>
          <w:color w:val="FF0000"/>
          <w:lang w:val="en-GB"/>
        </w:rPr>
        <w:t xml:space="preserve"> </w:t>
      </w:r>
      <w:r w:rsidR="002F106F" w:rsidRPr="00FA491C">
        <w:rPr>
          <w:lang w:val="en-GB"/>
        </w:rPr>
        <w:t xml:space="preserve">variables. </w:t>
      </w:r>
    </w:p>
    <w:p w14:paraId="2561A685" w14:textId="573E3D00" w:rsidR="00D3424B" w:rsidRPr="00FA491C" w:rsidRDefault="008A2F3C" w:rsidP="00020303">
      <w:pPr>
        <w:spacing w:before="120"/>
        <w:jc w:val="both"/>
        <w:rPr>
          <w:lang w:val="en-GB" w:eastAsia="hr-HR"/>
        </w:rPr>
      </w:pPr>
      <w:r w:rsidRPr="00FA491C">
        <w:rPr>
          <w:lang w:val="en-GB" w:eastAsia="hr-HR"/>
        </w:rPr>
        <w:t>F</w:t>
      </w:r>
      <w:r w:rsidR="00D464AD" w:rsidRPr="00FA491C">
        <w:rPr>
          <w:lang w:val="en-GB" w:eastAsia="hr-HR"/>
        </w:rPr>
        <w:t xml:space="preserve">actor analysis was carried out in </w:t>
      </w:r>
      <w:r w:rsidR="002B13AC" w:rsidRPr="00FA491C">
        <w:rPr>
          <w:lang w:val="en-GB" w:eastAsia="hr-HR"/>
        </w:rPr>
        <w:t xml:space="preserve">the </w:t>
      </w:r>
      <w:r w:rsidR="00D464AD" w:rsidRPr="00FA491C">
        <w:rPr>
          <w:lang w:val="en-GB" w:eastAsia="hr-HR"/>
        </w:rPr>
        <w:t xml:space="preserve">several steps: </w:t>
      </w:r>
      <w:r w:rsidR="00246469" w:rsidRPr="00FA491C">
        <w:rPr>
          <w:lang w:val="en-GB" w:eastAsia="hr-HR"/>
        </w:rPr>
        <w:t>verification</w:t>
      </w:r>
      <w:r w:rsidR="007175C5">
        <w:rPr>
          <w:lang w:val="en-GB" w:eastAsia="hr-HR"/>
        </w:rPr>
        <w:t xml:space="preserve"> of</w:t>
      </w:r>
      <w:r w:rsidR="00246469" w:rsidRPr="00FA491C">
        <w:rPr>
          <w:lang w:val="en-GB" w:eastAsia="hr-HR"/>
        </w:rPr>
        <w:t xml:space="preserve"> </w:t>
      </w:r>
      <w:r w:rsidR="00D464AD" w:rsidRPr="00FA491C">
        <w:rPr>
          <w:lang w:val="en-GB" w:eastAsia="hr-HR"/>
        </w:rPr>
        <w:t>the adequacy of the data for the application of factor analysis, extraction of factors and calculation</w:t>
      </w:r>
      <w:r w:rsidRPr="00FA491C">
        <w:rPr>
          <w:lang w:val="en-GB" w:eastAsia="hr-HR"/>
        </w:rPr>
        <w:t xml:space="preserve"> of</w:t>
      </w:r>
      <w:r w:rsidR="00D464AD" w:rsidRPr="00FA491C">
        <w:rPr>
          <w:lang w:val="en-GB" w:eastAsia="hr-HR"/>
        </w:rPr>
        <w:t xml:space="preserve"> factor scores</w:t>
      </w:r>
      <w:r w:rsidRPr="00FA491C">
        <w:rPr>
          <w:lang w:val="en-GB" w:eastAsia="hr-HR"/>
        </w:rPr>
        <w:t>.</w:t>
      </w:r>
      <w:r w:rsidR="00534C29" w:rsidRPr="00FA491C">
        <w:rPr>
          <w:lang w:val="en-GB" w:eastAsia="hr-HR"/>
        </w:rPr>
        <w:t xml:space="preserve"> First of all, the appropriateness of factor analysis has to be evaluated </w:t>
      </w:r>
      <w:r w:rsidR="00534C29" w:rsidRPr="00FA491C">
        <w:rPr>
          <w:lang w:val="en-GB"/>
        </w:rPr>
        <w:t xml:space="preserve">(stationarity, examination of the correlations and measures of sampling adequacy – MSA values). After that </w:t>
      </w:r>
      <w:r w:rsidR="00262E60" w:rsidRPr="00FA491C">
        <w:rPr>
          <w:lang w:val="en-GB"/>
        </w:rPr>
        <w:t xml:space="preserve">it has to be </w:t>
      </w:r>
      <w:r w:rsidR="00534C29" w:rsidRPr="00FA491C">
        <w:rPr>
          <w:lang w:val="en-GB"/>
        </w:rPr>
        <w:t>decide</w:t>
      </w:r>
      <w:r w:rsidR="00262E60" w:rsidRPr="00FA491C">
        <w:rPr>
          <w:lang w:val="en-GB"/>
        </w:rPr>
        <w:t>d which factor model should be applied</w:t>
      </w:r>
      <w:r w:rsidR="00BF0B90" w:rsidRPr="00FA491C">
        <w:rPr>
          <w:lang w:val="en-GB" w:eastAsia="hr-HR"/>
        </w:rPr>
        <w:t xml:space="preserve"> for the extraction of factors</w:t>
      </w:r>
      <w:r w:rsidR="00262E60" w:rsidRPr="00FA491C">
        <w:rPr>
          <w:lang w:val="en-GB"/>
        </w:rPr>
        <w:t xml:space="preserve">. In this paper the principal component factor analysis was used to calculate </w:t>
      </w:r>
      <w:r w:rsidR="00BF0B90" w:rsidRPr="00FA491C">
        <w:rPr>
          <w:lang w:val="en-GB"/>
        </w:rPr>
        <w:t xml:space="preserve">the </w:t>
      </w:r>
      <w:r w:rsidR="00262E60" w:rsidRPr="00FA491C">
        <w:rPr>
          <w:lang w:val="en-GB"/>
        </w:rPr>
        <w:t xml:space="preserve">new CS composite indicator. It is a factor model where units are placed on the diagonal of the correlation matrix and the total variance is carried into the factor matrix. </w:t>
      </w:r>
      <w:r w:rsidR="00262E60" w:rsidRPr="00FA491C">
        <w:rPr>
          <w:lang w:val="en-GB" w:eastAsia="hr-HR"/>
        </w:rPr>
        <w:t xml:space="preserve">Finally, the factor scores for the retained factors have to be calculated. </w:t>
      </w:r>
      <w:r w:rsidR="002B13AC" w:rsidRPr="00FA491C">
        <w:rPr>
          <w:lang w:val="en-GB" w:eastAsia="hr-HR"/>
        </w:rPr>
        <w:t>T</w:t>
      </w:r>
      <w:r w:rsidR="00262E60" w:rsidRPr="00FA491C">
        <w:rPr>
          <w:lang w:val="en-GB" w:eastAsia="hr-HR"/>
        </w:rPr>
        <w:t>he calculated scores</w:t>
      </w:r>
      <w:r w:rsidR="002B13AC" w:rsidRPr="00FA491C">
        <w:rPr>
          <w:lang w:val="en-GB" w:eastAsia="hr-HR"/>
        </w:rPr>
        <w:t xml:space="preserve"> in </w:t>
      </w:r>
      <w:r w:rsidR="002B13AC" w:rsidRPr="00FA491C">
        <w:rPr>
          <w:lang w:val="en-GB"/>
        </w:rPr>
        <w:t xml:space="preserve">principal component factor analysis </w:t>
      </w:r>
      <w:r w:rsidR="00262E60" w:rsidRPr="00FA491C">
        <w:rPr>
          <w:lang w:val="en-GB" w:eastAsia="hr-HR"/>
        </w:rPr>
        <w:t>are actual scores.</w:t>
      </w:r>
      <w:r w:rsidR="002B13AC" w:rsidRPr="00FA491C">
        <w:rPr>
          <w:lang w:val="en-GB" w:eastAsia="hr-HR"/>
        </w:rPr>
        <w:t xml:space="preserve"> Precisely because of the direct computation of factor scores this model is appropriate</w:t>
      </w:r>
      <w:r w:rsidR="002B13AC" w:rsidRPr="00FA491C">
        <w:rPr>
          <w:lang w:val="en-GB"/>
        </w:rPr>
        <w:t xml:space="preserve"> </w:t>
      </w:r>
      <w:r w:rsidR="002B13AC" w:rsidRPr="00FA491C">
        <w:rPr>
          <w:lang w:val="en-GB" w:eastAsia="hr-HR"/>
        </w:rPr>
        <w:t>when these scor</w:t>
      </w:r>
      <w:r w:rsidR="00D3424B" w:rsidRPr="00FA491C">
        <w:rPr>
          <w:lang w:val="en-GB" w:eastAsia="hr-HR"/>
        </w:rPr>
        <w:t>es are used in further analyses.</w:t>
      </w:r>
    </w:p>
    <w:p w14:paraId="2E3DF2F1" w14:textId="5D13B886" w:rsidR="00D3424B" w:rsidRPr="00FA491C" w:rsidRDefault="003907E6" w:rsidP="00772DE5">
      <w:pPr>
        <w:spacing w:before="120"/>
        <w:jc w:val="both"/>
        <w:rPr>
          <w:lang w:val="en-GB"/>
        </w:rPr>
      </w:pPr>
      <w:r w:rsidRPr="00FA491C">
        <w:rPr>
          <w:lang w:val="en-GB" w:eastAsia="hr-HR"/>
        </w:rPr>
        <w:t>Prior to the application of factor analysis</w:t>
      </w:r>
      <w:r w:rsidRPr="00FA491C">
        <w:rPr>
          <w:lang w:val="en-GB"/>
        </w:rPr>
        <w:t xml:space="preserve"> </w:t>
      </w:r>
      <w:r w:rsidR="00C87397" w:rsidRPr="00FA491C">
        <w:rPr>
          <w:lang w:val="en-GB"/>
        </w:rPr>
        <w:t xml:space="preserve">the Augmented Dickey–Fuller (ADF) unit root tests were performed. </w:t>
      </w:r>
      <w:r w:rsidR="00D927B7" w:rsidRPr="00FA491C">
        <w:rPr>
          <w:lang w:val="en-GB" w:eastAsia="hr-HR"/>
        </w:rPr>
        <w:t>Analysed variables</w:t>
      </w:r>
      <w:r w:rsidR="00C72E1D" w:rsidRPr="00FA491C">
        <w:rPr>
          <w:lang w:val="en-GB"/>
        </w:rPr>
        <w:t xml:space="preserve"> did not meet the </w:t>
      </w:r>
      <w:r w:rsidR="00D927B7" w:rsidRPr="00FA491C">
        <w:rPr>
          <w:lang w:val="en-GB" w:eastAsia="hr-HR"/>
        </w:rPr>
        <w:t>stationarity condition</w:t>
      </w:r>
      <w:r w:rsidR="00C72E1D" w:rsidRPr="00FA491C">
        <w:rPr>
          <w:lang w:val="en-GB"/>
        </w:rPr>
        <w:t xml:space="preserve">. </w:t>
      </w:r>
      <w:r w:rsidR="0068555F" w:rsidRPr="00FA491C">
        <w:rPr>
          <w:lang w:val="en-GB"/>
        </w:rPr>
        <w:t>Therefore,</w:t>
      </w:r>
      <w:r w:rsidRPr="00FA491C">
        <w:rPr>
          <w:lang w:val="en-GB"/>
        </w:rPr>
        <w:t xml:space="preserve"> </w:t>
      </w:r>
      <w:r w:rsidR="00C72E1D" w:rsidRPr="00FA491C">
        <w:rPr>
          <w:lang w:val="en-GB"/>
        </w:rPr>
        <w:t>the first differences were used</w:t>
      </w:r>
      <w:r w:rsidRPr="00FA491C">
        <w:rPr>
          <w:lang w:val="en-GB" w:eastAsia="hr-HR"/>
        </w:rPr>
        <w:t xml:space="preserve"> </w:t>
      </w:r>
      <w:r w:rsidRPr="00FA491C">
        <w:rPr>
          <w:lang w:val="en-GB"/>
        </w:rPr>
        <w:t>in further analysis</w:t>
      </w:r>
      <w:r w:rsidR="00C72E1D" w:rsidRPr="00FA491C">
        <w:rPr>
          <w:lang w:val="en-GB"/>
        </w:rPr>
        <w:t>.</w:t>
      </w:r>
    </w:p>
    <w:p w14:paraId="199DCAFD" w14:textId="5EDFFD96" w:rsidR="00E5017E" w:rsidRPr="00FA491C" w:rsidRDefault="006D5076" w:rsidP="00772DE5">
      <w:pPr>
        <w:spacing w:before="120"/>
        <w:jc w:val="both"/>
        <w:rPr>
          <w:color w:val="FF0000"/>
          <w:lang w:val="en-GB" w:eastAsia="hr-HR"/>
        </w:rPr>
      </w:pPr>
      <w:r w:rsidRPr="00FA491C">
        <w:rPr>
          <w:color w:val="000000" w:themeColor="text1"/>
          <w:lang w:val="en-GB" w:eastAsia="hr-HR"/>
        </w:rPr>
        <w:t>By applying</w:t>
      </w:r>
      <w:r w:rsidR="00772DE5" w:rsidRPr="00FA491C">
        <w:rPr>
          <w:color w:val="000000" w:themeColor="text1"/>
          <w:lang w:val="en-GB" w:eastAsia="hr-HR"/>
        </w:rPr>
        <w:t xml:space="preserve"> the factor analysis</w:t>
      </w:r>
      <w:r w:rsidR="007175C5">
        <w:rPr>
          <w:color w:val="000000" w:themeColor="text1"/>
          <w:lang w:val="en-GB" w:eastAsia="hr-HR"/>
        </w:rPr>
        <w:t>,</w:t>
      </w:r>
      <w:r w:rsidR="00772DE5" w:rsidRPr="00FA491C">
        <w:rPr>
          <w:color w:val="000000" w:themeColor="text1"/>
          <w:lang w:val="en-GB" w:eastAsia="hr-HR"/>
        </w:rPr>
        <w:t xml:space="preserve"> one factor was extracted and the factor scores were calculated. </w:t>
      </w:r>
      <w:r w:rsidR="00E5017E" w:rsidRPr="00FA491C">
        <w:rPr>
          <w:color w:val="000000" w:themeColor="text1"/>
          <w:lang w:val="en-GB" w:eastAsia="hr-HR"/>
        </w:rPr>
        <w:t xml:space="preserve">Since the calculated factor scores are monthly and the EU-SILC data </w:t>
      </w:r>
      <w:r w:rsidR="007175C5">
        <w:rPr>
          <w:color w:val="000000" w:themeColor="text1"/>
          <w:lang w:val="en-GB" w:eastAsia="hr-HR"/>
        </w:rPr>
        <w:t>is</w:t>
      </w:r>
      <w:r w:rsidR="007175C5" w:rsidRPr="00FA491C">
        <w:rPr>
          <w:color w:val="000000" w:themeColor="text1"/>
          <w:lang w:val="en-GB" w:eastAsia="hr-HR"/>
        </w:rPr>
        <w:t xml:space="preserve"> </w:t>
      </w:r>
      <w:r w:rsidR="00E5017E" w:rsidRPr="00FA491C">
        <w:rPr>
          <w:color w:val="000000" w:themeColor="text1"/>
          <w:lang w:val="en-GB" w:eastAsia="hr-HR"/>
        </w:rPr>
        <w:t>annual</w:t>
      </w:r>
      <w:r w:rsidR="0000082D" w:rsidRPr="00FA491C">
        <w:rPr>
          <w:color w:val="000000" w:themeColor="text1"/>
          <w:lang w:val="en-GB" w:eastAsia="hr-HR"/>
        </w:rPr>
        <w:t>,</w:t>
      </w:r>
      <w:r w:rsidR="00E5017E" w:rsidRPr="00FA491C">
        <w:rPr>
          <w:color w:val="000000" w:themeColor="text1"/>
          <w:lang w:val="en-GB" w:eastAsia="hr-HR"/>
        </w:rPr>
        <w:t xml:space="preserve"> th</w:t>
      </w:r>
      <w:r w:rsidR="007175C5">
        <w:rPr>
          <w:color w:val="000000" w:themeColor="text1"/>
          <w:lang w:val="en-GB" w:eastAsia="hr-HR"/>
        </w:rPr>
        <w:t>ese</w:t>
      </w:r>
      <w:r w:rsidR="00E5017E" w:rsidRPr="00FA491C">
        <w:rPr>
          <w:color w:val="000000" w:themeColor="text1"/>
          <w:lang w:val="en-GB" w:eastAsia="hr-HR"/>
        </w:rPr>
        <w:t xml:space="preserve"> factor scores were transformed into the annually data</w:t>
      </w:r>
      <w:r w:rsidR="0068555F">
        <w:rPr>
          <w:color w:val="000000" w:themeColor="text1"/>
          <w:lang w:val="en-GB" w:eastAsia="hr-HR"/>
        </w:rPr>
        <w:t xml:space="preserve"> with the aim to compare CS and EU-SILC data</w:t>
      </w:r>
      <w:r w:rsidR="00124C90">
        <w:rPr>
          <w:color w:val="000000" w:themeColor="text1"/>
          <w:lang w:val="en-GB" w:eastAsia="hr-HR"/>
        </w:rPr>
        <w:t>.</w:t>
      </w:r>
    </w:p>
    <w:p w14:paraId="558111AB" w14:textId="77777777" w:rsidR="001D1315" w:rsidRPr="00FA491C" w:rsidRDefault="001D1315" w:rsidP="00E0159C">
      <w:pPr>
        <w:spacing w:before="120"/>
        <w:jc w:val="both"/>
        <w:rPr>
          <w:color w:val="FF0000"/>
          <w:lang w:val="en-GB"/>
        </w:rPr>
      </w:pPr>
    </w:p>
    <w:p w14:paraId="538FAB15" w14:textId="77777777" w:rsidR="00F062FF" w:rsidRPr="00FA491C" w:rsidRDefault="00F062FF" w:rsidP="00F062FF">
      <w:pPr>
        <w:jc w:val="both"/>
        <w:rPr>
          <w:b/>
          <w:bCs/>
          <w:color w:val="000000"/>
          <w:sz w:val="28"/>
          <w:szCs w:val="28"/>
          <w:lang w:val="en-GB"/>
        </w:rPr>
      </w:pPr>
      <w:r w:rsidRPr="00FA491C">
        <w:rPr>
          <w:b/>
          <w:bCs/>
          <w:sz w:val="28"/>
          <w:szCs w:val="28"/>
          <w:lang w:val="en-GB"/>
        </w:rPr>
        <w:t>4. Research results</w:t>
      </w:r>
    </w:p>
    <w:p w14:paraId="49A315ED" w14:textId="77777777" w:rsidR="00F062FF" w:rsidRPr="00FA491C" w:rsidRDefault="00F062FF" w:rsidP="00F062FF">
      <w:pPr>
        <w:jc w:val="both"/>
        <w:rPr>
          <w:b/>
          <w:bCs/>
          <w:color w:val="FF0000"/>
          <w:lang w:val="en-GB"/>
        </w:rPr>
      </w:pPr>
    </w:p>
    <w:p w14:paraId="108D0203" w14:textId="4A0DB30D" w:rsidR="007722D8" w:rsidRPr="00FA491C" w:rsidRDefault="007722D8" w:rsidP="00FB4F9A">
      <w:pPr>
        <w:jc w:val="both"/>
        <w:rPr>
          <w:lang w:val="en-GB"/>
        </w:rPr>
      </w:pPr>
      <w:r w:rsidRPr="00FA491C">
        <w:rPr>
          <w:lang w:val="en-GB"/>
        </w:rPr>
        <w:t xml:space="preserve">Factor analysis was used on Croatian CS data to calculate the new CS composite indicator of households’ financial distress. </w:t>
      </w:r>
      <w:r w:rsidR="00FB4F9A" w:rsidRPr="00FA491C">
        <w:rPr>
          <w:lang w:val="en-GB"/>
        </w:rPr>
        <w:t xml:space="preserve">As already mentioned, factor analysis was conducted on three variables: financial situation over the last 12 months, financial situation over the next 12 months, and statement on financial situation of household. </w:t>
      </w:r>
      <w:r w:rsidR="009E2B97" w:rsidRPr="00FA491C">
        <w:rPr>
          <w:lang w:val="en-GB" w:eastAsia="hr-HR"/>
        </w:rPr>
        <w:t xml:space="preserve">First of all, the appropriateness of factor analysis </w:t>
      </w:r>
      <w:r w:rsidR="003004C3" w:rsidRPr="00FA491C">
        <w:rPr>
          <w:lang w:val="en-GB" w:eastAsia="hr-HR"/>
        </w:rPr>
        <w:t>was</w:t>
      </w:r>
      <w:r w:rsidR="009E2B97" w:rsidRPr="00FA491C">
        <w:rPr>
          <w:lang w:val="en-GB" w:eastAsia="hr-HR"/>
        </w:rPr>
        <w:t xml:space="preserve"> checked</w:t>
      </w:r>
      <w:r w:rsidR="005A6315" w:rsidRPr="00FA491C">
        <w:rPr>
          <w:lang w:val="en-GB" w:eastAsia="hr-HR"/>
        </w:rPr>
        <w:t xml:space="preserve"> </w:t>
      </w:r>
      <w:r w:rsidR="005A6315" w:rsidRPr="00FA491C">
        <w:rPr>
          <w:lang w:val="en-GB"/>
        </w:rPr>
        <w:t>(stationarity, correlation matrix and MSA values)</w:t>
      </w:r>
      <w:r w:rsidR="009E2B97" w:rsidRPr="00FA491C">
        <w:rPr>
          <w:lang w:val="en-GB" w:eastAsia="hr-HR"/>
        </w:rPr>
        <w:t xml:space="preserve">. </w:t>
      </w:r>
      <w:r w:rsidR="00984708" w:rsidRPr="00FA491C">
        <w:rPr>
          <w:lang w:val="en-GB" w:eastAsia="hr-HR"/>
        </w:rPr>
        <w:t xml:space="preserve">As already mentioned, </w:t>
      </w:r>
      <w:r w:rsidR="00984708" w:rsidRPr="00FA491C">
        <w:rPr>
          <w:lang w:val="en-GB"/>
        </w:rPr>
        <w:t>because of the stationarity condition</w:t>
      </w:r>
      <w:r w:rsidR="00984708" w:rsidRPr="00FA491C">
        <w:rPr>
          <w:lang w:val="en-GB" w:eastAsia="hr-HR"/>
        </w:rPr>
        <w:t>, the</w:t>
      </w:r>
      <w:r w:rsidR="00984708" w:rsidRPr="00FA491C">
        <w:rPr>
          <w:lang w:val="en-GB"/>
        </w:rPr>
        <w:t xml:space="preserve"> first differences were used.</w:t>
      </w:r>
      <w:r w:rsidR="00E6260C">
        <w:rPr>
          <w:lang w:val="en-GB"/>
        </w:rPr>
        <w:t xml:space="preserve"> </w:t>
      </w:r>
      <w:r w:rsidR="007175C5">
        <w:rPr>
          <w:lang w:val="en-GB"/>
        </w:rPr>
        <w:t>The</w:t>
      </w:r>
      <w:r w:rsidR="00984708" w:rsidRPr="00FA491C">
        <w:rPr>
          <w:lang w:val="en-GB"/>
        </w:rPr>
        <w:t xml:space="preserve"> </w:t>
      </w:r>
      <w:r w:rsidR="007175C5">
        <w:rPr>
          <w:lang w:val="en-GB" w:eastAsia="hr-HR"/>
        </w:rPr>
        <w:t>c</w:t>
      </w:r>
      <w:r w:rsidR="009E2B97" w:rsidRPr="00FA491C">
        <w:rPr>
          <w:lang w:val="en-GB" w:eastAsia="hr-HR"/>
        </w:rPr>
        <w:t xml:space="preserve">orrelation </w:t>
      </w:r>
      <w:r w:rsidR="009E2B97" w:rsidRPr="00FA491C">
        <w:rPr>
          <w:lang w:val="en-GB" w:eastAsia="hr-HR"/>
        </w:rPr>
        <w:lastRenderedPageBreak/>
        <w:t xml:space="preserve">matrix given in Table </w:t>
      </w:r>
      <w:r w:rsidR="003F511C">
        <w:rPr>
          <w:lang w:val="en-GB" w:eastAsia="hr-HR"/>
        </w:rPr>
        <w:t>2</w:t>
      </w:r>
      <w:r w:rsidR="009E2B97" w:rsidRPr="00FA491C">
        <w:rPr>
          <w:lang w:val="en-GB" w:eastAsia="hr-HR"/>
        </w:rPr>
        <w:t xml:space="preserve"> reveals that all coefficients </w:t>
      </w:r>
      <w:r w:rsidR="00C5101E" w:rsidRPr="00FA491C">
        <w:rPr>
          <w:lang w:val="en-GB" w:eastAsia="hr-HR"/>
        </w:rPr>
        <w:t>are</w:t>
      </w:r>
      <w:r w:rsidR="009E2B97" w:rsidRPr="00FA491C">
        <w:rPr>
          <w:lang w:val="en-GB" w:eastAsia="hr-HR"/>
        </w:rPr>
        <w:t xml:space="preserve"> significant at the </w:t>
      </w:r>
      <w:r w:rsidR="00C5101E" w:rsidRPr="00FA491C">
        <w:rPr>
          <w:lang w:val="en-GB" w:eastAsia="hr-HR"/>
        </w:rPr>
        <w:t>5</w:t>
      </w:r>
      <w:r w:rsidR="009E2B97" w:rsidRPr="00FA491C">
        <w:rPr>
          <w:lang w:val="en-GB" w:eastAsia="hr-HR"/>
        </w:rPr>
        <w:t>% significance level.</w:t>
      </w:r>
      <w:r w:rsidR="00C5101E" w:rsidRPr="00FA491C">
        <w:rPr>
          <w:lang w:val="en-GB" w:eastAsia="hr-HR"/>
        </w:rPr>
        <w:t xml:space="preserve"> </w:t>
      </w:r>
      <w:r w:rsidR="00CC05F6" w:rsidRPr="00FA491C">
        <w:rPr>
          <w:lang w:val="en-GB" w:eastAsia="hr-HR"/>
        </w:rPr>
        <w:t>This indicates the appropriateness of factor analysis.</w:t>
      </w:r>
    </w:p>
    <w:p w14:paraId="0C92E98F" w14:textId="77777777" w:rsidR="00C5101E" w:rsidRPr="00FA491C" w:rsidRDefault="00C5101E" w:rsidP="00C5101E">
      <w:pPr>
        <w:jc w:val="both"/>
        <w:rPr>
          <w:b/>
          <w:bCs/>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948"/>
        <w:gridCol w:w="948"/>
        <w:gridCol w:w="948"/>
      </w:tblGrid>
      <w:tr w:rsidR="00B44D29" w:rsidRPr="00FA491C" w14:paraId="30041DE8" w14:textId="77777777" w:rsidTr="0035374E">
        <w:tc>
          <w:tcPr>
            <w:tcW w:w="1224" w:type="dxa"/>
            <w:shd w:val="clear" w:color="auto" w:fill="auto"/>
          </w:tcPr>
          <w:p w14:paraId="7B16DCD3" w14:textId="77777777" w:rsidR="00D272BF" w:rsidRPr="00FA491C" w:rsidRDefault="00D272BF" w:rsidP="00B44D29">
            <w:pPr>
              <w:rPr>
                <w:sz w:val="22"/>
                <w:szCs w:val="22"/>
                <w:lang w:val="en-GB"/>
              </w:rPr>
            </w:pPr>
            <w:r w:rsidRPr="00FA491C">
              <w:rPr>
                <w:bCs/>
                <w:sz w:val="22"/>
                <w:szCs w:val="22"/>
                <w:lang w:val="en-GB" w:eastAsia="hr-HR"/>
              </w:rPr>
              <w:t xml:space="preserve">Variables </w:t>
            </w:r>
          </w:p>
        </w:tc>
        <w:tc>
          <w:tcPr>
            <w:tcW w:w="948" w:type="dxa"/>
            <w:shd w:val="clear" w:color="auto" w:fill="auto"/>
          </w:tcPr>
          <w:p w14:paraId="37228E9A" w14:textId="77777777" w:rsidR="00D272BF" w:rsidRPr="00FA491C" w:rsidRDefault="00D272BF" w:rsidP="005F7F11">
            <w:pPr>
              <w:jc w:val="center"/>
              <w:rPr>
                <w:sz w:val="22"/>
                <w:szCs w:val="22"/>
                <w:lang w:val="en-GB"/>
              </w:rPr>
            </w:pPr>
            <w:r w:rsidRPr="00FA491C">
              <w:rPr>
                <w:sz w:val="22"/>
                <w:szCs w:val="22"/>
                <w:lang w:val="en-GB"/>
              </w:rPr>
              <w:t>Q1</w:t>
            </w:r>
          </w:p>
        </w:tc>
        <w:tc>
          <w:tcPr>
            <w:tcW w:w="948" w:type="dxa"/>
            <w:shd w:val="clear" w:color="auto" w:fill="auto"/>
          </w:tcPr>
          <w:p w14:paraId="43C57ED7" w14:textId="77777777" w:rsidR="00D272BF" w:rsidRPr="00FA491C" w:rsidRDefault="00D272BF" w:rsidP="005F7F11">
            <w:pPr>
              <w:jc w:val="center"/>
              <w:rPr>
                <w:sz w:val="22"/>
                <w:szCs w:val="22"/>
                <w:lang w:val="en-GB"/>
              </w:rPr>
            </w:pPr>
            <w:r w:rsidRPr="00FA491C">
              <w:rPr>
                <w:sz w:val="22"/>
                <w:szCs w:val="22"/>
                <w:lang w:val="en-GB"/>
              </w:rPr>
              <w:t>Q2</w:t>
            </w:r>
          </w:p>
        </w:tc>
        <w:tc>
          <w:tcPr>
            <w:tcW w:w="948" w:type="dxa"/>
          </w:tcPr>
          <w:p w14:paraId="0A9FD03B" w14:textId="77777777" w:rsidR="00D272BF" w:rsidRPr="00FA491C" w:rsidRDefault="00D272BF" w:rsidP="005F7F11">
            <w:pPr>
              <w:jc w:val="center"/>
              <w:rPr>
                <w:sz w:val="22"/>
                <w:szCs w:val="22"/>
                <w:lang w:val="en-GB"/>
              </w:rPr>
            </w:pPr>
            <w:r w:rsidRPr="00FA491C">
              <w:rPr>
                <w:sz w:val="22"/>
                <w:szCs w:val="22"/>
                <w:lang w:val="en-GB"/>
              </w:rPr>
              <w:t>Q3</w:t>
            </w:r>
          </w:p>
        </w:tc>
      </w:tr>
      <w:tr w:rsidR="00B44D29" w:rsidRPr="00FA491C" w14:paraId="0E874E72" w14:textId="77777777" w:rsidTr="0035374E">
        <w:tc>
          <w:tcPr>
            <w:tcW w:w="1224" w:type="dxa"/>
            <w:shd w:val="clear" w:color="auto" w:fill="auto"/>
          </w:tcPr>
          <w:p w14:paraId="28FC2925" w14:textId="77777777" w:rsidR="00D272BF" w:rsidRPr="00FA491C" w:rsidRDefault="00D272BF" w:rsidP="005F7F11">
            <w:pPr>
              <w:jc w:val="both"/>
              <w:rPr>
                <w:sz w:val="22"/>
                <w:szCs w:val="22"/>
                <w:lang w:val="en-GB"/>
              </w:rPr>
            </w:pPr>
            <w:r w:rsidRPr="00FA491C">
              <w:rPr>
                <w:sz w:val="22"/>
                <w:szCs w:val="22"/>
                <w:lang w:val="en-GB"/>
              </w:rPr>
              <w:t>Q1</w:t>
            </w:r>
          </w:p>
        </w:tc>
        <w:tc>
          <w:tcPr>
            <w:tcW w:w="948" w:type="dxa"/>
            <w:shd w:val="clear" w:color="auto" w:fill="auto"/>
            <w:vAlign w:val="center"/>
          </w:tcPr>
          <w:p w14:paraId="6CC33E70" w14:textId="77777777" w:rsidR="00D272BF" w:rsidRPr="00FA491C" w:rsidRDefault="00D272BF" w:rsidP="005F7F11">
            <w:pPr>
              <w:jc w:val="right"/>
              <w:rPr>
                <w:sz w:val="22"/>
                <w:szCs w:val="22"/>
                <w:lang w:val="en-GB" w:eastAsia="hr-HR"/>
              </w:rPr>
            </w:pPr>
            <w:r w:rsidRPr="00FA491C">
              <w:rPr>
                <w:sz w:val="22"/>
                <w:szCs w:val="22"/>
                <w:lang w:val="en-GB" w:eastAsia="hr-HR"/>
              </w:rPr>
              <w:t>1.0000</w:t>
            </w:r>
          </w:p>
        </w:tc>
        <w:tc>
          <w:tcPr>
            <w:tcW w:w="948" w:type="dxa"/>
            <w:shd w:val="clear" w:color="auto" w:fill="auto"/>
            <w:vAlign w:val="center"/>
          </w:tcPr>
          <w:p w14:paraId="193F5244" w14:textId="77777777" w:rsidR="00D272BF" w:rsidRPr="00FA491C" w:rsidRDefault="00D272BF" w:rsidP="005F7F11">
            <w:pPr>
              <w:jc w:val="right"/>
              <w:rPr>
                <w:sz w:val="22"/>
                <w:szCs w:val="22"/>
                <w:lang w:val="en-GB" w:eastAsia="hr-HR"/>
              </w:rPr>
            </w:pPr>
            <w:r w:rsidRPr="00FA491C">
              <w:rPr>
                <w:sz w:val="22"/>
                <w:szCs w:val="22"/>
                <w:lang w:val="en-GB" w:eastAsia="hr-HR"/>
              </w:rPr>
              <w:t>0.6613</w:t>
            </w:r>
          </w:p>
          <w:p w14:paraId="2D43ACAF" w14:textId="77777777" w:rsidR="00D272BF" w:rsidRPr="00FA491C" w:rsidRDefault="00D272BF" w:rsidP="00557D3F">
            <w:pPr>
              <w:jc w:val="right"/>
              <w:rPr>
                <w:sz w:val="22"/>
                <w:szCs w:val="22"/>
                <w:lang w:val="en-GB" w:eastAsia="hr-HR"/>
              </w:rPr>
            </w:pPr>
            <w:r w:rsidRPr="00FA491C">
              <w:rPr>
                <w:sz w:val="22"/>
                <w:szCs w:val="22"/>
                <w:lang w:val="en-GB" w:eastAsia="hr-HR"/>
              </w:rPr>
              <w:t>0.000</w:t>
            </w:r>
            <w:r w:rsidR="00557D3F" w:rsidRPr="00FA491C">
              <w:rPr>
                <w:sz w:val="22"/>
                <w:szCs w:val="22"/>
                <w:lang w:val="en-GB" w:eastAsia="hr-HR"/>
              </w:rPr>
              <w:t>¹</w:t>
            </w:r>
          </w:p>
        </w:tc>
        <w:tc>
          <w:tcPr>
            <w:tcW w:w="948" w:type="dxa"/>
            <w:vAlign w:val="center"/>
          </w:tcPr>
          <w:p w14:paraId="18446EF9" w14:textId="77777777" w:rsidR="00D272BF" w:rsidRPr="00FA491C" w:rsidRDefault="00D272BF" w:rsidP="005F7F11">
            <w:pPr>
              <w:jc w:val="right"/>
              <w:rPr>
                <w:sz w:val="22"/>
                <w:szCs w:val="22"/>
                <w:lang w:val="en-GB" w:eastAsia="hr-HR"/>
              </w:rPr>
            </w:pPr>
            <w:r w:rsidRPr="00FA491C">
              <w:rPr>
                <w:sz w:val="22"/>
                <w:szCs w:val="22"/>
                <w:lang w:val="en-GB" w:eastAsia="hr-HR"/>
              </w:rPr>
              <w:t>0.2801</w:t>
            </w:r>
          </w:p>
          <w:p w14:paraId="1461FF2E" w14:textId="77777777" w:rsidR="00D272BF" w:rsidRPr="00FA491C" w:rsidRDefault="00D272BF" w:rsidP="00557D3F">
            <w:pPr>
              <w:jc w:val="right"/>
              <w:rPr>
                <w:sz w:val="22"/>
                <w:szCs w:val="22"/>
                <w:lang w:val="en-GB" w:eastAsia="hr-HR"/>
              </w:rPr>
            </w:pPr>
            <w:r w:rsidRPr="00FA491C">
              <w:rPr>
                <w:sz w:val="22"/>
                <w:szCs w:val="22"/>
                <w:lang w:val="en-GB" w:eastAsia="hr-HR"/>
              </w:rPr>
              <w:t>0.001</w:t>
            </w:r>
            <w:r w:rsidR="00557D3F" w:rsidRPr="00FA491C">
              <w:rPr>
                <w:sz w:val="22"/>
                <w:szCs w:val="22"/>
                <w:lang w:val="en-GB" w:eastAsia="hr-HR"/>
              </w:rPr>
              <w:t>¹</w:t>
            </w:r>
          </w:p>
        </w:tc>
      </w:tr>
      <w:tr w:rsidR="00B44D29" w:rsidRPr="00FA491C" w14:paraId="764A2051" w14:textId="77777777" w:rsidTr="0035374E">
        <w:tc>
          <w:tcPr>
            <w:tcW w:w="1224" w:type="dxa"/>
            <w:shd w:val="clear" w:color="auto" w:fill="auto"/>
          </w:tcPr>
          <w:p w14:paraId="77D930DF" w14:textId="77777777" w:rsidR="00D272BF" w:rsidRPr="00FA491C" w:rsidRDefault="00D272BF" w:rsidP="005F7F11">
            <w:pPr>
              <w:jc w:val="both"/>
              <w:rPr>
                <w:sz w:val="22"/>
                <w:szCs w:val="22"/>
                <w:lang w:val="en-GB"/>
              </w:rPr>
            </w:pPr>
            <w:r w:rsidRPr="00FA491C">
              <w:rPr>
                <w:sz w:val="22"/>
                <w:szCs w:val="22"/>
                <w:lang w:val="en-GB"/>
              </w:rPr>
              <w:t>Q2</w:t>
            </w:r>
          </w:p>
        </w:tc>
        <w:tc>
          <w:tcPr>
            <w:tcW w:w="948" w:type="dxa"/>
            <w:shd w:val="clear" w:color="auto" w:fill="auto"/>
            <w:vAlign w:val="center"/>
          </w:tcPr>
          <w:p w14:paraId="6234C376" w14:textId="77777777" w:rsidR="00D272BF" w:rsidRPr="00FA491C" w:rsidRDefault="00D272BF" w:rsidP="005F7F11">
            <w:pPr>
              <w:jc w:val="right"/>
              <w:rPr>
                <w:sz w:val="22"/>
                <w:szCs w:val="22"/>
                <w:lang w:val="en-GB" w:eastAsia="hr-HR"/>
              </w:rPr>
            </w:pPr>
            <w:r w:rsidRPr="00FA491C">
              <w:rPr>
                <w:sz w:val="22"/>
                <w:szCs w:val="22"/>
                <w:lang w:val="en-GB" w:eastAsia="hr-HR"/>
              </w:rPr>
              <w:t>0.6613</w:t>
            </w:r>
          </w:p>
          <w:p w14:paraId="1D3B67CD" w14:textId="77777777" w:rsidR="005F7F11" w:rsidRPr="00FA491C" w:rsidRDefault="005F7F11" w:rsidP="00557D3F">
            <w:pPr>
              <w:jc w:val="right"/>
              <w:rPr>
                <w:sz w:val="22"/>
                <w:szCs w:val="22"/>
                <w:lang w:val="en-GB" w:eastAsia="hr-HR"/>
              </w:rPr>
            </w:pPr>
            <w:r w:rsidRPr="00FA491C">
              <w:rPr>
                <w:sz w:val="22"/>
                <w:szCs w:val="22"/>
                <w:lang w:val="en-GB" w:eastAsia="hr-HR"/>
              </w:rPr>
              <w:t>0.000</w:t>
            </w:r>
            <w:r w:rsidR="00557D3F" w:rsidRPr="00FA491C">
              <w:rPr>
                <w:sz w:val="22"/>
                <w:szCs w:val="22"/>
                <w:lang w:val="en-GB" w:eastAsia="hr-HR"/>
              </w:rPr>
              <w:t>¹</w:t>
            </w:r>
          </w:p>
        </w:tc>
        <w:tc>
          <w:tcPr>
            <w:tcW w:w="948" w:type="dxa"/>
            <w:shd w:val="clear" w:color="auto" w:fill="auto"/>
            <w:vAlign w:val="center"/>
          </w:tcPr>
          <w:p w14:paraId="0B09E676" w14:textId="77777777" w:rsidR="005F7F11" w:rsidRPr="00FA491C" w:rsidRDefault="00D272BF" w:rsidP="005F7F11">
            <w:pPr>
              <w:jc w:val="right"/>
              <w:rPr>
                <w:sz w:val="22"/>
                <w:szCs w:val="22"/>
                <w:lang w:val="en-GB" w:eastAsia="hr-HR"/>
              </w:rPr>
            </w:pPr>
            <w:r w:rsidRPr="00FA491C">
              <w:rPr>
                <w:sz w:val="22"/>
                <w:szCs w:val="22"/>
                <w:lang w:val="en-GB" w:eastAsia="hr-HR"/>
              </w:rPr>
              <w:t>1,0000</w:t>
            </w:r>
          </w:p>
        </w:tc>
        <w:tc>
          <w:tcPr>
            <w:tcW w:w="948" w:type="dxa"/>
            <w:vAlign w:val="center"/>
          </w:tcPr>
          <w:p w14:paraId="15DAFF2E" w14:textId="77777777" w:rsidR="00D272BF" w:rsidRPr="00FA491C" w:rsidRDefault="00D272BF" w:rsidP="005F7F11">
            <w:pPr>
              <w:jc w:val="right"/>
              <w:rPr>
                <w:sz w:val="22"/>
                <w:szCs w:val="22"/>
                <w:lang w:val="en-GB" w:eastAsia="hr-HR"/>
              </w:rPr>
            </w:pPr>
            <w:r w:rsidRPr="00FA491C">
              <w:rPr>
                <w:sz w:val="22"/>
                <w:szCs w:val="22"/>
                <w:lang w:val="en-GB" w:eastAsia="hr-HR"/>
              </w:rPr>
              <w:t>0.2212</w:t>
            </w:r>
          </w:p>
          <w:p w14:paraId="0D7C580A" w14:textId="77777777" w:rsidR="005F7F11" w:rsidRPr="00FA491C" w:rsidRDefault="005F7F11" w:rsidP="005F7F11">
            <w:pPr>
              <w:jc w:val="right"/>
              <w:rPr>
                <w:sz w:val="22"/>
                <w:szCs w:val="22"/>
                <w:lang w:val="en-GB" w:eastAsia="hr-HR"/>
              </w:rPr>
            </w:pPr>
            <w:r w:rsidRPr="00FA491C">
              <w:rPr>
                <w:sz w:val="22"/>
                <w:szCs w:val="22"/>
                <w:lang w:val="en-GB" w:eastAsia="hr-HR"/>
              </w:rPr>
              <w:t>0.011</w:t>
            </w:r>
            <w:r w:rsidR="00557D3F" w:rsidRPr="00FA491C">
              <w:rPr>
                <w:sz w:val="22"/>
                <w:szCs w:val="22"/>
                <w:lang w:val="en-GB" w:eastAsia="hr-HR"/>
              </w:rPr>
              <w:t>²</w:t>
            </w:r>
          </w:p>
        </w:tc>
      </w:tr>
      <w:tr w:rsidR="00B44D29" w:rsidRPr="00FA491C" w14:paraId="534E9B96" w14:textId="77777777" w:rsidTr="0035374E">
        <w:tc>
          <w:tcPr>
            <w:tcW w:w="1224" w:type="dxa"/>
            <w:shd w:val="clear" w:color="auto" w:fill="auto"/>
          </w:tcPr>
          <w:p w14:paraId="14C6B578" w14:textId="77777777" w:rsidR="00D272BF" w:rsidRPr="00FA491C" w:rsidRDefault="00D272BF" w:rsidP="005F7F11">
            <w:pPr>
              <w:jc w:val="both"/>
              <w:rPr>
                <w:sz w:val="22"/>
                <w:szCs w:val="22"/>
                <w:lang w:val="en-GB"/>
              </w:rPr>
            </w:pPr>
            <w:r w:rsidRPr="00FA491C">
              <w:rPr>
                <w:sz w:val="22"/>
                <w:szCs w:val="22"/>
                <w:lang w:val="en-GB"/>
              </w:rPr>
              <w:t>Q3</w:t>
            </w:r>
          </w:p>
        </w:tc>
        <w:tc>
          <w:tcPr>
            <w:tcW w:w="948" w:type="dxa"/>
            <w:shd w:val="clear" w:color="auto" w:fill="auto"/>
            <w:vAlign w:val="center"/>
          </w:tcPr>
          <w:p w14:paraId="262C81C1" w14:textId="77777777" w:rsidR="00D272BF" w:rsidRPr="00FA491C" w:rsidRDefault="00D272BF" w:rsidP="005F7F11">
            <w:pPr>
              <w:jc w:val="right"/>
              <w:rPr>
                <w:sz w:val="22"/>
                <w:szCs w:val="22"/>
                <w:lang w:val="en-GB" w:eastAsia="hr-HR"/>
              </w:rPr>
            </w:pPr>
            <w:r w:rsidRPr="00FA491C">
              <w:rPr>
                <w:sz w:val="22"/>
                <w:szCs w:val="22"/>
                <w:lang w:val="en-GB" w:eastAsia="hr-HR"/>
              </w:rPr>
              <w:t>0.2801</w:t>
            </w:r>
          </w:p>
          <w:p w14:paraId="147A95B1" w14:textId="77777777" w:rsidR="005F7F11" w:rsidRPr="00FA491C" w:rsidRDefault="005F7F11" w:rsidP="005F7F11">
            <w:pPr>
              <w:jc w:val="right"/>
              <w:rPr>
                <w:sz w:val="22"/>
                <w:szCs w:val="22"/>
                <w:lang w:val="en-GB" w:eastAsia="hr-HR"/>
              </w:rPr>
            </w:pPr>
            <w:r w:rsidRPr="00FA491C">
              <w:rPr>
                <w:sz w:val="22"/>
                <w:szCs w:val="22"/>
                <w:lang w:val="en-GB" w:eastAsia="hr-HR"/>
              </w:rPr>
              <w:t>0.001</w:t>
            </w:r>
            <w:r w:rsidR="00557D3F" w:rsidRPr="00FA491C">
              <w:rPr>
                <w:sz w:val="22"/>
                <w:szCs w:val="22"/>
                <w:lang w:val="en-GB" w:eastAsia="hr-HR"/>
              </w:rPr>
              <w:t>¹</w:t>
            </w:r>
          </w:p>
        </w:tc>
        <w:tc>
          <w:tcPr>
            <w:tcW w:w="948" w:type="dxa"/>
            <w:shd w:val="clear" w:color="auto" w:fill="auto"/>
            <w:vAlign w:val="center"/>
          </w:tcPr>
          <w:p w14:paraId="3DCD7334" w14:textId="77777777" w:rsidR="00D272BF" w:rsidRPr="00FA491C" w:rsidRDefault="00D272BF" w:rsidP="005F7F11">
            <w:pPr>
              <w:jc w:val="right"/>
              <w:rPr>
                <w:sz w:val="22"/>
                <w:szCs w:val="22"/>
                <w:lang w:val="en-GB" w:eastAsia="hr-HR"/>
              </w:rPr>
            </w:pPr>
            <w:r w:rsidRPr="00FA491C">
              <w:rPr>
                <w:sz w:val="22"/>
                <w:szCs w:val="22"/>
                <w:lang w:val="en-GB" w:eastAsia="hr-HR"/>
              </w:rPr>
              <w:t>0.2212</w:t>
            </w:r>
          </w:p>
          <w:p w14:paraId="0DC96BCF" w14:textId="77777777" w:rsidR="005F7F11" w:rsidRPr="00FA491C" w:rsidRDefault="005F7F11" w:rsidP="005F7F11">
            <w:pPr>
              <w:jc w:val="right"/>
              <w:rPr>
                <w:sz w:val="22"/>
                <w:szCs w:val="22"/>
                <w:lang w:val="en-GB" w:eastAsia="hr-HR"/>
              </w:rPr>
            </w:pPr>
            <w:r w:rsidRPr="00FA491C">
              <w:rPr>
                <w:sz w:val="22"/>
                <w:szCs w:val="22"/>
                <w:lang w:val="en-GB" w:eastAsia="hr-HR"/>
              </w:rPr>
              <w:t>0.011</w:t>
            </w:r>
            <w:r w:rsidR="00557D3F" w:rsidRPr="00FA491C">
              <w:rPr>
                <w:sz w:val="22"/>
                <w:szCs w:val="22"/>
                <w:lang w:val="en-GB" w:eastAsia="hr-HR"/>
              </w:rPr>
              <w:t>²</w:t>
            </w:r>
          </w:p>
        </w:tc>
        <w:tc>
          <w:tcPr>
            <w:tcW w:w="948" w:type="dxa"/>
            <w:vAlign w:val="center"/>
          </w:tcPr>
          <w:p w14:paraId="0339967B" w14:textId="77777777" w:rsidR="005F7F11" w:rsidRPr="00FA491C" w:rsidRDefault="00D272BF" w:rsidP="005F7F11">
            <w:pPr>
              <w:jc w:val="right"/>
              <w:rPr>
                <w:sz w:val="22"/>
                <w:szCs w:val="22"/>
                <w:lang w:val="en-GB" w:eastAsia="hr-HR"/>
              </w:rPr>
            </w:pPr>
            <w:r w:rsidRPr="00FA491C">
              <w:rPr>
                <w:sz w:val="22"/>
                <w:szCs w:val="22"/>
                <w:lang w:val="en-GB" w:eastAsia="hr-HR"/>
              </w:rPr>
              <w:t>1.0000</w:t>
            </w:r>
          </w:p>
        </w:tc>
      </w:tr>
    </w:tbl>
    <w:p w14:paraId="09B3BE76" w14:textId="77777777" w:rsidR="00557D3F" w:rsidRPr="00FA491C" w:rsidRDefault="00557D3F" w:rsidP="00C5101E">
      <w:pPr>
        <w:rPr>
          <w:sz w:val="22"/>
          <w:szCs w:val="22"/>
          <w:lang w:val="en-GB"/>
        </w:rPr>
      </w:pPr>
      <w:r w:rsidRPr="00FA491C">
        <w:rPr>
          <w:sz w:val="22"/>
          <w:szCs w:val="22"/>
          <w:lang w:val="en-GB" w:eastAsia="hr-HR"/>
        </w:rPr>
        <w:t>¹</w:t>
      </w:r>
      <w:r w:rsidRPr="00FA491C">
        <w:rPr>
          <w:sz w:val="22"/>
          <w:szCs w:val="22"/>
          <w:lang w:val="en-GB"/>
        </w:rPr>
        <w:t>correlations are significant at p &lt;0.01000</w:t>
      </w:r>
    </w:p>
    <w:p w14:paraId="4F9E6DBD" w14:textId="77777777" w:rsidR="00C5101E" w:rsidRPr="00FA491C" w:rsidRDefault="00557D3F" w:rsidP="00C5101E">
      <w:pPr>
        <w:rPr>
          <w:sz w:val="22"/>
          <w:szCs w:val="22"/>
          <w:lang w:val="en-GB"/>
        </w:rPr>
      </w:pPr>
      <w:r w:rsidRPr="00FA491C">
        <w:rPr>
          <w:sz w:val="22"/>
          <w:szCs w:val="22"/>
          <w:lang w:val="en-GB" w:eastAsia="hr-HR"/>
        </w:rPr>
        <w:t>²</w:t>
      </w:r>
      <w:r w:rsidRPr="00FA491C">
        <w:rPr>
          <w:sz w:val="22"/>
          <w:szCs w:val="22"/>
          <w:lang w:val="en-GB"/>
        </w:rPr>
        <w:t>correlations are significant at p &lt;0.05000</w:t>
      </w:r>
    </w:p>
    <w:p w14:paraId="0BE4C055" w14:textId="03BB51C0" w:rsidR="00C5101E" w:rsidRPr="00FA491C" w:rsidRDefault="00C5101E" w:rsidP="00C5101E">
      <w:pPr>
        <w:pStyle w:val="Tijeloteksta"/>
        <w:ind w:left="770" w:hanging="784"/>
        <w:jc w:val="left"/>
        <w:rPr>
          <w:b w:val="0"/>
          <w:sz w:val="22"/>
          <w:szCs w:val="22"/>
        </w:rPr>
      </w:pPr>
      <w:r w:rsidRPr="00FA491C">
        <w:rPr>
          <w:b w:val="0"/>
          <w:sz w:val="22"/>
          <w:szCs w:val="22"/>
        </w:rPr>
        <w:t xml:space="preserve">Table </w:t>
      </w:r>
      <w:r w:rsidR="003F511C">
        <w:rPr>
          <w:b w:val="0"/>
          <w:sz w:val="22"/>
          <w:szCs w:val="22"/>
        </w:rPr>
        <w:t>2</w:t>
      </w:r>
      <w:r w:rsidRPr="00FA491C">
        <w:rPr>
          <w:b w:val="0"/>
          <w:sz w:val="22"/>
          <w:szCs w:val="22"/>
        </w:rPr>
        <w:t>: Correlations and p-values</w:t>
      </w:r>
      <w:r w:rsidR="00557D3F" w:rsidRPr="00FA491C">
        <w:rPr>
          <w:b w:val="0"/>
          <w:sz w:val="22"/>
          <w:szCs w:val="22"/>
        </w:rPr>
        <w:t>)</w:t>
      </w:r>
    </w:p>
    <w:p w14:paraId="61B33A18" w14:textId="77777777" w:rsidR="00C5101E" w:rsidRPr="00FA491C" w:rsidRDefault="00C5101E" w:rsidP="00C5101E">
      <w:pPr>
        <w:jc w:val="both"/>
        <w:rPr>
          <w:lang w:val="en-GB"/>
        </w:rPr>
      </w:pPr>
    </w:p>
    <w:p w14:paraId="33C893EB" w14:textId="397F4A39" w:rsidR="00AD6354" w:rsidRPr="00FA491C" w:rsidRDefault="005F7F11" w:rsidP="00AF626A">
      <w:pPr>
        <w:jc w:val="both"/>
        <w:rPr>
          <w:lang w:val="en-GB" w:eastAsia="hr-HR"/>
        </w:rPr>
      </w:pPr>
      <w:r w:rsidRPr="00FA491C">
        <w:rPr>
          <w:lang w:val="en-GB" w:eastAsia="hr-HR"/>
        </w:rPr>
        <w:t xml:space="preserve">Table </w:t>
      </w:r>
      <w:r w:rsidR="003F511C">
        <w:rPr>
          <w:lang w:val="en-GB" w:eastAsia="hr-HR"/>
        </w:rPr>
        <w:t>3</w:t>
      </w:r>
      <w:r w:rsidRPr="00FA491C">
        <w:rPr>
          <w:lang w:val="en-GB" w:eastAsia="hr-HR"/>
        </w:rPr>
        <w:t xml:space="preserve"> shows th</w:t>
      </w:r>
      <w:r w:rsidR="00AD6354" w:rsidRPr="00FA491C">
        <w:rPr>
          <w:lang w:val="en-GB" w:eastAsia="hr-HR"/>
        </w:rPr>
        <w:t xml:space="preserve">e values of Kaiser's measure of sampling adequacy (MSA). </w:t>
      </w:r>
      <w:r w:rsidR="00AF626A" w:rsidRPr="00FA491C">
        <w:rPr>
          <w:lang w:val="en-GB" w:eastAsia="hr-HR"/>
        </w:rPr>
        <w:t>It can be seen</w:t>
      </w:r>
      <w:r w:rsidR="00AF626A" w:rsidRPr="00FA491C">
        <w:rPr>
          <w:lang w:val="en-GB"/>
        </w:rPr>
        <w:t xml:space="preserve"> that the overall MSA value and all individual MSA values are greater than 0.5 which also </w:t>
      </w:r>
      <w:r w:rsidR="00AF626A" w:rsidRPr="00FA491C">
        <w:rPr>
          <w:lang w:val="en-GB" w:eastAsia="hr-HR"/>
        </w:rPr>
        <w:t xml:space="preserve">indicates the appropriateness of factor analysis. According to </w:t>
      </w:r>
      <w:r w:rsidR="007175C5">
        <w:rPr>
          <w:lang w:val="en-GB" w:eastAsia="hr-HR"/>
        </w:rPr>
        <w:t>everything</w:t>
      </w:r>
      <w:r w:rsidR="007175C5" w:rsidRPr="00FA491C">
        <w:rPr>
          <w:lang w:val="en-GB" w:eastAsia="hr-HR"/>
        </w:rPr>
        <w:t xml:space="preserve"> </w:t>
      </w:r>
      <w:r w:rsidR="00AF626A" w:rsidRPr="00FA491C">
        <w:rPr>
          <w:lang w:val="en-GB" w:eastAsia="hr-HR"/>
        </w:rPr>
        <w:t xml:space="preserve">mentioned, it can be proceeded to the next step, </w:t>
      </w:r>
      <w:r w:rsidR="00C25F9E" w:rsidRPr="00FA491C">
        <w:rPr>
          <w:lang w:val="en-GB" w:eastAsia="hr-HR"/>
        </w:rPr>
        <w:t>i.e.</w:t>
      </w:r>
      <w:r w:rsidR="00EF318D" w:rsidRPr="00FA491C">
        <w:rPr>
          <w:lang w:val="en-GB" w:eastAsia="hr-HR"/>
        </w:rPr>
        <w:t xml:space="preserve"> </w:t>
      </w:r>
      <w:r w:rsidR="00AF626A" w:rsidRPr="00FA491C">
        <w:rPr>
          <w:lang w:val="en-GB" w:eastAsia="hr-HR"/>
        </w:rPr>
        <w:t>to the extraction of the factors.</w:t>
      </w:r>
    </w:p>
    <w:p w14:paraId="30DF791C" w14:textId="77777777" w:rsidR="00AF626A" w:rsidRPr="00FA491C" w:rsidRDefault="00AF626A" w:rsidP="00AF626A">
      <w:pPr>
        <w:jc w:val="both"/>
        <w:rPr>
          <w:lang w:val="en-GB" w:eastAsia="hr-HR"/>
        </w:rPr>
      </w:pPr>
    </w:p>
    <w:tbl>
      <w:tblPr>
        <w:tblStyle w:val="Reetkatablice"/>
        <w:tblW w:w="0" w:type="auto"/>
        <w:tblInd w:w="108" w:type="dxa"/>
        <w:tblLook w:val="04A0" w:firstRow="1" w:lastRow="0" w:firstColumn="1" w:lastColumn="0" w:noHBand="0" w:noVBand="1"/>
      </w:tblPr>
      <w:tblGrid>
        <w:gridCol w:w="1169"/>
        <w:gridCol w:w="2797"/>
      </w:tblGrid>
      <w:tr w:rsidR="00AD6354" w:rsidRPr="00FA491C" w14:paraId="248A8717" w14:textId="77777777" w:rsidTr="0035374E">
        <w:trPr>
          <w:trHeight w:val="106"/>
        </w:trPr>
        <w:tc>
          <w:tcPr>
            <w:tcW w:w="1169" w:type="dxa"/>
            <w:vMerge w:val="restart"/>
          </w:tcPr>
          <w:p w14:paraId="0835FFBE" w14:textId="77777777" w:rsidR="00AD6354" w:rsidRPr="00FA491C" w:rsidRDefault="00AD6354" w:rsidP="001D1315">
            <w:pPr>
              <w:rPr>
                <w:sz w:val="22"/>
                <w:szCs w:val="22"/>
                <w:lang w:val="en-GB"/>
              </w:rPr>
            </w:pPr>
            <w:r w:rsidRPr="00FA491C">
              <w:rPr>
                <w:sz w:val="22"/>
                <w:szCs w:val="22"/>
                <w:lang w:val="en-GB"/>
              </w:rPr>
              <w:t>Variables</w:t>
            </w:r>
          </w:p>
        </w:tc>
        <w:tc>
          <w:tcPr>
            <w:tcW w:w="2797" w:type="dxa"/>
            <w:tcBorders>
              <w:bottom w:val="single" w:sz="4" w:space="0" w:color="auto"/>
            </w:tcBorders>
          </w:tcPr>
          <w:p w14:paraId="1AA0C3F6" w14:textId="77777777" w:rsidR="00AD6354" w:rsidRPr="00FA491C" w:rsidRDefault="00AD6354" w:rsidP="001D1315">
            <w:pPr>
              <w:jc w:val="center"/>
              <w:rPr>
                <w:sz w:val="22"/>
                <w:szCs w:val="22"/>
                <w:lang w:val="en-GB"/>
              </w:rPr>
            </w:pPr>
            <w:r w:rsidRPr="00FA491C">
              <w:rPr>
                <w:bCs/>
                <w:sz w:val="22"/>
                <w:szCs w:val="22"/>
                <w:lang w:val="en-GB" w:eastAsia="hr-HR"/>
              </w:rPr>
              <w:t>Overall MSA = 0.55883186</w:t>
            </w:r>
          </w:p>
        </w:tc>
      </w:tr>
      <w:tr w:rsidR="00AD6354" w:rsidRPr="00FA491C" w14:paraId="4458A786" w14:textId="77777777" w:rsidTr="0035374E">
        <w:trPr>
          <w:trHeight w:val="106"/>
        </w:trPr>
        <w:tc>
          <w:tcPr>
            <w:tcW w:w="1169" w:type="dxa"/>
            <w:vMerge/>
            <w:tcBorders>
              <w:bottom w:val="single" w:sz="4" w:space="0" w:color="auto"/>
            </w:tcBorders>
          </w:tcPr>
          <w:p w14:paraId="716D4536" w14:textId="77777777" w:rsidR="00AD6354" w:rsidRPr="00FA491C" w:rsidRDefault="00AD6354" w:rsidP="001D1315">
            <w:pPr>
              <w:rPr>
                <w:sz w:val="22"/>
                <w:szCs w:val="22"/>
                <w:lang w:val="en-GB"/>
              </w:rPr>
            </w:pPr>
          </w:p>
        </w:tc>
        <w:tc>
          <w:tcPr>
            <w:tcW w:w="2797" w:type="dxa"/>
            <w:tcBorders>
              <w:bottom w:val="single" w:sz="4" w:space="0" w:color="auto"/>
            </w:tcBorders>
          </w:tcPr>
          <w:p w14:paraId="080509E1" w14:textId="77777777" w:rsidR="00AD6354" w:rsidRPr="00FA491C" w:rsidRDefault="00AD6354" w:rsidP="001D1315">
            <w:pPr>
              <w:jc w:val="center"/>
              <w:rPr>
                <w:bCs/>
                <w:sz w:val="22"/>
                <w:szCs w:val="22"/>
                <w:lang w:val="en-GB" w:eastAsia="hr-HR"/>
              </w:rPr>
            </w:pPr>
            <w:r w:rsidRPr="00FA491C">
              <w:rPr>
                <w:bCs/>
                <w:sz w:val="22"/>
                <w:szCs w:val="22"/>
                <w:lang w:val="en-GB" w:eastAsia="hr-HR"/>
              </w:rPr>
              <w:t>Individual MSA values</w:t>
            </w:r>
          </w:p>
        </w:tc>
      </w:tr>
      <w:tr w:rsidR="00AD6354" w:rsidRPr="00FA491C" w14:paraId="48544D27" w14:textId="77777777" w:rsidTr="0035374E">
        <w:tc>
          <w:tcPr>
            <w:tcW w:w="1169" w:type="dxa"/>
            <w:tcBorders>
              <w:top w:val="single" w:sz="4" w:space="0" w:color="auto"/>
              <w:left w:val="single" w:sz="4" w:space="0" w:color="auto"/>
              <w:bottom w:val="single" w:sz="4" w:space="0" w:color="auto"/>
              <w:right w:val="single" w:sz="4" w:space="0" w:color="auto"/>
            </w:tcBorders>
          </w:tcPr>
          <w:p w14:paraId="181F8EA8" w14:textId="77777777" w:rsidR="00AD6354" w:rsidRPr="00FA491C" w:rsidRDefault="00AD6354" w:rsidP="00AD6354">
            <w:pPr>
              <w:jc w:val="both"/>
              <w:rPr>
                <w:sz w:val="22"/>
                <w:szCs w:val="22"/>
                <w:lang w:val="en-GB"/>
              </w:rPr>
            </w:pPr>
            <w:r w:rsidRPr="00FA491C">
              <w:rPr>
                <w:sz w:val="22"/>
                <w:szCs w:val="22"/>
                <w:lang w:val="en-GB"/>
              </w:rPr>
              <w:t>Q1</w:t>
            </w:r>
          </w:p>
        </w:tc>
        <w:tc>
          <w:tcPr>
            <w:tcW w:w="2797" w:type="dxa"/>
            <w:tcBorders>
              <w:top w:val="single" w:sz="4" w:space="0" w:color="auto"/>
              <w:left w:val="single" w:sz="4" w:space="0" w:color="auto"/>
              <w:bottom w:val="single" w:sz="4" w:space="0" w:color="auto"/>
              <w:right w:val="single" w:sz="4" w:space="0" w:color="auto"/>
            </w:tcBorders>
          </w:tcPr>
          <w:p w14:paraId="0DB087BE" w14:textId="77777777" w:rsidR="00AD6354" w:rsidRPr="00FA491C" w:rsidRDefault="00AD6354" w:rsidP="00AD6354">
            <w:pPr>
              <w:jc w:val="center"/>
              <w:rPr>
                <w:sz w:val="22"/>
                <w:szCs w:val="22"/>
                <w:lang w:val="en-GB" w:eastAsia="hr-HR"/>
              </w:rPr>
            </w:pPr>
            <w:r w:rsidRPr="00FA491C">
              <w:rPr>
                <w:sz w:val="22"/>
                <w:szCs w:val="22"/>
                <w:lang w:val="en-GB" w:eastAsia="hr-HR"/>
              </w:rPr>
              <w:t>0.53777833</w:t>
            </w:r>
          </w:p>
        </w:tc>
      </w:tr>
      <w:tr w:rsidR="00AD6354" w:rsidRPr="00FA491C" w14:paraId="02D4DBB4" w14:textId="77777777" w:rsidTr="0035374E">
        <w:tc>
          <w:tcPr>
            <w:tcW w:w="1169" w:type="dxa"/>
            <w:tcBorders>
              <w:top w:val="single" w:sz="4" w:space="0" w:color="auto"/>
              <w:left w:val="single" w:sz="4" w:space="0" w:color="auto"/>
              <w:bottom w:val="single" w:sz="4" w:space="0" w:color="auto"/>
              <w:right w:val="single" w:sz="4" w:space="0" w:color="auto"/>
            </w:tcBorders>
          </w:tcPr>
          <w:p w14:paraId="6520B5CB" w14:textId="77777777" w:rsidR="00AD6354" w:rsidRPr="00FA491C" w:rsidRDefault="00AD6354" w:rsidP="00AD6354">
            <w:pPr>
              <w:jc w:val="both"/>
              <w:rPr>
                <w:sz w:val="22"/>
                <w:szCs w:val="22"/>
                <w:lang w:val="en-GB"/>
              </w:rPr>
            </w:pPr>
            <w:r w:rsidRPr="00FA491C">
              <w:rPr>
                <w:sz w:val="22"/>
                <w:szCs w:val="22"/>
                <w:lang w:val="en-GB"/>
              </w:rPr>
              <w:t>Q2</w:t>
            </w:r>
          </w:p>
        </w:tc>
        <w:tc>
          <w:tcPr>
            <w:tcW w:w="2797" w:type="dxa"/>
            <w:tcBorders>
              <w:top w:val="single" w:sz="4" w:space="0" w:color="auto"/>
              <w:left w:val="single" w:sz="4" w:space="0" w:color="auto"/>
              <w:bottom w:val="single" w:sz="4" w:space="0" w:color="auto"/>
              <w:right w:val="single" w:sz="4" w:space="0" w:color="auto"/>
            </w:tcBorders>
          </w:tcPr>
          <w:p w14:paraId="32EB2AC7" w14:textId="77777777" w:rsidR="00AD6354" w:rsidRPr="00FA491C" w:rsidRDefault="00AD6354" w:rsidP="00AD6354">
            <w:pPr>
              <w:jc w:val="center"/>
              <w:rPr>
                <w:sz w:val="22"/>
                <w:szCs w:val="22"/>
                <w:lang w:val="en-GB" w:eastAsia="hr-HR"/>
              </w:rPr>
            </w:pPr>
            <w:r w:rsidRPr="00FA491C">
              <w:rPr>
                <w:sz w:val="22"/>
                <w:szCs w:val="22"/>
                <w:lang w:val="en-GB" w:eastAsia="hr-HR"/>
              </w:rPr>
              <w:t>0.54112784</w:t>
            </w:r>
          </w:p>
        </w:tc>
      </w:tr>
      <w:tr w:rsidR="00AD6354" w:rsidRPr="00FA491C" w14:paraId="71117762" w14:textId="77777777" w:rsidTr="0035374E">
        <w:tc>
          <w:tcPr>
            <w:tcW w:w="1169" w:type="dxa"/>
            <w:tcBorders>
              <w:top w:val="single" w:sz="4" w:space="0" w:color="auto"/>
              <w:left w:val="single" w:sz="4" w:space="0" w:color="auto"/>
              <w:bottom w:val="single" w:sz="4" w:space="0" w:color="auto"/>
              <w:right w:val="single" w:sz="4" w:space="0" w:color="auto"/>
            </w:tcBorders>
          </w:tcPr>
          <w:p w14:paraId="3AFD3FD7" w14:textId="77777777" w:rsidR="00AD6354" w:rsidRPr="00FA491C" w:rsidRDefault="00AD6354" w:rsidP="00AD6354">
            <w:pPr>
              <w:jc w:val="both"/>
              <w:rPr>
                <w:sz w:val="22"/>
                <w:szCs w:val="22"/>
                <w:lang w:val="en-GB"/>
              </w:rPr>
            </w:pPr>
            <w:r w:rsidRPr="00FA491C">
              <w:rPr>
                <w:sz w:val="22"/>
                <w:szCs w:val="22"/>
                <w:lang w:val="en-GB"/>
              </w:rPr>
              <w:t>Q3</w:t>
            </w:r>
          </w:p>
        </w:tc>
        <w:tc>
          <w:tcPr>
            <w:tcW w:w="2797" w:type="dxa"/>
            <w:tcBorders>
              <w:top w:val="single" w:sz="4" w:space="0" w:color="auto"/>
              <w:left w:val="single" w:sz="4" w:space="0" w:color="auto"/>
              <w:bottom w:val="single" w:sz="4" w:space="0" w:color="auto"/>
              <w:right w:val="single" w:sz="4" w:space="0" w:color="auto"/>
            </w:tcBorders>
          </w:tcPr>
          <w:p w14:paraId="2086DE78" w14:textId="77777777" w:rsidR="00AD6354" w:rsidRPr="00FA491C" w:rsidRDefault="00AD6354" w:rsidP="00AD6354">
            <w:pPr>
              <w:jc w:val="center"/>
              <w:rPr>
                <w:sz w:val="22"/>
                <w:szCs w:val="22"/>
                <w:lang w:val="en-GB" w:eastAsia="hr-HR"/>
              </w:rPr>
            </w:pPr>
            <w:r w:rsidRPr="00FA491C">
              <w:rPr>
                <w:sz w:val="22"/>
                <w:szCs w:val="22"/>
                <w:lang w:val="en-GB" w:eastAsia="hr-HR"/>
              </w:rPr>
              <w:t>0.77976708</w:t>
            </w:r>
          </w:p>
        </w:tc>
      </w:tr>
    </w:tbl>
    <w:p w14:paraId="461DE9FB" w14:textId="10F170E1" w:rsidR="00AD6354" w:rsidRPr="00FA491C" w:rsidRDefault="00AD6354" w:rsidP="00AD6354">
      <w:pPr>
        <w:rPr>
          <w:sz w:val="22"/>
          <w:szCs w:val="22"/>
          <w:lang w:val="en-GB"/>
        </w:rPr>
      </w:pPr>
      <w:r w:rsidRPr="00FA491C">
        <w:rPr>
          <w:sz w:val="22"/>
          <w:szCs w:val="22"/>
          <w:lang w:val="en-GB"/>
        </w:rPr>
        <w:t xml:space="preserve">Table </w:t>
      </w:r>
      <w:r w:rsidR="003F511C">
        <w:rPr>
          <w:sz w:val="22"/>
          <w:szCs w:val="22"/>
          <w:lang w:val="en-GB"/>
        </w:rPr>
        <w:t>3</w:t>
      </w:r>
      <w:r w:rsidRPr="00FA491C">
        <w:rPr>
          <w:sz w:val="22"/>
          <w:szCs w:val="22"/>
          <w:lang w:val="en-GB"/>
        </w:rPr>
        <w:t>: Kaiser's Measure of Sampling Adequacy</w:t>
      </w:r>
    </w:p>
    <w:p w14:paraId="04A613EF" w14:textId="77777777" w:rsidR="00037D3F" w:rsidRPr="00FA491C" w:rsidRDefault="00037D3F" w:rsidP="0025585A">
      <w:pPr>
        <w:jc w:val="both"/>
        <w:rPr>
          <w:lang w:val="en-GB"/>
        </w:rPr>
      </w:pPr>
    </w:p>
    <w:p w14:paraId="725771D1" w14:textId="0D17F5CC" w:rsidR="00EF318D" w:rsidRPr="00FA491C" w:rsidRDefault="00EF318D" w:rsidP="0025585A">
      <w:pPr>
        <w:jc w:val="both"/>
        <w:rPr>
          <w:lang w:val="en-GB"/>
        </w:rPr>
      </w:pPr>
      <w:r w:rsidRPr="00FA491C">
        <w:rPr>
          <w:lang w:val="en-GB"/>
        </w:rPr>
        <w:t xml:space="preserve">The data </w:t>
      </w:r>
      <w:r w:rsidR="007175C5">
        <w:rPr>
          <w:lang w:val="en-GB"/>
        </w:rPr>
        <w:t>was</w:t>
      </w:r>
      <w:r w:rsidR="007175C5" w:rsidRPr="00FA491C">
        <w:rPr>
          <w:lang w:val="en-GB"/>
        </w:rPr>
        <w:t xml:space="preserve"> </w:t>
      </w:r>
      <w:r w:rsidRPr="00FA491C">
        <w:rPr>
          <w:lang w:val="en-GB"/>
        </w:rPr>
        <w:t xml:space="preserve">analysed by the principal component factor analysis and the eigenvalue criterion (all factors that have eigenvalues greater than one should be extracted) was used for the extraction of factors. Table </w:t>
      </w:r>
      <w:r w:rsidR="003F511C">
        <w:rPr>
          <w:lang w:val="en-GB"/>
        </w:rPr>
        <w:t>4</w:t>
      </w:r>
      <w:r w:rsidRPr="00FA491C">
        <w:rPr>
          <w:lang w:val="en-GB"/>
        </w:rPr>
        <w:t xml:space="preserve"> gives the </w:t>
      </w:r>
      <w:r w:rsidR="00301EE1" w:rsidRPr="00FA491C">
        <w:rPr>
          <w:lang w:val="en-GB"/>
        </w:rPr>
        <w:t xml:space="preserve">Eigenvalues, differences, proportions and cumulative proportions. </w:t>
      </w:r>
      <w:r w:rsidRPr="00FA491C">
        <w:rPr>
          <w:lang w:val="en-GB"/>
        </w:rPr>
        <w:t xml:space="preserve">According to </w:t>
      </w:r>
      <w:r w:rsidR="00193A76" w:rsidRPr="00FA491C">
        <w:rPr>
          <w:lang w:val="en-GB"/>
        </w:rPr>
        <w:t>that</w:t>
      </w:r>
      <w:r w:rsidRPr="00FA491C">
        <w:rPr>
          <w:lang w:val="en-GB"/>
        </w:rPr>
        <w:t xml:space="preserve"> </w:t>
      </w:r>
      <w:r w:rsidR="001555CE" w:rsidRPr="00FA491C">
        <w:rPr>
          <w:lang w:val="en-GB"/>
        </w:rPr>
        <w:t>criterion,</w:t>
      </w:r>
      <w:r w:rsidRPr="00FA491C">
        <w:rPr>
          <w:lang w:val="en-GB"/>
        </w:rPr>
        <w:t xml:space="preserve"> </w:t>
      </w:r>
      <w:r w:rsidR="00301EE1" w:rsidRPr="00FA491C">
        <w:rPr>
          <w:lang w:val="en-GB"/>
        </w:rPr>
        <w:t xml:space="preserve">only one factor was extracted. </w:t>
      </w:r>
      <w:r w:rsidRPr="00FA491C">
        <w:rPr>
          <w:lang w:val="en-GB"/>
        </w:rPr>
        <w:t>This extracted factor alone explains 6</w:t>
      </w:r>
      <w:r w:rsidR="00301EE1" w:rsidRPr="00FA491C">
        <w:rPr>
          <w:lang w:val="en-GB"/>
        </w:rPr>
        <w:t>0.52</w:t>
      </w:r>
      <w:r w:rsidRPr="00FA491C">
        <w:rPr>
          <w:lang w:val="en-GB"/>
        </w:rPr>
        <w:t>% of the total variance.</w:t>
      </w:r>
      <w:r w:rsidR="00301EE1" w:rsidRPr="00FA491C">
        <w:rPr>
          <w:lang w:val="en-GB"/>
        </w:rPr>
        <w:t xml:space="preserve"> </w:t>
      </w:r>
    </w:p>
    <w:p w14:paraId="1FB64F65" w14:textId="77777777" w:rsidR="00301EE1" w:rsidRPr="00FA491C" w:rsidRDefault="00301EE1" w:rsidP="0025585A">
      <w:pPr>
        <w:jc w:val="both"/>
        <w:rPr>
          <w:lang w:val="en-GB"/>
        </w:rPr>
      </w:pPr>
    </w:p>
    <w:tbl>
      <w:tblPr>
        <w:tblStyle w:val="Reetkatablice"/>
        <w:tblW w:w="0" w:type="auto"/>
        <w:tblInd w:w="108" w:type="dxa"/>
        <w:tblLook w:val="04A0" w:firstRow="1" w:lastRow="0" w:firstColumn="1" w:lastColumn="0" w:noHBand="0" w:noVBand="1"/>
      </w:tblPr>
      <w:tblGrid>
        <w:gridCol w:w="436"/>
        <w:gridCol w:w="1476"/>
        <w:gridCol w:w="1476"/>
        <w:gridCol w:w="1353"/>
        <w:gridCol w:w="2422"/>
      </w:tblGrid>
      <w:tr w:rsidR="00301EE1" w:rsidRPr="00FA491C" w14:paraId="7B72C4EF" w14:textId="77777777" w:rsidTr="0035374E">
        <w:tc>
          <w:tcPr>
            <w:tcW w:w="436" w:type="dxa"/>
          </w:tcPr>
          <w:p w14:paraId="3010A1E5" w14:textId="77777777" w:rsidR="00301EE1" w:rsidRPr="00FA491C" w:rsidRDefault="00301EE1" w:rsidP="0025585A">
            <w:pPr>
              <w:jc w:val="center"/>
              <w:rPr>
                <w:bCs/>
                <w:sz w:val="22"/>
                <w:szCs w:val="22"/>
                <w:lang w:val="en-GB" w:eastAsia="hr-HR"/>
              </w:rPr>
            </w:pPr>
            <w:r w:rsidRPr="00FA491C">
              <w:rPr>
                <w:bCs/>
                <w:sz w:val="22"/>
                <w:szCs w:val="22"/>
                <w:lang w:val="en-GB" w:eastAsia="hr-HR"/>
              </w:rPr>
              <w:t> </w:t>
            </w:r>
          </w:p>
        </w:tc>
        <w:tc>
          <w:tcPr>
            <w:tcW w:w="1476" w:type="dxa"/>
          </w:tcPr>
          <w:p w14:paraId="091F9D9E" w14:textId="77777777" w:rsidR="00301EE1" w:rsidRPr="00FA491C" w:rsidRDefault="00301EE1" w:rsidP="0025585A">
            <w:pPr>
              <w:jc w:val="center"/>
              <w:rPr>
                <w:bCs/>
                <w:sz w:val="22"/>
                <w:szCs w:val="22"/>
                <w:lang w:val="en-GB" w:eastAsia="hr-HR"/>
              </w:rPr>
            </w:pPr>
            <w:r w:rsidRPr="00FA491C">
              <w:rPr>
                <w:bCs/>
                <w:sz w:val="22"/>
                <w:szCs w:val="22"/>
                <w:lang w:val="en-GB" w:eastAsia="hr-HR"/>
              </w:rPr>
              <w:t>Eigenvalues</w:t>
            </w:r>
          </w:p>
        </w:tc>
        <w:tc>
          <w:tcPr>
            <w:tcW w:w="1476" w:type="dxa"/>
          </w:tcPr>
          <w:p w14:paraId="1CEE7E8F" w14:textId="77777777" w:rsidR="00301EE1" w:rsidRPr="00FA491C" w:rsidRDefault="00301EE1" w:rsidP="0025585A">
            <w:pPr>
              <w:jc w:val="center"/>
              <w:rPr>
                <w:bCs/>
                <w:sz w:val="22"/>
                <w:szCs w:val="22"/>
                <w:lang w:val="en-GB" w:eastAsia="hr-HR"/>
              </w:rPr>
            </w:pPr>
            <w:r w:rsidRPr="00FA491C">
              <w:rPr>
                <w:bCs/>
                <w:sz w:val="22"/>
                <w:szCs w:val="22"/>
                <w:lang w:val="en-GB" w:eastAsia="hr-HR"/>
              </w:rPr>
              <w:t>Differences</w:t>
            </w:r>
          </w:p>
        </w:tc>
        <w:tc>
          <w:tcPr>
            <w:tcW w:w="1353" w:type="dxa"/>
          </w:tcPr>
          <w:p w14:paraId="0479E45B" w14:textId="77777777" w:rsidR="00301EE1" w:rsidRPr="00FA491C" w:rsidRDefault="00301EE1" w:rsidP="0025585A">
            <w:pPr>
              <w:jc w:val="center"/>
              <w:rPr>
                <w:bCs/>
                <w:sz w:val="22"/>
                <w:szCs w:val="22"/>
                <w:lang w:val="en-GB" w:eastAsia="hr-HR"/>
              </w:rPr>
            </w:pPr>
            <w:r w:rsidRPr="00FA491C">
              <w:rPr>
                <w:bCs/>
                <w:sz w:val="22"/>
                <w:szCs w:val="22"/>
                <w:lang w:val="en-GB" w:eastAsia="hr-HR"/>
              </w:rPr>
              <w:t>Proportions</w:t>
            </w:r>
          </w:p>
        </w:tc>
        <w:tc>
          <w:tcPr>
            <w:tcW w:w="2422" w:type="dxa"/>
          </w:tcPr>
          <w:p w14:paraId="533A3792" w14:textId="77777777" w:rsidR="00301EE1" w:rsidRPr="00FA491C" w:rsidRDefault="00301EE1" w:rsidP="0025585A">
            <w:pPr>
              <w:jc w:val="center"/>
              <w:rPr>
                <w:bCs/>
                <w:sz w:val="22"/>
                <w:szCs w:val="22"/>
                <w:lang w:val="en-GB" w:eastAsia="hr-HR"/>
              </w:rPr>
            </w:pPr>
            <w:r w:rsidRPr="00FA491C">
              <w:rPr>
                <w:bCs/>
                <w:sz w:val="22"/>
                <w:szCs w:val="22"/>
                <w:lang w:val="en-GB" w:eastAsia="hr-HR"/>
              </w:rPr>
              <w:t>Cumulative proportions</w:t>
            </w:r>
          </w:p>
        </w:tc>
      </w:tr>
      <w:tr w:rsidR="00301EE1" w:rsidRPr="00FA491C" w14:paraId="64EAA1E9" w14:textId="77777777" w:rsidTr="0035374E">
        <w:tc>
          <w:tcPr>
            <w:tcW w:w="436" w:type="dxa"/>
          </w:tcPr>
          <w:p w14:paraId="7CFA106A" w14:textId="77777777" w:rsidR="00301EE1" w:rsidRPr="00FA491C" w:rsidRDefault="00301EE1" w:rsidP="0025585A">
            <w:pPr>
              <w:jc w:val="right"/>
              <w:rPr>
                <w:bCs/>
                <w:sz w:val="22"/>
                <w:szCs w:val="22"/>
                <w:lang w:val="en-GB" w:eastAsia="hr-HR"/>
              </w:rPr>
            </w:pPr>
            <w:r w:rsidRPr="00FA491C">
              <w:rPr>
                <w:bCs/>
                <w:sz w:val="22"/>
                <w:szCs w:val="22"/>
                <w:lang w:val="en-GB" w:eastAsia="hr-HR"/>
              </w:rPr>
              <w:t>1</w:t>
            </w:r>
          </w:p>
        </w:tc>
        <w:tc>
          <w:tcPr>
            <w:tcW w:w="1476" w:type="dxa"/>
          </w:tcPr>
          <w:p w14:paraId="20549BA2" w14:textId="77777777" w:rsidR="00301EE1" w:rsidRPr="00FA491C" w:rsidRDefault="00301EE1" w:rsidP="0025585A">
            <w:pPr>
              <w:jc w:val="right"/>
              <w:rPr>
                <w:lang w:val="en-GB" w:eastAsia="hr-HR"/>
              </w:rPr>
            </w:pPr>
            <w:r w:rsidRPr="00FA491C">
              <w:rPr>
                <w:lang w:val="en-GB" w:eastAsia="hr-HR"/>
              </w:rPr>
              <w:t>1.81555609</w:t>
            </w:r>
          </w:p>
        </w:tc>
        <w:tc>
          <w:tcPr>
            <w:tcW w:w="1476" w:type="dxa"/>
          </w:tcPr>
          <w:p w14:paraId="68E369B2" w14:textId="77777777" w:rsidR="00301EE1" w:rsidRPr="00FA491C" w:rsidRDefault="00301EE1" w:rsidP="0025585A">
            <w:pPr>
              <w:jc w:val="right"/>
              <w:rPr>
                <w:lang w:val="en-GB" w:eastAsia="hr-HR"/>
              </w:rPr>
            </w:pPr>
            <w:r w:rsidRPr="00FA491C">
              <w:rPr>
                <w:lang w:val="en-GB" w:eastAsia="hr-HR"/>
              </w:rPr>
              <w:t>0.96680702</w:t>
            </w:r>
          </w:p>
        </w:tc>
        <w:tc>
          <w:tcPr>
            <w:tcW w:w="1353" w:type="dxa"/>
          </w:tcPr>
          <w:p w14:paraId="775AB551" w14:textId="77777777" w:rsidR="00301EE1" w:rsidRPr="00FA491C" w:rsidRDefault="00301EE1" w:rsidP="0025585A">
            <w:pPr>
              <w:jc w:val="right"/>
              <w:rPr>
                <w:lang w:val="en-GB" w:eastAsia="hr-HR"/>
              </w:rPr>
            </w:pPr>
            <w:r w:rsidRPr="00FA491C">
              <w:rPr>
                <w:lang w:val="en-GB" w:eastAsia="hr-HR"/>
              </w:rPr>
              <w:t>0.6052</w:t>
            </w:r>
          </w:p>
        </w:tc>
        <w:tc>
          <w:tcPr>
            <w:tcW w:w="2422" w:type="dxa"/>
          </w:tcPr>
          <w:p w14:paraId="6DEAD497" w14:textId="77777777" w:rsidR="00301EE1" w:rsidRPr="00FA491C" w:rsidRDefault="00301EE1" w:rsidP="0025585A">
            <w:pPr>
              <w:jc w:val="right"/>
              <w:rPr>
                <w:lang w:val="en-GB" w:eastAsia="hr-HR"/>
              </w:rPr>
            </w:pPr>
            <w:r w:rsidRPr="00FA491C">
              <w:rPr>
                <w:lang w:val="en-GB" w:eastAsia="hr-HR"/>
              </w:rPr>
              <w:t>0.6052</w:t>
            </w:r>
          </w:p>
        </w:tc>
      </w:tr>
      <w:tr w:rsidR="00301EE1" w:rsidRPr="00FA491C" w14:paraId="78A31320" w14:textId="77777777" w:rsidTr="0035374E">
        <w:tc>
          <w:tcPr>
            <w:tcW w:w="436" w:type="dxa"/>
          </w:tcPr>
          <w:p w14:paraId="185247A1" w14:textId="77777777" w:rsidR="00301EE1" w:rsidRPr="00FA491C" w:rsidRDefault="00301EE1" w:rsidP="0025585A">
            <w:pPr>
              <w:jc w:val="right"/>
              <w:rPr>
                <w:bCs/>
                <w:sz w:val="22"/>
                <w:szCs w:val="22"/>
                <w:lang w:val="en-GB" w:eastAsia="hr-HR"/>
              </w:rPr>
            </w:pPr>
            <w:r w:rsidRPr="00FA491C">
              <w:rPr>
                <w:bCs/>
                <w:sz w:val="22"/>
                <w:szCs w:val="22"/>
                <w:lang w:val="en-GB" w:eastAsia="hr-HR"/>
              </w:rPr>
              <w:t>2</w:t>
            </w:r>
          </w:p>
        </w:tc>
        <w:tc>
          <w:tcPr>
            <w:tcW w:w="1476" w:type="dxa"/>
          </w:tcPr>
          <w:p w14:paraId="2792B91E" w14:textId="77777777" w:rsidR="00301EE1" w:rsidRPr="00FA491C" w:rsidRDefault="00301EE1" w:rsidP="0025585A">
            <w:pPr>
              <w:jc w:val="right"/>
              <w:rPr>
                <w:lang w:val="en-GB" w:eastAsia="hr-HR"/>
              </w:rPr>
            </w:pPr>
            <w:r w:rsidRPr="00FA491C">
              <w:rPr>
                <w:lang w:val="en-GB" w:eastAsia="hr-HR"/>
              </w:rPr>
              <w:t>0.84874907</w:t>
            </w:r>
          </w:p>
        </w:tc>
        <w:tc>
          <w:tcPr>
            <w:tcW w:w="1476" w:type="dxa"/>
          </w:tcPr>
          <w:p w14:paraId="42D46E45" w14:textId="77777777" w:rsidR="00301EE1" w:rsidRPr="00FA491C" w:rsidRDefault="00301EE1" w:rsidP="0025585A">
            <w:pPr>
              <w:jc w:val="right"/>
              <w:rPr>
                <w:lang w:val="en-GB" w:eastAsia="hr-HR"/>
              </w:rPr>
            </w:pPr>
            <w:r w:rsidRPr="00FA491C">
              <w:rPr>
                <w:lang w:val="en-GB" w:eastAsia="hr-HR"/>
              </w:rPr>
              <w:t>0.51305422</w:t>
            </w:r>
          </w:p>
        </w:tc>
        <w:tc>
          <w:tcPr>
            <w:tcW w:w="1353" w:type="dxa"/>
          </w:tcPr>
          <w:p w14:paraId="6A9713A6" w14:textId="77777777" w:rsidR="00301EE1" w:rsidRPr="00FA491C" w:rsidRDefault="00301EE1" w:rsidP="0025585A">
            <w:pPr>
              <w:jc w:val="right"/>
              <w:rPr>
                <w:lang w:val="en-GB" w:eastAsia="hr-HR"/>
              </w:rPr>
            </w:pPr>
            <w:r w:rsidRPr="00FA491C">
              <w:rPr>
                <w:lang w:val="en-GB" w:eastAsia="hr-HR"/>
              </w:rPr>
              <w:t>0.2829</w:t>
            </w:r>
          </w:p>
        </w:tc>
        <w:tc>
          <w:tcPr>
            <w:tcW w:w="2422" w:type="dxa"/>
          </w:tcPr>
          <w:p w14:paraId="40D9A531" w14:textId="77777777" w:rsidR="00301EE1" w:rsidRPr="00FA491C" w:rsidRDefault="00301EE1" w:rsidP="0025585A">
            <w:pPr>
              <w:jc w:val="right"/>
              <w:rPr>
                <w:lang w:val="en-GB" w:eastAsia="hr-HR"/>
              </w:rPr>
            </w:pPr>
            <w:r w:rsidRPr="00FA491C">
              <w:rPr>
                <w:lang w:val="en-GB" w:eastAsia="hr-HR"/>
              </w:rPr>
              <w:t>0.8881</w:t>
            </w:r>
          </w:p>
        </w:tc>
      </w:tr>
      <w:tr w:rsidR="00301EE1" w:rsidRPr="00FA491C" w14:paraId="2FF421A9" w14:textId="77777777" w:rsidTr="0035374E">
        <w:tc>
          <w:tcPr>
            <w:tcW w:w="436" w:type="dxa"/>
          </w:tcPr>
          <w:p w14:paraId="2321BA06" w14:textId="77777777" w:rsidR="00301EE1" w:rsidRPr="00FA491C" w:rsidRDefault="00301EE1" w:rsidP="0025585A">
            <w:pPr>
              <w:jc w:val="right"/>
              <w:rPr>
                <w:bCs/>
                <w:sz w:val="22"/>
                <w:szCs w:val="22"/>
                <w:lang w:val="en-GB" w:eastAsia="hr-HR"/>
              </w:rPr>
            </w:pPr>
            <w:r w:rsidRPr="00FA491C">
              <w:rPr>
                <w:bCs/>
                <w:sz w:val="22"/>
                <w:szCs w:val="22"/>
                <w:lang w:val="en-GB" w:eastAsia="hr-HR"/>
              </w:rPr>
              <w:t>3</w:t>
            </w:r>
          </w:p>
        </w:tc>
        <w:tc>
          <w:tcPr>
            <w:tcW w:w="1476" w:type="dxa"/>
          </w:tcPr>
          <w:p w14:paraId="5FEA3458" w14:textId="77777777" w:rsidR="00301EE1" w:rsidRPr="00FA491C" w:rsidRDefault="00301EE1" w:rsidP="0025585A">
            <w:pPr>
              <w:jc w:val="right"/>
              <w:rPr>
                <w:lang w:val="en-GB" w:eastAsia="hr-HR"/>
              </w:rPr>
            </w:pPr>
            <w:r w:rsidRPr="00FA491C">
              <w:rPr>
                <w:lang w:val="en-GB" w:eastAsia="hr-HR"/>
              </w:rPr>
              <w:t>0.33569485</w:t>
            </w:r>
          </w:p>
        </w:tc>
        <w:tc>
          <w:tcPr>
            <w:tcW w:w="1476" w:type="dxa"/>
          </w:tcPr>
          <w:p w14:paraId="36E70EB4" w14:textId="77777777" w:rsidR="00301EE1" w:rsidRPr="00FA491C" w:rsidRDefault="00301EE1" w:rsidP="0025585A">
            <w:pPr>
              <w:jc w:val="right"/>
              <w:rPr>
                <w:lang w:val="en-GB" w:eastAsia="hr-HR"/>
              </w:rPr>
            </w:pPr>
            <w:r w:rsidRPr="00FA491C">
              <w:rPr>
                <w:lang w:val="en-GB" w:eastAsia="hr-HR"/>
              </w:rPr>
              <w:t> </w:t>
            </w:r>
          </w:p>
        </w:tc>
        <w:tc>
          <w:tcPr>
            <w:tcW w:w="1353" w:type="dxa"/>
          </w:tcPr>
          <w:p w14:paraId="592BD719" w14:textId="77777777" w:rsidR="00301EE1" w:rsidRPr="00FA491C" w:rsidRDefault="00301EE1" w:rsidP="0025585A">
            <w:pPr>
              <w:jc w:val="right"/>
              <w:rPr>
                <w:lang w:val="en-GB" w:eastAsia="hr-HR"/>
              </w:rPr>
            </w:pPr>
            <w:r w:rsidRPr="00FA491C">
              <w:rPr>
                <w:lang w:val="en-GB" w:eastAsia="hr-HR"/>
              </w:rPr>
              <w:t>0.1119</w:t>
            </w:r>
          </w:p>
        </w:tc>
        <w:tc>
          <w:tcPr>
            <w:tcW w:w="2422" w:type="dxa"/>
          </w:tcPr>
          <w:p w14:paraId="01E7AD68" w14:textId="77777777" w:rsidR="00301EE1" w:rsidRPr="00FA491C" w:rsidRDefault="00301EE1" w:rsidP="0025585A">
            <w:pPr>
              <w:jc w:val="right"/>
              <w:rPr>
                <w:lang w:val="en-GB" w:eastAsia="hr-HR"/>
              </w:rPr>
            </w:pPr>
            <w:r w:rsidRPr="00FA491C">
              <w:rPr>
                <w:lang w:val="en-GB" w:eastAsia="hr-HR"/>
              </w:rPr>
              <w:t>1.0000</w:t>
            </w:r>
          </w:p>
        </w:tc>
      </w:tr>
    </w:tbl>
    <w:p w14:paraId="43BC10AF" w14:textId="4B6377B2" w:rsidR="00301EE1" w:rsidRPr="00FA491C" w:rsidRDefault="00301EE1" w:rsidP="0025585A">
      <w:pPr>
        <w:rPr>
          <w:sz w:val="22"/>
          <w:szCs w:val="22"/>
          <w:lang w:val="en-GB"/>
        </w:rPr>
      </w:pPr>
      <w:r w:rsidRPr="00FA491C">
        <w:rPr>
          <w:sz w:val="22"/>
          <w:szCs w:val="22"/>
          <w:lang w:val="en-GB"/>
        </w:rPr>
        <w:t xml:space="preserve">Table </w:t>
      </w:r>
      <w:r w:rsidR="003F511C">
        <w:rPr>
          <w:sz w:val="22"/>
          <w:szCs w:val="22"/>
          <w:lang w:val="en-GB"/>
        </w:rPr>
        <w:t>4</w:t>
      </w:r>
      <w:r w:rsidRPr="00FA491C">
        <w:rPr>
          <w:sz w:val="22"/>
          <w:szCs w:val="22"/>
          <w:lang w:val="en-GB"/>
        </w:rPr>
        <w:t>: Eigenvalues, differences, proportions and cumulative proportions</w:t>
      </w:r>
    </w:p>
    <w:p w14:paraId="20D8F493" w14:textId="77777777" w:rsidR="00301EE1" w:rsidRPr="00FA491C" w:rsidRDefault="00301EE1" w:rsidP="0025585A">
      <w:pPr>
        <w:spacing w:before="120"/>
        <w:jc w:val="both"/>
        <w:rPr>
          <w:color w:val="FF0000"/>
          <w:lang w:val="en-GB" w:eastAsia="hr-HR"/>
        </w:rPr>
      </w:pPr>
    </w:p>
    <w:p w14:paraId="3E2B6D91" w14:textId="4A13B6D3" w:rsidR="00375521" w:rsidRPr="00FA491C" w:rsidRDefault="004B75CC" w:rsidP="00375521">
      <w:pPr>
        <w:jc w:val="both"/>
        <w:rPr>
          <w:lang w:val="en-GB"/>
        </w:rPr>
      </w:pPr>
      <w:r w:rsidRPr="00FA491C">
        <w:rPr>
          <w:lang w:val="en-GB" w:eastAsia="hr-HR"/>
        </w:rPr>
        <w:t xml:space="preserve">The factor matrix is given in Table </w:t>
      </w:r>
      <w:r w:rsidR="003F511C">
        <w:rPr>
          <w:lang w:val="en-GB" w:eastAsia="hr-HR"/>
        </w:rPr>
        <w:t>5</w:t>
      </w:r>
      <w:r w:rsidRPr="00FA491C">
        <w:rPr>
          <w:lang w:val="en-GB" w:eastAsia="hr-HR"/>
        </w:rPr>
        <w:t xml:space="preserve">. </w:t>
      </w:r>
      <w:r w:rsidR="0025585A" w:rsidRPr="00FA491C">
        <w:rPr>
          <w:lang w:val="en-GB" w:eastAsia="hr-HR"/>
        </w:rPr>
        <w:t xml:space="preserve">It can be seen that </w:t>
      </w:r>
      <w:r w:rsidR="0025585A" w:rsidRPr="00FA491C">
        <w:rPr>
          <w:lang w:val="en-GB"/>
        </w:rPr>
        <w:t>all factor loadings are greater than 0.5 which means that they are all satisfactory. The extracted factor represents the new CS composite indicator of households’ financial distress on those three chosen variables.</w:t>
      </w:r>
      <w:r w:rsidR="00375521" w:rsidRPr="00FA491C">
        <w:rPr>
          <w:lang w:val="en-GB"/>
        </w:rPr>
        <w:t xml:space="preserve"> For the purpose of further analysis the factor scores were calculated for this one retained factor.</w:t>
      </w:r>
    </w:p>
    <w:p w14:paraId="23171610" w14:textId="77777777" w:rsidR="0025585A" w:rsidRPr="00FA491C" w:rsidRDefault="0025585A" w:rsidP="0025585A">
      <w:pPr>
        <w:jc w:val="both"/>
        <w:rPr>
          <w:lang w:val="en-GB"/>
        </w:rPr>
      </w:pPr>
    </w:p>
    <w:tbl>
      <w:tblPr>
        <w:tblStyle w:val="Reetkatablice"/>
        <w:tblW w:w="0" w:type="auto"/>
        <w:tblInd w:w="108" w:type="dxa"/>
        <w:tblLook w:val="04A0" w:firstRow="1" w:lastRow="0" w:firstColumn="1" w:lastColumn="0" w:noHBand="0" w:noVBand="1"/>
      </w:tblPr>
      <w:tblGrid>
        <w:gridCol w:w="1256"/>
        <w:gridCol w:w="1116"/>
      </w:tblGrid>
      <w:tr w:rsidR="0025585A" w:rsidRPr="00FA491C" w14:paraId="4CAE2FB6" w14:textId="77777777" w:rsidTr="0035374E">
        <w:tc>
          <w:tcPr>
            <w:tcW w:w="1256" w:type="dxa"/>
            <w:tcBorders>
              <w:bottom w:val="single" w:sz="4" w:space="0" w:color="auto"/>
            </w:tcBorders>
          </w:tcPr>
          <w:p w14:paraId="47B63B1B" w14:textId="77777777" w:rsidR="0025585A" w:rsidRPr="00FA491C" w:rsidRDefault="0025585A" w:rsidP="0025585A">
            <w:pPr>
              <w:rPr>
                <w:lang w:val="en-GB"/>
              </w:rPr>
            </w:pPr>
            <w:r w:rsidRPr="00FA491C">
              <w:rPr>
                <w:lang w:val="en-GB"/>
              </w:rPr>
              <w:t>Variables</w:t>
            </w:r>
          </w:p>
        </w:tc>
        <w:tc>
          <w:tcPr>
            <w:tcW w:w="1116" w:type="dxa"/>
            <w:tcBorders>
              <w:bottom w:val="single" w:sz="4" w:space="0" w:color="auto"/>
            </w:tcBorders>
          </w:tcPr>
          <w:p w14:paraId="350645BD" w14:textId="77777777" w:rsidR="0025585A" w:rsidRPr="00FA491C" w:rsidRDefault="0025585A" w:rsidP="0025585A">
            <w:pPr>
              <w:rPr>
                <w:lang w:val="en-GB"/>
              </w:rPr>
            </w:pPr>
            <w:r w:rsidRPr="00FA491C">
              <w:rPr>
                <w:bCs/>
                <w:lang w:val="en-GB" w:eastAsia="hr-HR"/>
              </w:rPr>
              <w:t>Factor1</w:t>
            </w:r>
          </w:p>
        </w:tc>
      </w:tr>
      <w:tr w:rsidR="0025585A" w:rsidRPr="00FA491C" w14:paraId="4746C9CA" w14:textId="77777777" w:rsidTr="0035374E">
        <w:tc>
          <w:tcPr>
            <w:tcW w:w="1256" w:type="dxa"/>
            <w:tcBorders>
              <w:top w:val="single" w:sz="4" w:space="0" w:color="auto"/>
              <w:left w:val="single" w:sz="4" w:space="0" w:color="auto"/>
              <w:bottom w:val="nil"/>
              <w:right w:val="single" w:sz="4" w:space="0" w:color="auto"/>
            </w:tcBorders>
          </w:tcPr>
          <w:p w14:paraId="516940F8" w14:textId="77777777" w:rsidR="0025585A" w:rsidRPr="00FA491C" w:rsidRDefault="0025585A" w:rsidP="0025585A">
            <w:pPr>
              <w:rPr>
                <w:sz w:val="22"/>
                <w:szCs w:val="22"/>
                <w:lang w:val="en-GB"/>
              </w:rPr>
            </w:pPr>
            <w:r w:rsidRPr="00FA491C">
              <w:rPr>
                <w:sz w:val="22"/>
                <w:szCs w:val="22"/>
                <w:lang w:val="en-GB"/>
              </w:rPr>
              <w:t>Q1</w:t>
            </w:r>
          </w:p>
        </w:tc>
        <w:tc>
          <w:tcPr>
            <w:tcW w:w="1116" w:type="dxa"/>
            <w:tcBorders>
              <w:top w:val="single" w:sz="4" w:space="0" w:color="auto"/>
              <w:left w:val="single" w:sz="4" w:space="0" w:color="auto"/>
              <w:bottom w:val="nil"/>
              <w:right w:val="single" w:sz="4" w:space="0" w:color="auto"/>
            </w:tcBorders>
          </w:tcPr>
          <w:p w14:paraId="4DEE3A7E" w14:textId="77777777" w:rsidR="0025585A" w:rsidRPr="00FA491C" w:rsidRDefault="0025585A" w:rsidP="0025585A">
            <w:pPr>
              <w:rPr>
                <w:lang w:val="en-GB" w:eastAsia="hr-HR"/>
              </w:rPr>
            </w:pPr>
            <w:r w:rsidRPr="00FA491C">
              <w:rPr>
                <w:lang w:val="en-GB" w:eastAsia="hr-HR"/>
              </w:rPr>
              <w:t>0.88428</w:t>
            </w:r>
          </w:p>
        </w:tc>
      </w:tr>
      <w:tr w:rsidR="0025585A" w:rsidRPr="00FA491C" w14:paraId="3764ED54" w14:textId="77777777" w:rsidTr="0035374E">
        <w:tc>
          <w:tcPr>
            <w:tcW w:w="1256" w:type="dxa"/>
            <w:tcBorders>
              <w:top w:val="nil"/>
              <w:left w:val="single" w:sz="4" w:space="0" w:color="auto"/>
              <w:bottom w:val="nil"/>
              <w:right w:val="single" w:sz="4" w:space="0" w:color="auto"/>
            </w:tcBorders>
          </w:tcPr>
          <w:p w14:paraId="01B8384F" w14:textId="77777777" w:rsidR="0025585A" w:rsidRPr="00FA491C" w:rsidRDefault="0025585A" w:rsidP="0025585A">
            <w:pPr>
              <w:rPr>
                <w:sz w:val="22"/>
                <w:szCs w:val="22"/>
                <w:lang w:val="en-GB"/>
              </w:rPr>
            </w:pPr>
            <w:r w:rsidRPr="00FA491C">
              <w:rPr>
                <w:sz w:val="22"/>
                <w:szCs w:val="22"/>
                <w:lang w:val="en-GB"/>
              </w:rPr>
              <w:t>Q2</w:t>
            </w:r>
          </w:p>
        </w:tc>
        <w:tc>
          <w:tcPr>
            <w:tcW w:w="1116" w:type="dxa"/>
            <w:tcBorders>
              <w:top w:val="nil"/>
              <w:left w:val="single" w:sz="4" w:space="0" w:color="auto"/>
              <w:bottom w:val="nil"/>
              <w:right w:val="single" w:sz="4" w:space="0" w:color="auto"/>
            </w:tcBorders>
          </w:tcPr>
          <w:p w14:paraId="1354CDB9" w14:textId="77777777" w:rsidR="0025585A" w:rsidRPr="00FA491C" w:rsidRDefault="0025585A" w:rsidP="0025585A">
            <w:pPr>
              <w:rPr>
                <w:lang w:val="en-GB" w:eastAsia="hr-HR"/>
              </w:rPr>
            </w:pPr>
            <w:r w:rsidRPr="00FA491C">
              <w:rPr>
                <w:lang w:val="en-GB" w:eastAsia="hr-HR"/>
              </w:rPr>
              <w:t>0.86281</w:t>
            </w:r>
          </w:p>
        </w:tc>
      </w:tr>
      <w:tr w:rsidR="0025585A" w:rsidRPr="00FA491C" w14:paraId="50AC6122" w14:textId="77777777" w:rsidTr="0035374E">
        <w:tc>
          <w:tcPr>
            <w:tcW w:w="1256" w:type="dxa"/>
            <w:tcBorders>
              <w:top w:val="nil"/>
              <w:left w:val="single" w:sz="4" w:space="0" w:color="auto"/>
              <w:bottom w:val="single" w:sz="4" w:space="0" w:color="auto"/>
              <w:right w:val="single" w:sz="4" w:space="0" w:color="auto"/>
            </w:tcBorders>
          </w:tcPr>
          <w:p w14:paraId="35F1860F" w14:textId="77777777" w:rsidR="0025585A" w:rsidRPr="00FA491C" w:rsidRDefault="0025585A" w:rsidP="0025585A">
            <w:pPr>
              <w:rPr>
                <w:sz w:val="22"/>
                <w:szCs w:val="22"/>
                <w:lang w:val="en-GB"/>
              </w:rPr>
            </w:pPr>
            <w:r w:rsidRPr="00FA491C">
              <w:rPr>
                <w:sz w:val="22"/>
                <w:szCs w:val="22"/>
                <w:lang w:val="en-GB"/>
              </w:rPr>
              <w:t>Q3</w:t>
            </w:r>
          </w:p>
        </w:tc>
        <w:tc>
          <w:tcPr>
            <w:tcW w:w="1116" w:type="dxa"/>
            <w:tcBorders>
              <w:top w:val="nil"/>
              <w:left w:val="single" w:sz="4" w:space="0" w:color="auto"/>
              <w:bottom w:val="single" w:sz="4" w:space="0" w:color="auto"/>
              <w:right w:val="single" w:sz="4" w:space="0" w:color="auto"/>
            </w:tcBorders>
          </w:tcPr>
          <w:p w14:paraId="0DB0BF6D" w14:textId="77777777" w:rsidR="0025585A" w:rsidRPr="00FA491C" w:rsidRDefault="0025585A" w:rsidP="0025585A">
            <w:pPr>
              <w:rPr>
                <w:lang w:val="en-GB" w:eastAsia="hr-HR"/>
              </w:rPr>
            </w:pPr>
            <w:r w:rsidRPr="00FA491C">
              <w:rPr>
                <w:lang w:val="en-GB" w:eastAsia="hr-HR"/>
              </w:rPr>
              <w:t>0.53774</w:t>
            </w:r>
          </w:p>
        </w:tc>
      </w:tr>
    </w:tbl>
    <w:p w14:paraId="00173976" w14:textId="3D50BAAF" w:rsidR="0025585A" w:rsidRDefault="0025585A" w:rsidP="0025585A">
      <w:pPr>
        <w:rPr>
          <w:lang w:val="en-GB" w:eastAsia="hr-HR"/>
        </w:rPr>
      </w:pPr>
      <w:r w:rsidRPr="00FA491C">
        <w:rPr>
          <w:lang w:val="en-GB"/>
        </w:rPr>
        <w:t xml:space="preserve">Table </w:t>
      </w:r>
      <w:r w:rsidR="003F511C">
        <w:rPr>
          <w:lang w:val="en-GB"/>
        </w:rPr>
        <w:t>5</w:t>
      </w:r>
      <w:r w:rsidRPr="00FA491C">
        <w:rPr>
          <w:lang w:val="en-GB"/>
        </w:rPr>
        <w:t xml:space="preserve">: Factor </w:t>
      </w:r>
      <w:r w:rsidRPr="00FA491C">
        <w:rPr>
          <w:lang w:val="en-GB" w:eastAsia="hr-HR"/>
        </w:rPr>
        <w:t>matrix</w:t>
      </w:r>
    </w:p>
    <w:p w14:paraId="5255817D" w14:textId="77777777" w:rsidR="00AE7613" w:rsidRDefault="00AE7613" w:rsidP="0025585A">
      <w:pPr>
        <w:rPr>
          <w:lang w:val="en-GB"/>
        </w:rPr>
      </w:pPr>
    </w:p>
    <w:p w14:paraId="5607C0AA" w14:textId="77777777" w:rsidR="00AE7613" w:rsidRPr="00FA491C" w:rsidRDefault="00AE7613" w:rsidP="00AE7613">
      <w:pPr>
        <w:jc w:val="both"/>
        <w:rPr>
          <w:lang w:val="en-GB"/>
        </w:rPr>
      </w:pPr>
      <w:r>
        <w:rPr>
          <w:lang w:val="en-GB"/>
        </w:rPr>
        <w:lastRenderedPageBreak/>
        <w:t>The new CS indicator, based on first differences of time series data, presented at the Figure 1 suggests monthly changes in consume</w:t>
      </w:r>
      <w:r w:rsidRPr="00FA491C">
        <w:rPr>
          <w:lang w:val="en-GB" w:eastAsia="hr-HR"/>
        </w:rPr>
        <w:t>r</w:t>
      </w:r>
      <w:r>
        <w:rPr>
          <w:lang w:val="en-GB" w:eastAsia="hr-HR"/>
        </w:rPr>
        <w:t>s’ assessments</w:t>
      </w:r>
      <w:r>
        <w:rPr>
          <w:lang w:val="en-GB"/>
        </w:rPr>
        <w:t xml:space="preserve"> and expectations in their financial situation. </w:t>
      </w:r>
    </w:p>
    <w:p w14:paraId="7ACAED8A" w14:textId="77777777" w:rsidR="00AE7613" w:rsidRPr="00FA491C" w:rsidRDefault="00AE7613" w:rsidP="0025585A">
      <w:pPr>
        <w:rPr>
          <w:lang w:val="en-GB"/>
        </w:rPr>
      </w:pPr>
    </w:p>
    <w:p w14:paraId="4B01353D" w14:textId="08643317" w:rsidR="00AE7613" w:rsidRDefault="00AE7613" w:rsidP="00AD140F">
      <w:pPr>
        <w:autoSpaceDE w:val="0"/>
        <w:autoSpaceDN w:val="0"/>
        <w:adjustRightInd w:val="0"/>
        <w:spacing w:before="120"/>
        <w:jc w:val="center"/>
        <w:rPr>
          <w:lang w:val="en-GB"/>
        </w:rPr>
      </w:pPr>
      <w:r>
        <w:rPr>
          <w:noProof/>
          <w:lang w:val="hr-HR" w:eastAsia="hr-HR"/>
        </w:rPr>
        <w:drawing>
          <wp:inline distT="0" distB="0" distL="0" distR="0" wp14:anchorId="0708A93D" wp14:editId="2F9716E1">
            <wp:extent cx="4162425" cy="2409825"/>
            <wp:effectExtent l="0" t="0" r="0" b="0"/>
            <wp:docPr id="14" name="Grafikon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4C67533" w14:textId="62B81E23" w:rsidR="00AD140F" w:rsidRPr="00FA491C" w:rsidRDefault="00AD140F" w:rsidP="00AD140F">
      <w:pPr>
        <w:autoSpaceDE w:val="0"/>
        <w:autoSpaceDN w:val="0"/>
        <w:adjustRightInd w:val="0"/>
        <w:spacing w:before="120"/>
        <w:jc w:val="center"/>
        <w:rPr>
          <w:lang w:val="en-GB" w:eastAsia="hr-HR"/>
        </w:rPr>
      </w:pPr>
      <w:r w:rsidRPr="00FA491C">
        <w:rPr>
          <w:lang w:val="en-GB" w:eastAsia="hr-HR"/>
        </w:rPr>
        <w:t xml:space="preserve">Figure </w:t>
      </w:r>
      <w:r>
        <w:rPr>
          <w:lang w:val="en-GB" w:eastAsia="hr-HR"/>
        </w:rPr>
        <w:t>1</w:t>
      </w:r>
      <w:r w:rsidRPr="00FA491C">
        <w:rPr>
          <w:lang w:val="en-GB" w:eastAsia="hr-HR"/>
        </w:rPr>
        <w:t xml:space="preserve">: </w:t>
      </w:r>
      <w:r>
        <w:rPr>
          <w:lang w:val="en-GB"/>
        </w:rPr>
        <w:t>New CS indicator</w:t>
      </w:r>
    </w:p>
    <w:p w14:paraId="6D4F2716" w14:textId="77777777" w:rsidR="001555CE" w:rsidRDefault="001555CE" w:rsidP="0025585A">
      <w:pPr>
        <w:rPr>
          <w:lang w:val="en-GB"/>
        </w:rPr>
      </w:pPr>
    </w:p>
    <w:p w14:paraId="0E3A3D2C" w14:textId="2452E6F7" w:rsidR="001555CE" w:rsidRPr="00D237D5" w:rsidRDefault="00375521" w:rsidP="00D237D5">
      <w:pPr>
        <w:spacing w:before="120"/>
        <w:jc w:val="both"/>
        <w:rPr>
          <w:lang w:val="en-GB"/>
        </w:rPr>
      </w:pPr>
      <w:r w:rsidRPr="00FA491C">
        <w:rPr>
          <w:lang w:val="en-GB"/>
        </w:rPr>
        <w:t>These calculated factor scores were used for the comparison with the selected variables from the EU-SILC</w:t>
      </w:r>
      <w:r w:rsidR="001A3664" w:rsidRPr="00FA491C">
        <w:rPr>
          <w:lang w:val="en-GB"/>
        </w:rPr>
        <w:t xml:space="preserve"> data</w:t>
      </w:r>
      <w:r w:rsidR="003A106A" w:rsidRPr="00FA491C">
        <w:rPr>
          <w:lang w:val="en-GB"/>
        </w:rPr>
        <w:t xml:space="preserve">: </w:t>
      </w:r>
      <w:r w:rsidR="00763ECA" w:rsidRPr="00FA491C">
        <w:rPr>
          <w:lang w:val="en-GB" w:eastAsia="hr-HR"/>
        </w:rPr>
        <w:t xml:space="preserve">at-risk-of-poverty rate by poverty, people at risk of poverty or social exclusion, severe material deprivation rate, at-risk-of-poverty rate before social transfers (pensions excluded from social transfers), and </w:t>
      </w:r>
      <w:r w:rsidR="007175C5">
        <w:rPr>
          <w:lang w:val="en-GB" w:eastAsia="hr-HR"/>
        </w:rPr>
        <w:t>at</w:t>
      </w:r>
      <w:r w:rsidR="00763ECA" w:rsidRPr="00FA491C">
        <w:rPr>
          <w:lang w:val="en-GB" w:eastAsia="hr-HR"/>
        </w:rPr>
        <w:t xml:space="preserve">-risk-of-poverty rate before social transfers </w:t>
      </w:r>
      <w:r w:rsidR="00763ECA" w:rsidRPr="00FA491C">
        <w:rPr>
          <w:color w:val="000000" w:themeColor="text1"/>
          <w:lang w:val="en-GB" w:eastAsia="hr-HR"/>
        </w:rPr>
        <w:t xml:space="preserve">(pensions included in social transfers). </w:t>
      </w:r>
      <w:r w:rsidRPr="00FA491C">
        <w:rPr>
          <w:color w:val="000000" w:themeColor="text1"/>
          <w:lang w:val="en-GB" w:eastAsia="hr-HR"/>
        </w:rPr>
        <w:t xml:space="preserve">Since </w:t>
      </w:r>
      <w:r w:rsidRPr="00FA491C">
        <w:rPr>
          <w:color w:val="000000" w:themeColor="text1"/>
          <w:lang w:val="en-GB"/>
        </w:rPr>
        <w:t>the variables of the EU-SILC data are annual and these factor scores are based on monthly data</w:t>
      </w:r>
      <w:r w:rsidR="007175C5">
        <w:rPr>
          <w:color w:val="000000" w:themeColor="text1"/>
          <w:lang w:val="en-GB"/>
        </w:rPr>
        <w:t>,</w:t>
      </w:r>
      <w:r w:rsidRPr="00FA491C">
        <w:rPr>
          <w:color w:val="000000" w:themeColor="text1"/>
          <w:lang w:val="en-GB"/>
        </w:rPr>
        <w:t xml:space="preserve"> they were transformed into annual data.</w:t>
      </w:r>
      <w:r w:rsidR="009F1AD2" w:rsidRPr="00FA491C">
        <w:rPr>
          <w:color w:val="000000" w:themeColor="text1"/>
          <w:lang w:val="en-GB"/>
        </w:rPr>
        <w:t xml:space="preserve"> Furthermore, the first differences for the EU-SILC data were used, as </w:t>
      </w:r>
      <w:r w:rsidR="00AE0F91">
        <w:rPr>
          <w:color w:val="000000" w:themeColor="text1"/>
          <w:lang w:val="en-GB"/>
        </w:rPr>
        <w:t>they were</w:t>
      </w:r>
      <w:r w:rsidR="009F1AD2" w:rsidRPr="00FA491C">
        <w:rPr>
          <w:color w:val="000000" w:themeColor="text1"/>
          <w:lang w:val="en-GB"/>
        </w:rPr>
        <w:t xml:space="preserve"> used for the CS data in factor analysis.</w:t>
      </w:r>
      <w:r w:rsidR="00D237D5">
        <w:rPr>
          <w:color w:val="000000" w:themeColor="text1"/>
          <w:lang w:val="en-GB"/>
        </w:rPr>
        <w:t xml:space="preserve"> </w:t>
      </w:r>
      <w:r w:rsidR="00763ECA" w:rsidRPr="00D237D5">
        <w:rPr>
          <w:lang w:val="en-GB"/>
        </w:rPr>
        <w:t xml:space="preserve">Figure </w:t>
      </w:r>
      <w:r w:rsidR="00AD140F" w:rsidRPr="00D237D5">
        <w:rPr>
          <w:lang w:val="en-GB"/>
        </w:rPr>
        <w:t xml:space="preserve">2 </w:t>
      </w:r>
      <w:r w:rsidR="00763ECA" w:rsidRPr="00D237D5">
        <w:rPr>
          <w:lang w:val="en-GB"/>
        </w:rPr>
        <w:t xml:space="preserve">shows the </w:t>
      </w:r>
      <w:r w:rsidR="00D237D5" w:rsidRPr="00D237D5">
        <w:rPr>
          <w:lang w:val="en-GB"/>
        </w:rPr>
        <w:t xml:space="preserve">comparison </w:t>
      </w:r>
      <w:r w:rsidR="00763ECA" w:rsidRPr="00D237D5">
        <w:rPr>
          <w:lang w:val="en-GB"/>
        </w:rPr>
        <w:t xml:space="preserve">between the new CS indicator and selected EU-SILC variables. </w:t>
      </w:r>
    </w:p>
    <w:p w14:paraId="2BFDAEAB" w14:textId="77777777" w:rsidR="00F062FF" w:rsidRDefault="00F062FF" w:rsidP="00F062FF">
      <w:pPr>
        <w:rPr>
          <w:lang w:val="en-GB"/>
        </w:rPr>
      </w:pPr>
    </w:p>
    <w:tbl>
      <w:tblPr>
        <w:tblStyle w:val="Reetkatablice"/>
        <w:tblW w:w="9178" w:type="dxa"/>
        <w:tblInd w:w="108" w:type="dxa"/>
        <w:tblLayout w:type="fixed"/>
        <w:tblLook w:val="04A0" w:firstRow="1" w:lastRow="0" w:firstColumn="1" w:lastColumn="0" w:noHBand="0" w:noVBand="1"/>
      </w:tblPr>
      <w:tblGrid>
        <w:gridCol w:w="4678"/>
        <w:gridCol w:w="4500"/>
      </w:tblGrid>
      <w:tr w:rsidR="00205030" w:rsidRPr="00FA491C" w14:paraId="7643A724" w14:textId="77777777" w:rsidTr="00EC66A0">
        <w:tc>
          <w:tcPr>
            <w:tcW w:w="4678" w:type="dxa"/>
          </w:tcPr>
          <w:p w14:paraId="3B1FEFD6" w14:textId="77777777" w:rsidR="00205030" w:rsidRPr="00FA491C" w:rsidRDefault="00205030" w:rsidP="00EC66A0">
            <w:pPr>
              <w:rPr>
                <w:lang w:val="en-GB"/>
              </w:rPr>
            </w:pPr>
            <w:r>
              <w:rPr>
                <w:noProof/>
                <w:lang w:val="hr-HR" w:eastAsia="hr-HR"/>
              </w:rPr>
              <w:drawing>
                <wp:inline distT="0" distB="0" distL="0" distR="0" wp14:anchorId="772FA377" wp14:editId="43098879">
                  <wp:extent cx="2712720" cy="1965960"/>
                  <wp:effectExtent l="0" t="0" r="0" b="0"/>
                  <wp:docPr id="5"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4500" w:type="dxa"/>
          </w:tcPr>
          <w:p w14:paraId="5340C147" w14:textId="77777777" w:rsidR="00205030" w:rsidRPr="00FA491C" w:rsidRDefault="00205030" w:rsidP="00EC66A0">
            <w:pPr>
              <w:rPr>
                <w:lang w:val="en-GB"/>
              </w:rPr>
            </w:pPr>
            <w:r>
              <w:rPr>
                <w:noProof/>
                <w:lang w:val="hr-HR" w:eastAsia="hr-HR"/>
              </w:rPr>
              <w:drawing>
                <wp:inline distT="0" distB="0" distL="0" distR="0" wp14:anchorId="6564F361" wp14:editId="1EE9772E">
                  <wp:extent cx="2636520" cy="1905000"/>
                  <wp:effectExtent l="0" t="0" r="0" b="0"/>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205030" w:rsidRPr="00FA491C" w14:paraId="289F0280" w14:textId="77777777" w:rsidTr="00EC66A0">
        <w:tc>
          <w:tcPr>
            <w:tcW w:w="4678" w:type="dxa"/>
          </w:tcPr>
          <w:p w14:paraId="1C7014EE" w14:textId="77777777" w:rsidR="00205030" w:rsidRPr="00FA491C" w:rsidRDefault="00205030" w:rsidP="00EC66A0">
            <w:pPr>
              <w:rPr>
                <w:noProof/>
                <w:lang w:val="en-GB" w:eastAsia="hr-HR"/>
              </w:rPr>
            </w:pPr>
            <w:r>
              <w:rPr>
                <w:noProof/>
                <w:lang w:val="hr-HR" w:eastAsia="hr-HR"/>
              </w:rPr>
              <w:lastRenderedPageBreak/>
              <w:drawing>
                <wp:inline distT="0" distB="0" distL="0" distR="0" wp14:anchorId="75981059" wp14:editId="72A61FE1">
                  <wp:extent cx="2876550" cy="2133600"/>
                  <wp:effectExtent l="0" t="0" r="0" b="0"/>
                  <wp:docPr id="7" name="Grafikon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4500" w:type="dxa"/>
          </w:tcPr>
          <w:p w14:paraId="12DFA3E3" w14:textId="77777777" w:rsidR="00205030" w:rsidRPr="00FA491C" w:rsidRDefault="00205030" w:rsidP="00EC66A0">
            <w:pPr>
              <w:rPr>
                <w:lang w:val="en-GB"/>
              </w:rPr>
            </w:pPr>
            <w:r>
              <w:rPr>
                <w:noProof/>
                <w:lang w:val="hr-HR" w:eastAsia="hr-HR"/>
              </w:rPr>
              <w:drawing>
                <wp:inline distT="0" distB="0" distL="0" distR="0" wp14:anchorId="63C531DC" wp14:editId="1C72BBE0">
                  <wp:extent cx="2752725" cy="2076450"/>
                  <wp:effectExtent l="0" t="0" r="0" b="0"/>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14:paraId="2D6F9D63" w14:textId="77777777" w:rsidR="00205030" w:rsidRPr="00FA491C" w:rsidRDefault="00205030" w:rsidP="00F062FF">
      <w:pPr>
        <w:rPr>
          <w:lang w:val="en-GB"/>
        </w:rPr>
      </w:pPr>
    </w:p>
    <w:p w14:paraId="77C7FBB9" w14:textId="4FDBF9FA" w:rsidR="00543C0D" w:rsidRPr="00FA491C" w:rsidRDefault="00543C0D" w:rsidP="00543C0D">
      <w:pPr>
        <w:autoSpaceDE w:val="0"/>
        <w:autoSpaceDN w:val="0"/>
        <w:adjustRightInd w:val="0"/>
        <w:spacing w:before="120"/>
        <w:jc w:val="center"/>
        <w:rPr>
          <w:lang w:val="en-GB" w:eastAsia="hr-HR"/>
        </w:rPr>
      </w:pPr>
      <w:r w:rsidRPr="00FA491C">
        <w:rPr>
          <w:lang w:val="en-GB" w:eastAsia="hr-HR"/>
        </w:rPr>
        <w:t xml:space="preserve">Figure </w:t>
      </w:r>
      <w:r w:rsidR="00AD140F">
        <w:rPr>
          <w:lang w:val="en-GB" w:eastAsia="hr-HR"/>
        </w:rPr>
        <w:t>2</w:t>
      </w:r>
      <w:r w:rsidRPr="00FA491C">
        <w:rPr>
          <w:lang w:val="en-GB" w:eastAsia="hr-HR"/>
        </w:rPr>
        <w:t>: Comparison of new CS indicator and selected EU-SILC variables</w:t>
      </w:r>
    </w:p>
    <w:p w14:paraId="4E10CF02" w14:textId="77777777" w:rsidR="00E06243" w:rsidRPr="00FA491C" w:rsidRDefault="00E06243" w:rsidP="00F062FF">
      <w:pPr>
        <w:rPr>
          <w:lang w:val="en-GB"/>
        </w:rPr>
      </w:pPr>
    </w:p>
    <w:p w14:paraId="07BCE86F" w14:textId="2FB01B1E" w:rsidR="00D237D5" w:rsidRPr="00EC66A0" w:rsidRDefault="00D237D5" w:rsidP="00D237D5">
      <w:pPr>
        <w:spacing w:before="120"/>
        <w:jc w:val="both"/>
        <w:rPr>
          <w:lang w:val="en-GB"/>
        </w:rPr>
      </w:pPr>
      <w:r w:rsidRPr="00D237D5">
        <w:rPr>
          <w:lang w:val="en-GB"/>
        </w:rPr>
        <w:t xml:space="preserve">It can be seen </w:t>
      </w:r>
      <w:r w:rsidRPr="00EC66A0">
        <w:rPr>
          <w:lang w:val="en-GB"/>
        </w:rPr>
        <w:t>that the new CS indicator and</w:t>
      </w:r>
      <w:r w:rsidR="00AE0F91">
        <w:rPr>
          <w:lang w:val="en-GB"/>
        </w:rPr>
        <w:t xml:space="preserve"> the</w:t>
      </w:r>
      <w:r w:rsidRPr="00EC66A0">
        <w:rPr>
          <w:lang w:val="en-GB"/>
        </w:rPr>
        <w:t xml:space="preserve"> chosen EU-SILC variables share a similar </w:t>
      </w:r>
      <w:bookmarkStart w:id="0" w:name="_GoBack"/>
      <w:r w:rsidRPr="00EC66A0">
        <w:rPr>
          <w:lang w:val="en-GB"/>
        </w:rPr>
        <w:t>pattern, except for</w:t>
      </w:r>
      <w:r w:rsidR="00AE0F91">
        <w:rPr>
          <w:lang w:val="en-GB"/>
        </w:rPr>
        <w:t xml:space="preserve"> the</w:t>
      </w:r>
      <w:r w:rsidRPr="00EC66A0">
        <w:rPr>
          <w:lang w:val="en-GB"/>
        </w:rPr>
        <w:t xml:space="preserve"> variable people at risk of poverty or social exclusion in 2013</w:t>
      </w:r>
      <w:r w:rsidR="0026538A">
        <w:rPr>
          <w:lang w:val="en-GB"/>
        </w:rPr>
        <w:t>.</w:t>
      </w:r>
      <w:r w:rsidRPr="00EC66A0">
        <w:rPr>
          <w:lang w:val="en-GB"/>
        </w:rPr>
        <w:t xml:space="preserve"> </w:t>
      </w:r>
    </w:p>
    <w:bookmarkEnd w:id="0"/>
    <w:p w14:paraId="752D8CDD" w14:textId="1B73510C" w:rsidR="00D237D5" w:rsidRPr="00EC66A0" w:rsidRDefault="00D237D5" w:rsidP="00D237D5">
      <w:pPr>
        <w:spacing w:before="120"/>
        <w:jc w:val="both"/>
        <w:rPr>
          <w:lang w:val="en-GB"/>
        </w:rPr>
      </w:pPr>
      <w:r w:rsidRPr="00EC66A0">
        <w:rPr>
          <w:lang w:val="en-GB"/>
        </w:rPr>
        <w:t>In the graphs, it can be seen that the new CS indicator ha</w:t>
      </w:r>
      <w:r w:rsidR="00AE0F91">
        <w:rPr>
          <w:lang w:val="en-GB"/>
        </w:rPr>
        <w:t>s</w:t>
      </w:r>
      <w:r w:rsidRPr="00EC66A0">
        <w:rPr>
          <w:lang w:val="en-GB"/>
        </w:rPr>
        <w:t xml:space="preserve"> increased in 2013, while all the other variables of the EU-SILC have not increased.</w:t>
      </w:r>
    </w:p>
    <w:p w14:paraId="6F81F05F" w14:textId="77777777" w:rsidR="00D237D5" w:rsidRPr="00EC66A0" w:rsidRDefault="00D237D5" w:rsidP="00D237D5">
      <w:pPr>
        <w:spacing w:before="120"/>
        <w:jc w:val="both"/>
        <w:rPr>
          <w:lang w:val="en-GB"/>
        </w:rPr>
      </w:pPr>
      <w:r w:rsidRPr="00EC66A0">
        <w:rPr>
          <w:lang w:val="en-GB"/>
        </w:rPr>
        <w:t>One reason is the increase in optimism of Croatian citizens for entering the EU. Their optimism was present in the CS indicator because it is based on estimates and expectations of consumers, rather than on measuring the actual state of poverty.</w:t>
      </w:r>
    </w:p>
    <w:p w14:paraId="403E3CDD" w14:textId="77777777" w:rsidR="001555CE" w:rsidRPr="00FA491C" w:rsidRDefault="001555CE" w:rsidP="0035374E">
      <w:pPr>
        <w:autoSpaceDE w:val="0"/>
        <w:autoSpaceDN w:val="0"/>
        <w:adjustRightInd w:val="0"/>
        <w:spacing w:before="120"/>
        <w:jc w:val="center"/>
        <w:rPr>
          <w:lang w:val="en-GB" w:eastAsia="hr-HR"/>
        </w:rPr>
      </w:pPr>
    </w:p>
    <w:p w14:paraId="4C182B0A" w14:textId="77777777" w:rsidR="00F062FF" w:rsidRPr="00AE7613" w:rsidRDefault="00F062FF" w:rsidP="00AE7613">
      <w:pPr>
        <w:jc w:val="both"/>
        <w:rPr>
          <w:b/>
          <w:bCs/>
          <w:color w:val="000000"/>
          <w:lang w:val="en-GB"/>
        </w:rPr>
      </w:pPr>
      <w:r w:rsidRPr="00AE7613">
        <w:rPr>
          <w:b/>
          <w:bCs/>
          <w:lang w:val="en-GB"/>
        </w:rPr>
        <w:t>3. Conclusion</w:t>
      </w:r>
    </w:p>
    <w:p w14:paraId="5637F579" w14:textId="77777777" w:rsidR="00F062FF" w:rsidRPr="00AE7613" w:rsidRDefault="00F062FF" w:rsidP="00AE7613">
      <w:pPr>
        <w:jc w:val="both"/>
        <w:rPr>
          <w:bCs/>
          <w:color w:val="000000" w:themeColor="text1"/>
          <w:lang w:val="en-GB"/>
        </w:rPr>
      </w:pPr>
    </w:p>
    <w:p w14:paraId="18B25E06" w14:textId="4D0DC685" w:rsidR="006A1C42" w:rsidRPr="00AE7613" w:rsidRDefault="006A1C42" w:rsidP="00AE7613">
      <w:pPr>
        <w:jc w:val="both"/>
        <w:rPr>
          <w:bCs/>
          <w:color w:val="000000" w:themeColor="text1"/>
          <w:lang w:val="en-GB"/>
        </w:rPr>
      </w:pPr>
      <w:r w:rsidRPr="00AE7613">
        <w:rPr>
          <w:bCs/>
          <w:color w:val="000000" w:themeColor="text1"/>
          <w:lang w:val="en-GB"/>
        </w:rPr>
        <w:t>One of the key targets defined in Europe 2020 Strategy (for the period 2010-2020) is stimulating social inclusion and poverty reduction. In accordance with this, Croatian Government adopted the Strategy for Combating Poverty and Social Exclusion in Croatia (2014-2020). This strategy is based on ensuring conditions for achieving three main objectives: the fight against poverty and social exclusion; preventing the emergence of new categories of the poor;</w:t>
      </w:r>
      <w:r w:rsidR="00AE0F91">
        <w:rPr>
          <w:bCs/>
          <w:color w:val="000000" w:themeColor="text1"/>
          <w:lang w:val="en-GB"/>
        </w:rPr>
        <w:t xml:space="preserve"> and</w:t>
      </w:r>
      <w:r w:rsidRPr="00AE7613">
        <w:rPr>
          <w:bCs/>
          <w:color w:val="000000" w:themeColor="text1"/>
          <w:lang w:val="en-GB"/>
        </w:rPr>
        <w:t xml:space="preserve"> the establishment of a coordinated system of support for groups at risk of poverty and social exclusion.</w:t>
      </w:r>
    </w:p>
    <w:p w14:paraId="0DCDC50E" w14:textId="77777777" w:rsidR="006A1C42" w:rsidRPr="00AE7613" w:rsidRDefault="006A1C42" w:rsidP="00AE7613">
      <w:pPr>
        <w:jc w:val="both"/>
        <w:rPr>
          <w:bCs/>
          <w:color w:val="000000" w:themeColor="text1"/>
          <w:lang w:val="en-GB"/>
        </w:rPr>
      </w:pPr>
      <w:r w:rsidRPr="00AE7613">
        <w:rPr>
          <w:bCs/>
          <w:color w:val="000000" w:themeColor="text1"/>
          <w:lang w:val="en-GB"/>
        </w:rPr>
        <w:t xml:space="preserve">Therefore, different measures (variables) of poverty levels should be available. The established EU-SILC monitors and publishes several variables related to the general national poverty levels (at risk of poverty rate, people at risk of poverty or social exclusion, etc.). </w:t>
      </w:r>
    </w:p>
    <w:p w14:paraId="21D2138F" w14:textId="14995D6E" w:rsidR="006A1C42" w:rsidRPr="00AE7613" w:rsidRDefault="006A1C42" w:rsidP="00AE7613">
      <w:pPr>
        <w:jc w:val="both"/>
        <w:rPr>
          <w:bCs/>
          <w:color w:val="000000" w:themeColor="text1"/>
          <w:lang w:val="en-GB"/>
        </w:rPr>
      </w:pPr>
      <w:r w:rsidRPr="00AE7613">
        <w:rPr>
          <w:bCs/>
          <w:color w:val="000000" w:themeColor="text1"/>
          <w:lang w:val="en-GB"/>
        </w:rPr>
        <w:t>In a dynamic and turbulent macroeconomic environment, it is important to observe and measure poverty (as well as other variables) on a monthly basis. The important</w:t>
      </w:r>
      <w:r w:rsidR="0026538A">
        <w:rPr>
          <w:bCs/>
          <w:color w:val="000000" w:themeColor="text1"/>
          <w:lang w:val="en-GB"/>
        </w:rPr>
        <w:t>,</w:t>
      </w:r>
      <w:r w:rsidRPr="00AE7613">
        <w:rPr>
          <w:bCs/>
          <w:color w:val="000000" w:themeColor="text1"/>
          <w:lang w:val="en-GB"/>
        </w:rPr>
        <w:t xml:space="preserve"> but still not recognize</w:t>
      </w:r>
      <w:r w:rsidR="00AE0F91">
        <w:rPr>
          <w:bCs/>
          <w:color w:val="000000" w:themeColor="text1"/>
          <w:lang w:val="en-GB"/>
        </w:rPr>
        <w:t>d</w:t>
      </w:r>
      <w:r w:rsidRPr="00AE7613">
        <w:rPr>
          <w:bCs/>
          <w:color w:val="000000" w:themeColor="text1"/>
          <w:lang w:val="en-GB"/>
        </w:rPr>
        <w:t xml:space="preserve"> and underutilized source of such monthly data </w:t>
      </w:r>
      <w:r w:rsidR="0026538A">
        <w:rPr>
          <w:bCs/>
          <w:color w:val="000000" w:themeColor="text1"/>
          <w:lang w:val="en-GB"/>
        </w:rPr>
        <w:t>is</w:t>
      </w:r>
      <w:r w:rsidR="0026538A" w:rsidRPr="00AE7613">
        <w:rPr>
          <w:bCs/>
          <w:color w:val="000000" w:themeColor="text1"/>
          <w:lang w:val="en-GB"/>
        </w:rPr>
        <w:t xml:space="preserve"> </w:t>
      </w:r>
      <w:r w:rsidR="0026538A">
        <w:rPr>
          <w:bCs/>
          <w:color w:val="000000" w:themeColor="text1"/>
          <w:lang w:val="en-GB"/>
        </w:rPr>
        <w:t>CS</w:t>
      </w:r>
      <w:r w:rsidRPr="00AE7613">
        <w:rPr>
          <w:bCs/>
          <w:color w:val="000000" w:themeColor="text1"/>
          <w:lang w:val="en-GB"/>
        </w:rPr>
        <w:t xml:space="preserve"> data. Monthly frequency of CS data is their advantage compared to EU-SILC.</w:t>
      </w:r>
    </w:p>
    <w:p w14:paraId="1F4CA6D3" w14:textId="47615256" w:rsidR="0015092E" w:rsidRPr="00EC66A0" w:rsidRDefault="0015092E" w:rsidP="0015092E">
      <w:pPr>
        <w:jc w:val="both"/>
        <w:rPr>
          <w:lang w:val="en-GB"/>
        </w:rPr>
      </w:pPr>
      <w:r w:rsidRPr="00EC66A0">
        <w:rPr>
          <w:lang w:val="en-GB"/>
        </w:rPr>
        <w:t xml:space="preserve">According to </w:t>
      </w:r>
      <w:r w:rsidR="00AE0F91">
        <w:rPr>
          <w:lang w:val="en-GB"/>
        </w:rPr>
        <w:t>everything</w:t>
      </w:r>
      <w:r>
        <w:rPr>
          <w:lang w:val="en-GB"/>
        </w:rPr>
        <w:t xml:space="preserve"> mentioned</w:t>
      </w:r>
      <w:r w:rsidR="00AE0F91">
        <w:rPr>
          <w:lang w:val="en-GB"/>
        </w:rPr>
        <w:t xml:space="preserve"> before</w:t>
      </w:r>
      <w:r w:rsidRPr="00EC66A0">
        <w:rPr>
          <w:lang w:val="en-GB"/>
        </w:rPr>
        <w:t>, it is obvious that the EU-SILC provides important variables related to national poverty.</w:t>
      </w:r>
      <w:r>
        <w:rPr>
          <w:lang w:val="en-GB"/>
        </w:rPr>
        <w:t xml:space="preserve"> </w:t>
      </w:r>
      <w:r w:rsidRPr="002E5C3B">
        <w:rPr>
          <w:lang w:val="en-GB"/>
        </w:rPr>
        <w:t xml:space="preserve">However, </w:t>
      </w:r>
      <w:r>
        <w:rPr>
          <w:lang w:val="en-GB"/>
        </w:rPr>
        <w:t xml:space="preserve">the </w:t>
      </w:r>
      <w:r w:rsidRPr="002E5C3B">
        <w:rPr>
          <w:lang w:val="en-GB"/>
        </w:rPr>
        <w:t xml:space="preserve">EU-SILC data </w:t>
      </w:r>
      <w:r w:rsidR="00AE0F91">
        <w:rPr>
          <w:lang w:val="en-GB"/>
        </w:rPr>
        <w:t>is</w:t>
      </w:r>
      <w:r w:rsidRPr="002E5C3B">
        <w:rPr>
          <w:lang w:val="en-GB"/>
        </w:rPr>
        <w:t xml:space="preserve"> annual, while </w:t>
      </w:r>
      <w:r>
        <w:rPr>
          <w:lang w:val="en-GB"/>
        </w:rPr>
        <w:t xml:space="preserve">the </w:t>
      </w:r>
      <w:r w:rsidRPr="002E5C3B">
        <w:rPr>
          <w:lang w:val="en-GB"/>
        </w:rPr>
        <w:t xml:space="preserve">CS data </w:t>
      </w:r>
      <w:r w:rsidR="00AE0F91">
        <w:rPr>
          <w:lang w:val="en-GB"/>
        </w:rPr>
        <w:t>is</w:t>
      </w:r>
      <w:r w:rsidRPr="002E5C3B">
        <w:rPr>
          <w:lang w:val="en-GB"/>
        </w:rPr>
        <w:t xml:space="preserve"> monthly</w:t>
      </w:r>
      <w:r w:rsidR="00032B96" w:rsidRPr="00032B96">
        <w:rPr>
          <w:lang w:val="en-GB"/>
        </w:rPr>
        <w:t>, which is their major advantage</w:t>
      </w:r>
      <w:r w:rsidR="00032B96">
        <w:rPr>
          <w:lang w:val="en-GB"/>
        </w:rPr>
        <w:t xml:space="preserve">. </w:t>
      </w:r>
      <w:r w:rsidR="006D1078" w:rsidRPr="006D1078">
        <w:rPr>
          <w:lang w:val="en-GB"/>
        </w:rPr>
        <w:t xml:space="preserve">In accordance with this, the </w:t>
      </w:r>
      <w:r w:rsidR="006D1078">
        <w:rPr>
          <w:lang w:val="en-GB"/>
        </w:rPr>
        <w:t>aim</w:t>
      </w:r>
      <w:r w:rsidR="006D1078" w:rsidRPr="006D1078">
        <w:rPr>
          <w:lang w:val="en-GB"/>
        </w:rPr>
        <w:t xml:space="preserve"> of this research is a new indicator of </w:t>
      </w:r>
      <w:r w:rsidR="006D1078" w:rsidRPr="00FA491C">
        <w:rPr>
          <w:lang w:val="en-GB"/>
        </w:rPr>
        <w:t>households’ financial distress</w:t>
      </w:r>
      <w:r w:rsidR="006D1078">
        <w:rPr>
          <w:lang w:val="en-GB"/>
        </w:rPr>
        <w:t>.</w:t>
      </w:r>
    </w:p>
    <w:p w14:paraId="5E7E6D40" w14:textId="2A683818" w:rsidR="00037D3F" w:rsidRPr="00AE7613" w:rsidRDefault="001B3682" w:rsidP="00AE7613">
      <w:pPr>
        <w:spacing w:before="120"/>
        <w:jc w:val="both"/>
        <w:rPr>
          <w:color w:val="FF0000"/>
          <w:lang w:val="en-GB" w:eastAsia="hr-HR"/>
        </w:rPr>
      </w:pPr>
      <w:r>
        <w:rPr>
          <w:lang w:val="en-GB"/>
        </w:rPr>
        <w:t>F</w:t>
      </w:r>
      <w:r w:rsidR="006112B9" w:rsidRPr="00AE7613">
        <w:rPr>
          <w:lang w:val="en-GB"/>
        </w:rPr>
        <w:t>actor analysis was used</w:t>
      </w:r>
      <w:r>
        <w:rPr>
          <w:lang w:val="en-GB"/>
        </w:rPr>
        <w:t xml:space="preserve"> on </w:t>
      </w:r>
      <w:r w:rsidR="004463A5" w:rsidRPr="00AE7613">
        <w:rPr>
          <w:lang w:val="en-GB"/>
        </w:rPr>
        <w:t>three</w:t>
      </w:r>
      <w:r w:rsidR="00613C64" w:rsidRPr="00AE7613">
        <w:rPr>
          <w:lang w:val="en-GB"/>
        </w:rPr>
        <w:t xml:space="preserve"> </w:t>
      </w:r>
      <w:r w:rsidR="00D928A4" w:rsidRPr="00AE7613">
        <w:rPr>
          <w:lang w:val="en-GB"/>
        </w:rPr>
        <w:t xml:space="preserve">selected </w:t>
      </w:r>
      <w:r w:rsidR="00613C64" w:rsidRPr="00AE7613">
        <w:rPr>
          <w:lang w:val="en-GB"/>
        </w:rPr>
        <w:t xml:space="preserve">CS </w:t>
      </w:r>
      <w:r w:rsidR="004463A5" w:rsidRPr="00AE7613">
        <w:rPr>
          <w:lang w:val="en-GB"/>
        </w:rPr>
        <w:t>variables</w:t>
      </w:r>
      <w:r w:rsidR="00613C64" w:rsidRPr="00AE7613">
        <w:rPr>
          <w:lang w:val="en-GB"/>
        </w:rPr>
        <w:t xml:space="preserve"> to calculate the new CS </w:t>
      </w:r>
      <w:r>
        <w:rPr>
          <w:lang w:val="en-GB"/>
        </w:rPr>
        <w:t xml:space="preserve">composite </w:t>
      </w:r>
      <w:r w:rsidR="00613C64" w:rsidRPr="00AE7613">
        <w:rPr>
          <w:lang w:val="en-GB"/>
        </w:rPr>
        <w:t>indicator of households’ financial distress</w:t>
      </w:r>
      <w:r w:rsidR="00D86B67" w:rsidRPr="00AE7613">
        <w:rPr>
          <w:lang w:val="en-GB"/>
        </w:rPr>
        <w:t xml:space="preserve">. Three </w:t>
      </w:r>
      <w:r w:rsidR="007E7F32" w:rsidRPr="00AE7613">
        <w:rPr>
          <w:lang w:val="en-GB"/>
        </w:rPr>
        <w:t xml:space="preserve">chosen </w:t>
      </w:r>
      <w:r w:rsidR="00D86B67" w:rsidRPr="00AE7613">
        <w:rPr>
          <w:lang w:val="en-GB"/>
        </w:rPr>
        <w:t>CS variables</w:t>
      </w:r>
      <w:r w:rsidR="00D928A4" w:rsidRPr="00AE7613">
        <w:rPr>
          <w:lang w:val="en-GB"/>
        </w:rPr>
        <w:t xml:space="preserve"> pointing to the financial situation of household are</w:t>
      </w:r>
      <w:r w:rsidR="004463A5" w:rsidRPr="00AE7613">
        <w:rPr>
          <w:lang w:val="en-GB"/>
        </w:rPr>
        <w:t>: fi</w:t>
      </w:r>
      <w:r w:rsidR="00613C64" w:rsidRPr="00AE7613">
        <w:rPr>
          <w:lang w:val="en-GB"/>
        </w:rPr>
        <w:t xml:space="preserve">nancial situation over the last 12 months, financial situation over the next 12 months, and statement on financial situation of household. </w:t>
      </w:r>
      <w:r w:rsidR="00613C64" w:rsidRPr="00AE7613">
        <w:rPr>
          <w:lang w:val="en-GB" w:eastAsia="hr-HR"/>
        </w:rPr>
        <w:t xml:space="preserve">After it was determined </w:t>
      </w:r>
      <w:r w:rsidR="00613C64" w:rsidRPr="00AE7613">
        <w:rPr>
          <w:lang w:val="en-GB" w:eastAsia="hr-HR"/>
        </w:rPr>
        <w:lastRenderedPageBreak/>
        <w:t xml:space="preserve">that the data </w:t>
      </w:r>
      <w:r w:rsidR="00AE0F91">
        <w:rPr>
          <w:lang w:val="en-GB" w:eastAsia="hr-HR"/>
        </w:rPr>
        <w:t>is</w:t>
      </w:r>
      <w:r w:rsidR="00AE0F91" w:rsidRPr="00AE7613">
        <w:rPr>
          <w:lang w:val="en-GB" w:eastAsia="hr-HR"/>
        </w:rPr>
        <w:t xml:space="preserve"> </w:t>
      </w:r>
      <w:r w:rsidR="00613C64" w:rsidRPr="00AE7613">
        <w:rPr>
          <w:lang w:val="en-GB" w:eastAsia="hr-HR"/>
        </w:rPr>
        <w:t xml:space="preserve">appropriate for the application of factor analysis, one factor was retained and the factor scores were calculated. </w:t>
      </w:r>
      <w:r w:rsidR="004463A5" w:rsidRPr="00AE7613">
        <w:rPr>
          <w:lang w:val="en-GB" w:eastAsia="hr-HR"/>
        </w:rPr>
        <w:t xml:space="preserve">Since the obtained factor scores are on a monthly basis, they </w:t>
      </w:r>
      <w:r w:rsidR="00DD348C" w:rsidRPr="00AE7613">
        <w:rPr>
          <w:lang w:val="en-GB" w:eastAsia="hr-HR"/>
        </w:rPr>
        <w:t>were</w:t>
      </w:r>
      <w:r w:rsidR="004463A5" w:rsidRPr="00AE7613">
        <w:rPr>
          <w:lang w:val="en-GB" w:eastAsia="hr-HR"/>
        </w:rPr>
        <w:t xml:space="preserve"> transformed into </w:t>
      </w:r>
      <w:r w:rsidR="004463A5" w:rsidRPr="00AE7613">
        <w:rPr>
          <w:lang w:val="en-GB"/>
        </w:rPr>
        <w:t>annual</w:t>
      </w:r>
      <w:r w:rsidR="004463A5" w:rsidRPr="00AE7613">
        <w:rPr>
          <w:lang w:val="en-GB" w:eastAsia="hr-HR"/>
        </w:rPr>
        <w:t xml:space="preserve"> and </w:t>
      </w:r>
      <w:r w:rsidR="00BF0323" w:rsidRPr="00AE7613">
        <w:rPr>
          <w:lang w:val="en-GB" w:eastAsia="hr-HR"/>
        </w:rPr>
        <w:t>then</w:t>
      </w:r>
      <w:r w:rsidR="004463A5" w:rsidRPr="00AE7613">
        <w:rPr>
          <w:lang w:val="en-GB" w:eastAsia="hr-HR"/>
        </w:rPr>
        <w:t xml:space="preserve"> were compared with the chosen </w:t>
      </w:r>
      <w:r w:rsidR="00DD348C" w:rsidRPr="00AE7613">
        <w:rPr>
          <w:lang w:val="en-GB" w:eastAsia="hr-HR"/>
        </w:rPr>
        <w:t xml:space="preserve">annual </w:t>
      </w:r>
      <w:r w:rsidR="004463A5" w:rsidRPr="00AE7613">
        <w:rPr>
          <w:lang w:val="en-GB" w:eastAsia="hr-HR"/>
        </w:rPr>
        <w:t>variables of EU-SILC data.</w:t>
      </w:r>
      <w:r w:rsidR="003004C3" w:rsidRPr="00AE7613">
        <w:rPr>
          <w:lang w:val="en-GB" w:eastAsia="hr-HR"/>
        </w:rPr>
        <w:t xml:space="preserve"> </w:t>
      </w:r>
    </w:p>
    <w:p w14:paraId="237D31BA" w14:textId="5AA21415" w:rsidR="00713B25" w:rsidRPr="00AE7613" w:rsidRDefault="009A31D4" w:rsidP="00AE7613">
      <w:pPr>
        <w:spacing w:before="120"/>
        <w:jc w:val="both"/>
        <w:rPr>
          <w:color w:val="FF0000"/>
          <w:lang w:val="en-GB"/>
        </w:rPr>
      </w:pPr>
      <w:r w:rsidRPr="00AE7613">
        <w:rPr>
          <w:lang w:val="en-GB"/>
        </w:rPr>
        <w:t xml:space="preserve">The outcome of this </w:t>
      </w:r>
      <w:r w:rsidR="000679E9" w:rsidRPr="00AE7613">
        <w:rPr>
          <w:lang w:val="en-GB"/>
        </w:rPr>
        <w:t xml:space="preserve">research is a </w:t>
      </w:r>
      <w:r w:rsidR="0026538A">
        <w:rPr>
          <w:lang w:val="en-GB"/>
        </w:rPr>
        <w:t xml:space="preserve">monthly, internationally comparable </w:t>
      </w:r>
      <w:r w:rsidRPr="00AE7613">
        <w:rPr>
          <w:lang w:val="en-GB"/>
        </w:rPr>
        <w:t>CS-based composite indicator of households’ financial distress</w:t>
      </w:r>
      <w:r w:rsidR="00B2347D">
        <w:rPr>
          <w:lang w:val="en-GB"/>
        </w:rPr>
        <w:t xml:space="preserve"> which has the similar pattern </w:t>
      </w:r>
      <w:r w:rsidR="00B2347D" w:rsidRPr="00AE7613">
        <w:rPr>
          <w:lang w:val="en-GB"/>
        </w:rPr>
        <w:t>as</w:t>
      </w:r>
      <w:r w:rsidR="00B2347D">
        <w:rPr>
          <w:lang w:val="en-GB"/>
        </w:rPr>
        <w:t xml:space="preserve"> the chosen EU-SILC variables. The new indicator</w:t>
      </w:r>
      <w:r w:rsidRPr="00AE7613">
        <w:rPr>
          <w:lang w:val="en-GB"/>
        </w:rPr>
        <w:t xml:space="preserve"> can be applicable in any </w:t>
      </w:r>
      <w:r w:rsidR="00DD348C" w:rsidRPr="00AE7613">
        <w:rPr>
          <w:lang w:val="en-GB"/>
        </w:rPr>
        <w:t>EU member state</w:t>
      </w:r>
      <w:r w:rsidRPr="00AE7613">
        <w:rPr>
          <w:lang w:val="en-GB"/>
        </w:rPr>
        <w:t>, as well as in Croatia.</w:t>
      </w:r>
      <w:r w:rsidR="0026538A">
        <w:rPr>
          <w:lang w:val="en-GB"/>
        </w:rPr>
        <w:t xml:space="preserve"> </w:t>
      </w:r>
      <w:r w:rsidR="00DD348C" w:rsidRPr="00AE7613">
        <w:rPr>
          <w:lang w:val="en-GB"/>
        </w:rPr>
        <w:t xml:space="preserve">Accordingly, further research on this subject should include the other EU member states.  </w:t>
      </w:r>
    </w:p>
    <w:p w14:paraId="14E964C5" w14:textId="77777777" w:rsidR="00F062FF" w:rsidRPr="00AE7613" w:rsidRDefault="00F062FF" w:rsidP="00AE7613">
      <w:pPr>
        <w:autoSpaceDE w:val="0"/>
        <w:autoSpaceDN w:val="0"/>
        <w:adjustRightInd w:val="0"/>
        <w:rPr>
          <w:b/>
          <w:lang w:val="en-GB" w:eastAsia="hr-HR"/>
        </w:rPr>
      </w:pPr>
    </w:p>
    <w:p w14:paraId="58CB95E2" w14:textId="77777777" w:rsidR="001C3835" w:rsidRPr="00FA491C" w:rsidRDefault="001C3835" w:rsidP="001C3835">
      <w:pPr>
        <w:autoSpaceDE w:val="0"/>
        <w:autoSpaceDN w:val="0"/>
        <w:adjustRightInd w:val="0"/>
        <w:rPr>
          <w:b/>
          <w:sz w:val="28"/>
          <w:szCs w:val="28"/>
          <w:lang w:val="en-GB" w:eastAsia="hr-HR"/>
        </w:rPr>
      </w:pPr>
      <w:r w:rsidRPr="00FA491C">
        <w:rPr>
          <w:b/>
          <w:sz w:val="28"/>
          <w:szCs w:val="28"/>
          <w:lang w:val="en-GB" w:eastAsia="hr-HR"/>
        </w:rPr>
        <w:t>Acknowledgement</w:t>
      </w:r>
    </w:p>
    <w:p w14:paraId="1541E169" w14:textId="37E7EE97" w:rsidR="001C3835" w:rsidRPr="00FA491C" w:rsidRDefault="00194AAA" w:rsidP="001C3835">
      <w:pPr>
        <w:tabs>
          <w:tab w:val="left" w:pos="9000"/>
        </w:tabs>
        <w:spacing w:before="120"/>
        <w:ind w:right="68"/>
        <w:jc w:val="both"/>
        <w:rPr>
          <w:color w:val="FF0000"/>
          <w:lang w:val="en-GB"/>
        </w:rPr>
      </w:pPr>
      <w:r w:rsidRPr="006A1C42">
        <w:rPr>
          <w:lang w:val="en-GB"/>
        </w:rPr>
        <w:t>This paper has been supported</w:t>
      </w:r>
      <w:r w:rsidR="00F2432A" w:rsidRPr="006A1C42">
        <w:rPr>
          <w:lang w:val="en-GB"/>
        </w:rPr>
        <w:t xml:space="preserve"> in part</w:t>
      </w:r>
      <w:r w:rsidRPr="006A1C42">
        <w:rPr>
          <w:lang w:val="en-GB"/>
        </w:rPr>
        <w:t xml:space="preserve"> by the Croatian Science Foundation under the project </w:t>
      </w:r>
      <w:r w:rsidRPr="00FA491C">
        <w:rPr>
          <w:lang w:val="en-GB"/>
        </w:rPr>
        <w:t>No. 3858.</w:t>
      </w:r>
      <w:r w:rsidR="00F36859" w:rsidRPr="00FA491C">
        <w:rPr>
          <w:lang w:val="en-GB"/>
        </w:rPr>
        <w:t xml:space="preserve"> </w:t>
      </w:r>
    </w:p>
    <w:p w14:paraId="1B71389D" w14:textId="77777777" w:rsidR="00795EE5" w:rsidRPr="00FA491C" w:rsidRDefault="00795EE5" w:rsidP="00795EE5">
      <w:pPr>
        <w:ind w:left="720" w:hanging="720"/>
        <w:jc w:val="both"/>
        <w:rPr>
          <w:lang w:val="en-GB"/>
        </w:rPr>
      </w:pPr>
    </w:p>
    <w:p w14:paraId="61958CBD" w14:textId="77777777" w:rsidR="001C3835" w:rsidRPr="00FA491C" w:rsidRDefault="001C3835" w:rsidP="001C3835">
      <w:pPr>
        <w:autoSpaceDE w:val="0"/>
        <w:autoSpaceDN w:val="0"/>
        <w:adjustRightInd w:val="0"/>
        <w:rPr>
          <w:b/>
          <w:sz w:val="28"/>
          <w:szCs w:val="28"/>
          <w:lang w:val="en-GB" w:eastAsia="hr-HR"/>
        </w:rPr>
      </w:pPr>
      <w:r w:rsidRPr="00FA491C">
        <w:rPr>
          <w:b/>
          <w:sz w:val="28"/>
          <w:szCs w:val="28"/>
          <w:lang w:val="en-GB" w:eastAsia="hr-HR"/>
        </w:rPr>
        <w:t>References</w:t>
      </w:r>
    </w:p>
    <w:p w14:paraId="41452738" w14:textId="77777777" w:rsidR="00C326C8" w:rsidRPr="00FA491C" w:rsidRDefault="00C326C8" w:rsidP="00A74AB4">
      <w:pPr>
        <w:numPr>
          <w:ilvl w:val="0"/>
          <w:numId w:val="16"/>
        </w:numPr>
        <w:spacing w:before="120"/>
        <w:ind w:left="567" w:hanging="567"/>
        <w:jc w:val="both"/>
        <w:rPr>
          <w:lang w:val="en-GB"/>
        </w:rPr>
      </w:pPr>
      <w:r w:rsidRPr="00FA491C">
        <w:rPr>
          <w:lang w:val="en-GB"/>
        </w:rPr>
        <w:t xml:space="preserve">Barton, A., </w:t>
      </w:r>
      <w:proofErr w:type="spellStart"/>
      <w:r w:rsidRPr="00FA491C">
        <w:rPr>
          <w:lang w:val="en-GB"/>
        </w:rPr>
        <w:t>Fut</w:t>
      </w:r>
      <w:r w:rsidR="006E4FB9" w:rsidRPr="00FA491C">
        <w:rPr>
          <w:lang w:val="en-GB"/>
        </w:rPr>
        <w:t>ris</w:t>
      </w:r>
      <w:proofErr w:type="spellEnd"/>
      <w:r w:rsidR="006E4FB9" w:rsidRPr="00FA491C">
        <w:rPr>
          <w:lang w:val="en-GB"/>
        </w:rPr>
        <w:t xml:space="preserve">, T. and Nielsen, R. (2015). </w:t>
      </w:r>
      <w:r w:rsidRPr="00FA491C">
        <w:rPr>
          <w:lang w:val="en-GB"/>
        </w:rPr>
        <w:t>Linking financial distress to marital quality: The intermediary roles of demand/withdraw and spousal gratitude expressions</w:t>
      </w:r>
      <w:r w:rsidR="006E4FB9" w:rsidRPr="00FA491C">
        <w:rPr>
          <w:lang w:val="en-GB"/>
        </w:rPr>
        <w:t xml:space="preserve">. </w:t>
      </w:r>
      <w:r w:rsidRPr="00FA491C">
        <w:rPr>
          <w:lang w:val="en-GB"/>
        </w:rPr>
        <w:t>Personal relationships, 22(3), 536</w:t>
      </w:r>
      <w:r w:rsidR="00D65CC3" w:rsidRPr="00FA491C">
        <w:rPr>
          <w:lang w:val="en-GB"/>
        </w:rPr>
        <w:t>–</w:t>
      </w:r>
      <w:r w:rsidRPr="00FA491C">
        <w:rPr>
          <w:lang w:val="en-GB"/>
        </w:rPr>
        <w:t>549.</w:t>
      </w:r>
    </w:p>
    <w:p w14:paraId="0EBD9DDC" w14:textId="16E962A4" w:rsidR="008F1BF3" w:rsidRPr="00FA491C" w:rsidRDefault="008F1BF3" w:rsidP="008F1BF3">
      <w:pPr>
        <w:numPr>
          <w:ilvl w:val="0"/>
          <w:numId w:val="16"/>
        </w:numPr>
        <w:spacing w:before="120"/>
        <w:ind w:left="567" w:hanging="567"/>
        <w:jc w:val="both"/>
        <w:rPr>
          <w:lang w:val="en-GB"/>
        </w:rPr>
      </w:pPr>
      <w:r w:rsidRPr="00FA491C">
        <w:rPr>
          <w:lang w:val="en-GB"/>
        </w:rPr>
        <w:t xml:space="preserve">Clemenceau, A. and </w:t>
      </w:r>
      <w:proofErr w:type="spellStart"/>
      <w:r w:rsidRPr="00FA491C">
        <w:rPr>
          <w:lang w:val="en-GB"/>
        </w:rPr>
        <w:t>Museux</w:t>
      </w:r>
      <w:proofErr w:type="spellEnd"/>
      <w:r w:rsidRPr="00FA491C">
        <w:rPr>
          <w:lang w:val="en-GB"/>
        </w:rPr>
        <w:t xml:space="preserve">, J.M. (2007). EU-SILC (Community statistics on income and instrument). </w:t>
      </w:r>
      <w:r w:rsidR="00AB0D5D" w:rsidRPr="00FA491C">
        <w:rPr>
          <w:lang w:val="en-GB"/>
        </w:rPr>
        <w:t>Proceedings of the EU-SILC Conference, Helsinki, 6-8 November 2006</w:t>
      </w:r>
      <w:r w:rsidRPr="00FA491C">
        <w:rPr>
          <w:lang w:val="en-GB"/>
        </w:rPr>
        <w:t xml:space="preserve">, Brussel. </w:t>
      </w:r>
    </w:p>
    <w:p w14:paraId="14FE7327" w14:textId="77777777" w:rsidR="00C326C8" w:rsidRPr="00FA491C" w:rsidRDefault="00C326C8" w:rsidP="00A74AB4">
      <w:pPr>
        <w:numPr>
          <w:ilvl w:val="0"/>
          <w:numId w:val="16"/>
        </w:numPr>
        <w:spacing w:before="120"/>
        <w:ind w:left="567" w:hanging="567"/>
        <w:jc w:val="both"/>
        <w:rPr>
          <w:lang w:val="en-GB"/>
        </w:rPr>
      </w:pPr>
      <w:proofErr w:type="spellStart"/>
      <w:r w:rsidRPr="00FA491C">
        <w:rPr>
          <w:lang w:val="en-GB"/>
        </w:rPr>
        <w:t>Cotsomitis</w:t>
      </w:r>
      <w:proofErr w:type="spellEnd"/>
      <w:r w:rsidRPr="00FA491C">
        <w:rPr>
          <w:lang w:val="en-GB"/>
        </w:rPr>
        <w:t>, J.A. and Kwan, A.C.C. (2006)</w:t>
      </w:r>
      <w:r w:rsidR="006E4FB9" w:rsidRPr="00FA491C">
        <w:rPr>
          <w:lang w:val="en-GB"/>
        </w:rPr>
        <w:t xml:space="preserve">. </w:t>
      </w:r>
      <w:r w:rsidRPr="00FA491C">
        <w:rPr>
          <w:lang w:val="en-GB"/>
        </w:rPr>
        <w:t>Can Consumer Confidence Forecast Household Spending? Evidence from the European Commissio</w:t>
      </w:r>
      <w:r w:rsidR="006E4FB9" w:rsidRPr="00FA491C">
        <w:rPr>
          <w:lang w:val="en-GB"/>
        </w:rPr>
        <w:t>n Business and Consumer Surveys.</w:t>
      </w:r>
      <w:r w:rsidRPr="00FA491C">
        <w:rPr>
          <w:lang w:val="en-GB"/>
        </w:rPr>
        <w:t xml:space="preserve"> Southern Economic Journal, 72(3), 597</w:t>
      </w:r>
      <w:r w:rsidR="00D65CC3" w:rsidRPr="00FA491C">
        <w:rPr>
          <w:lang w:val="en-GB"/>
        </w:rPr>
        <w:t>–</w:t>
      </w:r>
      <w:r w:rsidRPr="00FA491C">
        <w:rPr>
          <w:lang w:val="en-GB"/>
        </w:rPr>
        <w:t>610.</w:t>
      </w:r>
    </w:p>
    <w:p w14:paraId="54E2D93C" w14:textId="77777777" w:rsidR="00C326C8" w:rsidRPr="00FA491C" w:rsidRDefault="00C326C8" w:rsidP="00A74AB4">
      <w:pPr>
        <w:numPr>
          <w:ilvl w:val="0"/>
          <w:numId w:val="16"/>
        </w:numPr>
        <w:spacing w:before="120"/>
        <w:ind w:left="567" w:hanging="567"/>
        <w:jc w:val="both"/>
        <w:rPr>
          <w:lang w:val="en-GB"/>
        </w:rPr>
      </w:pPr>
      <w:r w:rsidRPr="00FA491C">
        <w:rPr>
          <w:lang w:val="en-GB"/>
        </w:rPr>
        <w:t>European Commission (2016)</w:t>
      </w:r>
      <w:r w:rsidR="006E4FB9" w:rsidRPr="00FA491C">
        <w:rPr>
          <w:lang w:val="en-GB"/>
        </w:rPr>
        <w:t>.</w:t>
      </w:r>
      <w:r w:rsidRPr="00FA491C">
        <w:rPr>
          <w:lang w:val="en-GB"/>
        </w:rPr>
        <w:t xml:space="preserve"> The Joint Harmonised EU Programme of Business and Consumer Surveys: User Guide, European Economy, Directorate-General for Economic and financial affairs.</w:t>
      </w:r>
    </w:p>
    <w:p w14:paraId="1DB4AC7D" w14:textId="77777777" w:rsidR="00C326C8" w:rsidRPr="00FA491C" w:rsidRDefault="00C326C8" w:rsidP="00A74AB4">
      <w:pPr>
        <w:numPr>
          <w:ilvl w:val="0"/>
          <w:numId w:val="16"/>
        </w:numPr>
        <w:spacing w:before="120"/>
        <w:ind w:left="567" w:hanging="567"/>
        <w:jc w:val="both"/>
        <w:rPr>
          <w:lang w:val="en-GB"/>
        </w:rPr>
      </w:pPr>
      <w:r w:rsidRPr="00FA491C">
        <w:rPr>
          <w:lang w:val="en-GB"/>
        </w:rPr>
        <w:t>European Commission (1997)</w:t>
      </w:r>
      <w:r w:rsidR="006E4FB9" w:rsidRPr="00FA491C">
        <w:rPr>
          <w:lang w:val="en-GB"/>
        </w:rPr>
        <w:t>.</w:t>
      </w:r>
      <w:r w:rsidRPr="00FA491C">
        <w:rPr>
          <w:lang w:val="en-GB"/>
        </w:rPr>
        <w:t xml:space="preserve"> The Joint Harmonised EU Programme of Business and Consumer Surveys: Reports and studies, No 6, European Economy, Directorate-General for Economic and financial affairs.</w:t>
      </w:r>
    </w:p>
    <w:p w14:paraId="374A069C" w14:textId="77777777" w:rsidR="00C326C8" w:rsidRPr="00FA491C" w:rsidRDefault="00C326C8" w:rsidP="00A74AB4">
      <w:pPr>
        <w:numPr>
          <w:ilvl w:val="0"/>
          <w:numId w:val="16"/>
        </w:numPr>
        <w:spacing w:before="120"/>
        <w:ind w:left="567" w:hanging="567"/>
        <w:jc w:val="both"/>
        <w:rPr>
          <w:lang w:val="en-GB"/>
        </w:rPr>
      </w:pPr>
      <w:r w:rsidRPr="00FA491C">
        <w:rPr>
          <w:lang w:val="en-GB"/>
        </w:rPr>
        <w:t>Eurostat (2006)</w:t>
      </w:r>
      <w:r w:rsidR="006E4FB9" w:rsidRPr="00FA491C">
        <w:rPr>
          <w:lang w:val="en-GB"/>
        </w:rPr>
        <w:t>.</w:t>
      </w:r>
      <w:r w:rsidRPr="00FA491C">
        <w:rPr>
          <w:lang w:val="en-GB"/>
        </w:rPr>
        <w:t xml:space="preserve"> Comparative EU statistics on Income and Living Conditions: Issues and Challenges, Proceedings of the EU-SILC Conference, Helsinki, 6-8 November 2006, Brussels</w:t>
      </w:r>
      <w:r w:rsidR="006E4FB9" w:rsidRPr="00FA491C">
        <w:rPr>
          <w:lang w:val="en-GB"/>
        </w:rPr>
        <w:t>.</w:t>
      </w:r>
    </w:p>
    <w:p w14:paraId="2DEC684A" w14:textId="77777777" w:rsidR="00C326C8" w:rsidRPr="00FA491C" w:rsidRDefault="00C326C8" w:rsidP="00A74AB4">
      <w:pPr>
        <w:numPr>
          <w:ilvl w:val="0"/>
          <w:numId w:val="16"/>
        </w:numPr>
        <w:spacing w:before="120"/>
        <w:ind w:left="567" w:hanging="567"/>
        <w:jc w:val="both"/>
        <w:rPr>
          <w:lang w:val="en-GB"/>
        </w:rPr>
      </w:pPr>
      <w:proofErr w:type="spellStart"/>
      <w:r w:rsidRPr="00FA491C">
        <w:rPr>
          <w:lang w:val="en-GB"/>
        </w:rPr>
        <w:t>Goldrian</w:t>
      </w:r>
      <w:proofErr w:type="spellEnd"/>
      <w:r w:rsidRPr="00FA491C">
        <w:rPr>
          <w:lang w:val="en-GB"/>
        </w:rPr>
        <w:t xml:space="preserve">, G., </w:t>
      </w:r>
      <w:proofErr w:type="spellStart"/>
      <w:r w:rsidRPr="00FA491C">
        <w:rPr>
          <w:lang w:val="en-GB"/>
        </w:rPr>
        <w:t>Lindbauer</w:t>
      </w:r>
      <w:proofErr w:type="spellEnd"/>
      <w:r w:rsidRPr="00FA491C">
        <w:rPr>
          <w:lang w:val="en-GB"/>
        </w:rPr>
        <w:t xml:space="preserve">, J. D. and </w:t>
      </w:r>
      <w:proofErr w:type="spellStart"/>
      <w:r w:rsidRPr="00FA491C">
        <w:rPr>
          <w:lang w:val="en-GB"/>
        </w:rPr>
        <w:t>Nerb</w:t>
      </w:r>
      <w:proofErr w:type="spellEnd"/>
      <w:r w:rsidRPr="00FA491C">
        <w:rPr>
          <w:lang w:val="en-GB"/>
        </w:rPr>
        <w:t>, G. (2001). Evaluation and development of confidence indicators based on harmonise</w:t>
      </w:r>
      <w:r w:rsidR="009C05ED" w:rsidRPr="00FA491C">
        <w:rPr>
          <w:lang w:val="en-GB"/>
        </w:rPr>
        <w:t>d business and consumer surveys.</w:t>
      </w:r>
      <w:r w:rsidRPr="00FA491C">
        <w:rPr>
          <w:lang w:val="en-GB"/>
        </w:rPr>
        <w:t xml:space="preserve"> Europe</w:t>
      </w:r>
      <w:r w:rsidR="008B5113" w:rsidRPr="00FA491C">
        <w:rPr>
          <w:lang w:val="en-GB"/>
        </w:rPr>
        <w:t>an Commission: European economy,</w:t>
      </w:r>
      <w:r w:rsidRPr="00FA491C">
        <w:rPr>
          <w:lang w:val="en-GB"/>
        </w:rPr>
        <w:t xml:space="preserve"> Brussels</w:t>
      </w:r>
      <w:r w:rsidR="009C05ED" w:rsidRPr="00FA491C">
        <w:rPr>
          <w:lang w:val="en-GB"/>
        </w:rPr>
        <w:t>.</w:t>
      </w:r>
    </w:p>
    <w:p w14:paraId="61699BA6" w14:textId="5E38C67D" w:rsidR="00C326C8" w:rsidRPr="00FA491C" w:rsidRDefault="00C326C8" w:rsidP="00A74AB4">
      <w:pPr>
        <w:numPr>
          <w:ilvl w:val="0"/>
          <w:numId w:val="16"/>
        </w:numPr>
        <w:spacing w:before="120"/>
        <w:ind w:left="567" w:hanging="567"/>
        <w:jc w:val="both"/>
        <w:rPr>
          <w:lang w:val="en-GB"/>
        </w:rPr>
      </w:pPr>
      <w:proofErr w:type="spellStart"/>
      <w:r w:rsidRPr="00FA491C">
        <w:rPr>
          <w:lang w:val="en-GB"/>
        </w:rPr>
        <w:t>Jonsson</w:t>
      </w:r>
      <w:proofErr w:type="spellEnd"/>
      <w:r w:rsidRPr="00FA491C">
        <w:rPr>
          <w:lang w:val="en-GB"/>
        </w:rPr>
        <w:t>, J.O.,</w:t>
      </w:r>
      <w:r w:rsidR="009C05ED" w:rsidRPr="00FA491C">
        <w:rPr>
          <w:lang w:val="en-GB"/>
        </w:rPr>
        <w:t xml:space="preserve"> Mood, C. and </w:t>
      </w:r>
      <w:proofErr w:type="spellStart"/>
      <w:r w:rsidR="009C05ED" w:rsidRPr="00FA491C">
        <w:rPr>
          <w:lang w:val="en-GB"/>
        </w:rPr>
        <w:t>Bihagen</w:t>
      </w:r>
      <w:proofErr w:type="spellEnd"/>
      <w:r w:rsidR="009C05ED" w:rsidRPr="00FA491C">
        <w:rPr>
          <w:lang w:val="en-GB"/>
        </w:rPr>
        <w:t>, E</w:t>
      </w:r>
      <w:proofErr w:type="gramStart"/>
      <w:r w:rsidR="009C05ED" w:rsidRPr="00FA491C">
        <w:rPr>
          <w:lang w:val="en-GB"/>
        </w:rPr>
        <w:t>.(</w:t>
      </w:r>
      <w:proofErr w:type="gramEnd"/>
      <w:r w:rsidR="009C05ED" w:rsidRPr="00FA491C">
        <w:rPr>
          <w:lang w:val="en-GB"/>
        </w:rPr>
        <w:t xml:space="preserve">2016). </w:t>
      </w:r>
      <w:r w:rsidRPr="00FA491C">
        <w:rPr>
          <w:lang w:val="en-GB"/>
        </w:rPr>
        <w:t>Poverty trends during two recessions and two recoveries: lessons from Sweden 1991–2013</w:t>
      </w:r>
      <w:r w:rsidR="009C05ED" w:rsidRPr="00FA491C">
        <w:rPr>
          <w:lang w:val="en-GB"/>
        </w:rPr>
        <w:t>.</w:t>
      </w:r>
      <w:r w:rsidRPr="00FA491C">
        <w:rPr>
          <w:lang w:val="en-GB"/>
        </w:rPr>
        <w:t xml:space="preserve"> IZA Journal of European Labour Studies 5(1), 1</w:t>
      </w:r>
      <w:r w:rsidR="00D65CC3" w:rsidRPr="00FA491C">
        <w:rPr>
          <w:lang w:val="en-GB"/>
        </w:rPr>
        <w:t>–</w:t>
      </w:r>
      <w:r w:rsidRPr="00FA491C">
        <w:rPr>
          <w:lang w:val="en-GB"/>
        </w:rPr>
        <w:t>20</w:t>
      </w:r>
      <w:r w:rsidR="008B5113" w:rsidRPr="00FA491C">
        <w:rPr>
          <w:lang w:val="en-GB"/>
        </w:rPr>
        <w:t>.</w:t>
      </w:r>
    </w:p>
    <w:p w14:paraId="2B85150F" w14:textId="77777777" w:rsidR="00C326C8" w:rsidRPr="00FA491C" w:rsidRDefault="00C326C8" w:rsidP="00A74AB4">
      <w:pPr>
        <w:numPr>
          <w:ilvl w:val="0"/>
          <w:numId w:val="16"/>
        </w:numPr>
        <w:spacing w:before="120"/>
        <w:ind w:left="567" w:hanging="567"/>
        <w:jc w:val="both"/>
        <w:rPr>
          <w:lang w:val="en-GB"/>
        </w:rPr>
      </w:pPr>
      <w:r w:rsidRPr="00FA491C">
        <w:rPr>
          <w:lang w:val="en-GB"/>
        </w:rPr>
        <w:t>Kle</w:t>
      </w:r>
      <w:r w:rsidR="008B5113" w:rsidRPr="00FA491C">
        <w:rPr>
          <w:lang w:val="en-GB"/>
        </w:rPr>
        <w:t xml:space="preserve">in, L.R. and </w:t>
      </w:r>
      <w:proofErr w:type="spellStart"/>
      <w:r w:rsidR="008B5113" w:rsidRPr="00FA491C">
        <w:rPr>
          <w:lang w:val="en-GB"/>
        </w:rPr>
        <w:t>Özmucur</w:t>
      </w:r>
      <w:proofErr w:type="spellEnd"/>
      <w:r w:rsidR="008B5113" w:rsidRPr="00FA491C">
        <w:rPr>
          <w:lang w:val="en-GB"/>
        </w:rPr>
        <w:t xml:space="preserve">, S. (2010). </w:t>
      </w:r>
      <w:r w:rsidRPr="00FA491C">
        <w:rPr>
          <w:lang w:val="en-GB"/>
        </w:rPr>
        <w:t>The use of consumer and business surveys in forecasting</w:t>
      </w:r>
      <w:r w:rsidR="008B5113" w:rsidRPr="00FA491C">
        <w:rPr>
          <w:lang w:val="en-GB"/>
        </w:rPr>
        <w:t>.</w:t>
      </w:r>
      <w:r w:rsidRPr="00FA491C">
        <w:rPr>
          <w:lang w:val="en-GB"/>
        </w:rPr>
        <w:t xml:space="preserve"> Economic Modelling, 27(6), 1453</w:t>
      </w:r>
      <w:r w:rsidR="00D65CC3" w:rsidRPr="00FA491C">
        <w:rPr>
          <w:lang w:val="en-GB"/>
        </w:rPr>
        <w:t>–</w:t>
      </w:r>
      <w:r w:rsidRPr="00FA491C">
        <w:rPr>
          <w:lang w:val="en-GB"/>
        </w:rPr>
        <w:t>1462.</w:t>
      </w:r>
    </w:p>
    <w:p w14:paraId="2B85AD8D" w14:textId="77777777" w:rsidR="00C326C8" w:rsidRPr="00FA491C" w:rsidRDefault="00C326C8" w:rsidP="00A74AB4">
      <w:pPr>
        <w:numPr>
          <w:ilvl w:val="0"/>
          <w:numId w:val="16"/>
        </w:numPr>
        <w:spacing w:before="120"/>
        <w:ind w:left="567" w:hanging="567"/>
        <w:jc w:val="both"/>
        <w:rPr>
          <w:lang w:val="en-GB"/>
        </w:rPr>
      </w:pPr>
      <w:proofErr w:type="spellStart"/>
      <w:r w:rsidRPr="00FA491C">
        <w:rPr>
          <w:lang w:val="en-GB"/>
        </w:rPr>
        <w:t>Lelkes</w:t>
      </w:r>
      <w:proofErr w:type="spellEnd"/>
      <w:r w:rsidRPr="00FA491C">
        <w:rPr>
          <w:lang w:val="en-GB"/>
        </w:rPr>
        <w:t xml:space="preserve">, O. and </w:t>
      </w:r>
      <w:proofErr w:type="spellStart"/>
      <w:r w:rsidRPr="00FA491C">
        <w:rPr>
          <w:lang w:val="en-GB"/>
        </w:rPr>
        <w:t>Zólyomi</w:t>
      </w:r>
      <w:proofErr w:type="spellEnd"/>
      <w:r w:rsidRPr="00FA491C">
        <w:rPr>
          <w:lang w:val="en-GB"/>
        </w:rPr>
        <w:t>, E. (2008). Poverty across Europe: The Latest Evidence Using the EU-SILC Survey</w:t>
      </w:r>
      <w:r w:rsidR="008B5113" w:rsidRPr="00FA491C">
        <w:rPr>
          <w:lang w:val="en-GB"/>
        </w:rPr>
        <w:t>.</w:t>
      </w:r>
      <w:r w:rsidRPr="00FA491C">
        <w:rPr>
          <w:lang w:val="en-GB"/>
        </w:rPr>
        <w:t xml:space="preserve"> Policy Brief, European Centre for Social Welfare Policy and Research, Vienna</w:t>
      </w:r>
      <w:r w:rsidR="008B5113" w:rsidRPr="00FA491C">
        <w:rPr>
          <w:lang w:val="en-GB"/>
        </w:rPr>
        <w:t>.</w:t>
      </w:r>
    </w:p>
    <w:p w14:paraId="425FD08A" w14:textId="77777777" w:rsidR="00C326C8" w:rsidRPr="00FA491C" w:rsidRDefault="00C326C8" w:rsidP="00A74AB4">
      <w:pPr>
        <w:numPr>
          <w:ilvl w:val="0"/>
          <w:numId w:val="16"/>
        </w:numPr>
        <w:spacing w:before="120"/>
        <w:ind w:left="567" w:hanging="567"/>
        <w:jc w:val="both"/>
        <w:rPr>
          <w:lang w:val="en-GB"/>
        </w:rPr>
      </w:pPr>
      <w:proofErr w:type="spellStart"/>
      <w:r w:rsidRPr="00FA491C">
        <w:rPr>
          <w:lang w:val="en-GB"/>
        </w:rPr>
        <w:lastRenderedPageBreak/>
        <w:t>Lohmann</w:t>
      </w:r>
      <w:proofErr w:type="spellEnd"/>
      <w:r w:rsidRPr="00FA491C">
        <w:rPr>
          <w:lang w:val="en-GB"/>
        </w:rPr>
        <w:t>, H. (2011). Comparability of EU-SILC survey and register data: The relationship among employment, earnings and poverty. Journal of European Social Policy</w:t>
      </w:r>
      <w:r w:rsidR="008B5113" w:rsidRPr="00FA491C">
        <w:rPr>
          <w:lang w:val="en-GB"/>
        </w:rPr>
        <w:t xml:space="preserve">, </w:t>
      </w:r>
      <w:r w:rsidRPr="00FA491C">
        <w:rPr>
          <w:lang w:val="en-GB"/>
        </w:rPr>
        <w:t xml:space="preserve">21(1), </w:t>
      </w:r>
      <w:r w:rsidR="008B5113" w:rsidRPr="00FA491C">
        <w:rPr>
          <w:lang w:val="en-GB"/>
        </w:rPr>
        <w:t>37–54.</w:t>
      </w:r>
    </w:p>
    <w:p w14:paraId="70D0218F" w14:textId="77777777" w:rsidR="00C326C8" w:rsidRPr="00FA491C" w:rsidRDefault="00C326C8" w:rsidP="00A74AB4">
      <w:pPr>
        <w:numPr>
          <w:ilvl w:val="0"/>
          <w:numId w:val="16"/>
        </w:numPr>
        <w:spacing w:before="120"/>
        <w:ind w:left="567" w:hanging="567"/>
        <w:jc w:val="both"/>
        <w:rPr>
          <w:lang w:val="en-GB"/>
        </w:rPr>
      </w:pPr>
      <w:r w:rsidRPr="00FA491C">
        <w:rPr>
          <w:lang w:val="en-GB"/>
        </w:rPr>
        <w:t xml:space="preserve">McNair, S., </w:t>
      </w:r>
      <w:proofErr w:type="gramStart"/>
      <w:r w:rsidRPr="00FA491C">
        <w:rPr>
          <w:lang w:val="en-GB"/>
        </w:rPr>
        <w:t>Summers</w:t>
      </w:r>
      <w:proofErr w:type="gramEnd"/>
      <w:r w:rsidRPr="00FA491C">
        <w:rPr>
          <w:lang w:val="en-GB"/>
        </w:rPr>
        <w:t xml:space="preserve">, B., de Bruin, W. B. and </w:t>
      </w:r>
      <w:proofErr w:type="spellStart"/>
      <w:r w:rsidRPr="00FA491C">
        <w:rPr>
          <w:lang w:val="en-GB"/>
        </w:rPr>
        <w:t>Ranyard</w:t>
      </w:r>
      <w:proofErr w:type="spellEnd"/>
      <w:r w:rsidRPr="00FA491C">
        <w:rPr>
          <w:lang w:val="en-GB"/>
        </w:rPr>
        <w:t>, R.  (2016)</w:t>
      </w:r>
      <w:r w:rsidR="008B5113" w:rsidRPr="00FA491C">
        <w:rPr>
          <w:lang w:val="en-GB"/>
        </w:rPr>
        <w:t xml:space="preserve">. </w:t>
      </w:r>
      <w:r w:rsidRPr="00FA491C">
        <w:rPr>
          <w:lang w:val="en-GB"/>
        </w:rPr>
        <w:t>Individual-level factors predicting consumer financial behaviour at a time of high pressure</w:t>
      </w:r>
      <w:r w:rsidR="008B5113" w:rsidRPr="00FA491C">
        <w:rPr>
          <w:lang w:val="en-GB"/>
        </w:rPr>
        <w:t xml:space="preserve">. </w:t>
      </w:r>
      <w:r w:rsidRPr="00FA491C">
        <w:rPr>
          <w:lang w:val="en-GB"/>
        </w:rPr>
        <w:t>Personality and Individual Differences, 99, 211–216</w:t>
      </w:r>
      <w:r w:rsidR="008B5113" w:rsidRPr="00FA491C">
        <w:rPr>
          <w:lang w:val="en-GB"/>
        </w:rPr>
        <w:t>.</w:t>
      </w:r>
    </w:p>
    <w:p w14:paraId="7BA46C92" w14:textId="77777777" w:rsidR="00C326C8" w:rsidRPr="00FA491C" w:rsidRDefault="00C326C8" w:rsidP="00A74AB4">
      <w:pPr>
        <w:numPr>
          <w:ilvl w:val="0"/>
          <w:numId w:val="16"/>
        </w:numPr>
        <w:spacing w:before="120"/>
        <w:ind w:left="567" w:hanging="567"/>
        <w:jc w:val="both"/>
        <w:rPr>
          <w:lang w:val="en-GB"/>
        </w:rPr>
      </w:pPr>
      <w:proofErr w:type="spellStart"/>
      <w:r w:rsidRPr="00FA491C">
        <w:rPr>
          <w:lang w:val="en-GB"/>
        </w:rPr>
        <w:t>Nardo</w:t>
      </w:r>
      <w:proofErr w:type="spellEnd"/>
      <w:r w:rsidRPr="00FA491C">
        <w:rPr>
          <w:lang w:val="en-GB"/>
        </w:rPr>
        <w:t xml:space="preserve"> M. (2003)</w:t>
      </w:r>
      <w:r w:rsidR="008B5113" w:rsidRPr="00FA491C">
        <w:rPr>
          <w:lang w:val="en-GB"/>
        </w:rPr>
        <w:t xml:space="preserve">. </w:t>
      </w:r>
      <w:r w:rsidRPr="00FA491C">
        <w:rPr>
          <w:lang w:val="en-GB"/>
        </w:rPr>
        <w:t>The Quantification of Qualitative Survey Data: A Critical Assessment</w:t>
      </w:r>
      <w:r w:rsidR="008B5113" w:rsidRPr="00FA491C">
        <w:rPr>
          <w:lang w:val="en-GB"/>
        </w:rPr>
        <w:t>.</w:t>
      </w:r>
      <w:r w:rsidRPr="00FA491C">
        <w:rPr>
          <w:lang w:val="en-GB"/>
        </w:rPr>
        <w:t xml:space="preserve"> Journal of Economic Surveys, 17(5), 645–668</w:t>
      </w:r>
      <w:r w:rsidR="00D65CC3" w:rsidRPr="00FA491C">
        <w:rPr>
          <w:lang w:val="en-GB"/>
        </w:rPr>
        <w:t>.</w:t>
      </w:r>
      <w:r w:rsidRPr="00FA491C">
        <w:rPr>
          <w:lang w:val="en-GB"/>
        </w:rPr>
        <w:t xml:space="preserve"> </w:t>
      </w:r>
    </w:p>
    <w:p w14:paraId="6DE62688" w14:textId="77777777" w:rsidR="00C326C8" w:rsidRPr="00FA491C" w:rsidRDefault="00C326C8" w:rsidP="00A74AB4">
      <w:pPr>
        <w:numPr>
          <w:ilvl w:val="0"/>
          <w:numId w:val="16"/>
        </w:numPr>
        <w:spacing w:before="120"/>
        <w:ind w:left="567" w:hanging="567"/>
        <w:jc w:val="both"/>
        <w:rPr>
          <w:lang w:val="en-GB"/>
        </w:rPr>
      </w:pPr>
      <w:r w:rsidRPr="00FA491C">
        <w:rPr>
          <w:lang w:val="en-GB"/>
        </w:rPr>
        <w:t>Starkey, A. J., Keane, C.R., Terry, M.A., Marx, J.H. and Ricci, E. M. (2013)</w:t>
      </w:r>
      <w:r w:rsidR="00D65CC3" w:rsidRPr="00FA491C">
        <w:rPr>
          <w:lang w:val="en-GB"/>
        </w:rPr>
        <w:t xml:space="preserve">. </w:t>
      </w:r>
      <w:r w:rsidRPr="00FA491C">
        <w:rPr>
          <w:lang w:val="en-GB"/>
        </w:rPr>
        <w:t>Financial Distress and Depressive Symptoms among African American Women: Identifying Financial Priorities and Needs and why it Matters for Mental Health</w:t>
      </w:r>
      <w:r w:rsidR="00D65CC3" w:rsidRPr="00FA491C">
        <w:rPr>
          <w:lang w:val="en-GB"/>
        </w:rPr>
        <w:t xml:space="preserve">. Journal of Urban Health, 90(1), </w:t>
      </w:r>
      <w:r w:rsidRPr="00FA491C">
        <w:rPr>
          <w:lang w:val="en-GB"/>
        </w:rPr>
        <w:t>83</w:t>
      </w:r>
      <w:r w:rsidR="00D65CC3" w:rsidRPr="00FA491C">
        <w:rPr>
          <w:lang w:val="en-GB"/>
        </w:rPr>
        <w:t>–</w:t>
      </w:r>
      <w:r w:rsidR="00FE0994" w:rsidRPr="00FA491C">
        <w:rPr>
          <w:lang w:val="en-GB"/>
        </w:rPr>
        <w:t>1</w:t>
      </w:r>
      <w:r w:rsidRPr="00FA491C">
        <w:rPr>
          <w:lang w:val="en-GB"/>
        </w:rPr>
        <w:t>00</w:t>
      </w:r>
      <w:r w:rsidR="00D65CC3" w:rsidRPr="00FA491C">
        <w:rPr>
          <w:lang w:val="en-GB"/>
        </w:rPr>
        <w:t>.</w:t>
      </w:r>
    </w:p>
    <w:p w14:paraId="3161153C" w14:textId="77777777" w:rsidR="00C326C8" w:rsidRPr="00FA491C" w:rsidRDefault="00C326C8" w:rsidP="00A74AB4">
      <w:pPr>
        <w:numPr>
          <w:ilvl w:val="0"/>
          <w:numId w:val="16"/>
        </w:numPr>
        <w:spacing w:before="120"/>
        <w:ind w:left="567" w:hanging="567"/>
        <w:jc w:val="both"/>
        <w:rPr>
          <w:lang w:val="en-GB"/>
        </w:rPr>
      </w:pPr>
      <w:r w:rsidRPr="00FA491C">
        <w:rPr>
          <w:lang w:val="en-GB"/>
        </w:rPr>
        <w:t>Ware, S. J. (2015)</w:t>
      </w:r>
      <w:r w:rsidR="00D65CC3" w:rsidRPr="00FA491C">
        <w:rPr>
          <w:lang w:val="en-GB"/>
        </w:rPr>
        <w:t xml:space="preserve">. </w:t>
      </w:r>
      <w:r w:rsidRPr="00FA491C">
        <w:rPr>
          <w:lang w:val="en-GB"/>
        </w:rPr>
        <w:t>Debt, Poverty, and Personal Financial Distress</w:t>
      </w:r>
      <w:r w:rsidR="00D65CC3" w:rsidRPr="00FA491C">
        <w:rPr>
          <w:lang w:val="en-GB"/>
        </w:rPr>
        <w:t xml:space="preserve">. </w:t>
      </w:r>
      <w:r w:rsidRPr="00FA491C">
        <w:rPr>
          <w:lang w:val="en-GB"/>
        </w:rPr>
        <w:t>American bankruptcy law journal, 89</w:t>
      </w:r>
      <w:r w:rsidR="00D65CC3" w:rsidRPr="00FA491C">
        <w:rPr>
          <w:lang w:val="en-GB"/>
        </w:rPr>
        <w:t xml:space="preserve">(3), </w:t>
      </w:r>
      <w:r w:rsidRPr="00FA491C">
        <w:rPr>
          <w:lang w:val="en-GB"/>
        </w:rPr>
        <w:t>493</w:t>
      </w:r>
      <w:r w:rsidR="00D65CC3" w:rsidRPr="00FA491C">
        <w:rPr>
          <w:lang w:val="en-GB"/>
        </w:rPr>
        <w:t>–</w:t>
      </w:r>
      <w:r w:rsidRPr="00FA491C">
        <w:rPr>
          <w:lang w:val="en-GB"/>
        </w:rPr>
        <w:t>509</w:t>
      </w:r>
      <w:r w:rsidR="00D65CC3" w:rsidRPr="00FA491C">
        <w:rPr>
          <w:lang w:val="en-GB"/>
        </w:rPr>
        <w:t>.</w:t>
      </w:r>
    </w:p>
    <w:p w14:paraId="747872F0" w14:textId="77777777" w:rsidR="00C326C8" w:rsidRPr="00FA491C" w:rsidRDefault="00C326C8" w:rsidP="00A74AB4">
      <w:pPr>
        <w:spacing w:before="120"/>
        <w:ind w:left="567" w:hanging="567"/>
        <w:jc w:val="both"/>
        <w:rPr>
          <w:lang w:val="en-GB"/>
        </w:rPr>
      </w:pPr>
    </w:p>
    <w:p w14:paraId="4BDE60B7" w14:textId="77777777" w:rsidR="00C326C8" w:rsidRPr="00FA491C" w:rsidRDefault="00C326C8" w:rsidP="00A74AB4">
      <w:pPr>
        <w:spacing w:before="120"/>
        <w:ind w:left="567" w:hanging="567"/>
        <w:jc w:val="both"/>
        <w:rPr>
          <w:lang w:val="en-GB"/>
        </w:rPr>
      </w:pPr>
    </w:p>
    <w:p w14:paraId="2D312C51" w14:textId="77777777" w:rsidR="00C326C8" w:rsidRPr="00FA491C" w:rsidRDefault="00C326C8" w:rsidP="00A74AB4">
      <w:pPr>
        <w:spacing w:before="120"/>
        <w:ind w:left="567" w:hanging="567"/>
        <w:jc w:val="both"/>
        <w:rPr>
          <w:lang w:val="en-GB"/>
        </w:rPr>
      </w:pPr>
    </w:p>
    <w:sectPr w:rsidR="00C326C8" w:rsidRPr="00FA491C" w:rsidSect="003D1D07">
      <w:headerReference w:type="even" r:id="rId17"/>
      <w:headerReference w:type="default" r:id="rId18"/>
      <w:headerReference w:type="first" r:id="rId19"/>
      <w:footerReference w:type="first" r:id="rId20"/>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45310" w14:textId="77777777" w:rsidR="00310821" w:rsidRDefault="00310821">
      <w:r>
        <w:separator/>
      </w:r>
    </w:p>
  </w:endnote>
  <w:endnote w:type="continuationSeparator" w:id="0">
    <w:p w14:paraId="4C67D1B4" w14:textId="77777777" w:rsidR="00310821" w:rsidRDefault="00310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abo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995C9" w14:textId="77777777" w:rsidR="001D1315" w:rsidRPr="00FE7BC6" w:rsidRDefault="001D1315" w:rsidP="006C0348">
    <w:pPr>
      <w:pStyle w:val="Podnoje"/>
      <w:ind w:right="360"/>
      <w:rPr>
        <w:sz w:val="18"/>
        <w:szCs w:val="18"/>
      </w:rPr>
    </w:pPr>
    <w:r w:rsidRPr="006C0348">
      <w:rPr>
        <w:sz w:val="18"/>
        <w:szCs w:val="18"/>
        <w:lang w:val="hr-HR" w:eastAsia="hr-HR"/>
      </w:rPr>
      <w:t>http://www.hdoi.hr/crorr-journal</w:t>
    </w:r>
    <w:r>
      <w:rPr>
        <w:sz w:val="18"/>
        <w:szCs w:val="18"/>
        <w:lang w:val="hr-HR" w:eastAsia="hr-HR"/>
      </w:rPr>
      <w:t xml:space="preserve">                                                                  </w:t>
    </w:r>
    <w:r w:rsidRPr="00FE7BC6">
      <w:rPr>
        <w:sz w:val="18"/>
        <w:szCs w:val="18"/>
        <w:lang w:val="hr-HR" w:eastAsia="hr-HR"/>
      </w:rPr>
      <w:t xml:space="preserve">©201x Croatian </w:t>
    </w:r>
    <w:proofErr w:type="spellStart"/>
    <w:r w:rsidRPr="00FE7BC6">
      <w:rPr>
        <w:sz w:val="18"/>
        <w:szCs w:val="18"/>
        <w:lang w:val="hr-HR" w:eastAsia="hr-HR"/>
      </w:rPr>
      <w:t>Operational</w:t>
    </w:r>
    <w:proofErr w:type="spellEnd"/>
    <w:r w:rsidRPr="00FE7BC6">
      <w:rPr>
        <w:sz w:val="18"/>
        <w:szCs w:val="18"/>
        <w:lang w:val="hr-HR" w:eastAsia="hr-HR"/>
      </w:rPr>
      <w:t xml:space="preserve"> Research </w:t>
    </w:r>
    <w:proofErr w:type="spellStart"/>
    <w:r w:rsidRPr="00FE7BC6">
      <w:rPr>
        <w:sz w:val="18"/>
        <w:szCs w:val="18"/>
        <w:lang w:val="hr-HR" w:eastAsia="hr-HR"/>
      </w:rPr>
      <w:t>Society</w:t>
    </w:r>
    <w:proofErr w:type="spellEnd"/>
  </w:p>
  <w:p w14:paraId="3B5414B0" w14:textId="77777777" w:rsidR="001D1315" w:rsidRDefault="001D1315">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480EE" w14:textId="77777777" w:rsidR="00310821" w:rsidRDefault="00310821">
      <w:r>
        <w:separator/>
      </w:r>
    </w:p>
  </w:footnote>
  <w:footnote w:type="continuationSeparator" w:id="0">
    <w:p w14:paraId="7CAB8951" w14:textId="77777777" w:rsidR="00310821" w:rsidRDefault="00310821">
      <w:r>
        <w:continuationSeparator/>
      </w:r>
    </w:p>
  </w:footnote>
  <w:footnote w:id="1">
    <w:p w14:paraId="6FC7FEE7" w14:textId="77777777" w:rsidR="001D1315" w:rsidRPr="00FE21BE" w:rsidRDefault="001D1315">
      <w:pPr>
        <w:pStyle w:val="Tekstfusnote"/>
        <w:rPr>
          <w:lang w:val="hr-HR"/>
        </w:rPr>
      </w:pPr>
      <w:r>
        <w:rPr>
          <w:rStyle w:val="Referencafusnote"/>
        </w:rPr>
        <w:footnoteRef/>
      </w:r>
      <w:r>
        <w:t xml:space="preserve"> </w:t>
      </w:r>
      <w:proofErr w:type="spellStart"/>
      <w:r>
        <w:rPr>
          <w:lang w:val="hr-HR"/>
        </w:rPr>
        <w:t>Corresponding</w:t>
      </w:r>
      <w:proofErr w:type="spellEnd"/>
      <w:r>
        <w:rPr>
          <w:lang w:val="hr-HR"/>
        </w:rPr>
        <w:t xml:space="preserve"> </w:t>
      </w:r>
      <w:proofErr w:type="spellStart"/>
      <w:r>
        <w:rPr>
          <w:lang w:val="hr-HR"/>
        </w:rPr>
        <w:t>author</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0EF4B" w14:textId="77777777" w:rsidR="001D1315" w:rsidRPr="005273B2" w:rsidRDefault="001D1315" w:rsidP="003D1D07">
    <w:pPr>
      <w:pStyle w:val="Zaglavlje"/>
      <w:jc w:val="center"/>
      <w:rPr>
        <w:sz w:val="18"/>
        <w:szCs w:val="18"/>
      </w:rPr>
    </w:pPr>
    <w:r>
      <w:rPr>
        <w:sz w:val="18"/>
        <w:szCs w:val="18"/>
      </w:rPr>
      <w:t>First author and Second author</w:t>
    </w:r>
  </w:p>
  <w:p w14:paraId="4E190416" w14:textId="77777777" w:rsidR="001D1315" w:rsidRPr="005273B2" w:rsidRDefault="001D1315" w:rsidP="005273B2">
    <w:pPr>
      <w:pStyle w:val="Zaglavlje"/>
      <w:rPr>
        <w:noProof/>
      </w:rPr>
    </w:pPr>
    <w:r w:rsidRPr="005273B2">
      <w:fldChar w:fldCharType="begin"/>
    </w:r>
    <w:r w:rsidRPr="005273B2">
      <w:instrText xml:space="preserve"> PAGE   \* MERGEFORMAT </w:instrText>
    </w:r>
    <w:r w:rsidRPr="005273B2">
      <w:fldChar w:fldCharType="separate"/>
    </w:r>
    <w:r w:rsidR="00A62823">
      <w:rPr>
        <w:noProof/>
      </w:rPr>
      <w:t>8</w:t>
    </w:r>
    <w:r w:rsidRPr="005273B2">
      <w:rPr>
        <w:noProof/>
      </w:rPr>
      <w:fldChar w:fldCharType="end"/>
    </w:r>
  </w:p>
  <w:p w14:paraId="30BE92F0" w14:textId="77777777" w:rsidR="001D1315" w:rsidRDefault="001D1315" w:rsidP="005273B2">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A882C" w14:textId="77777777" w:rsidR="001D1315" w:rsidRPr="005273B2" w:rsidRDefault="001D1315" w:rsidP="003D1D07">
    <w:pPr>
      <w:pStyle w:val="Zaglavlje"/>
      <w:jc w:val="center"/>
      <w:rPr>
        <w:sz w:val="18"/>
        <w:szCs w:val="18"/>
      </w:rPr>
    </w:pPr>
    <w:r>
      <w:rPr>
        <w:sz w:val="18"/>
        <w:szCs w:val="18"/>
      </w:rPr>
      <w:t>Here comes the title of the paper</w:t>
    </w:r>
  </w:p>
  <w:p w14:paraId="4936D21B" w14:textId="77777777" w:rsidR="001D1315" w:rsidRPr="005273B2" w:rsidRDefault="001D1315" w:rsidP="006C0348">
    <w:pPr>
      <w:pStyle w:val="Zaglavlje"/>
      <w:jc w:val="right"/>
    </w:pPr>
    <w:r w:rsidRPr="005273B2">
      <w:fldChar w:fldCharType="begin"/>
    </w:r>
    <w:r w:rsidRPr="005273B2">
      <w:instrText xml:space="preserve"> PAGE   \* MERGEFORMAT </w:instrText>
    </w:r>
    <w:r w:rsidRPr="005273B2">
      <w:fldChar w:fldCharType="separate"/>
    </w:r>
    <w:r w:rsidR="00A62823">
      <w:rPr>
        <w:noProof/>
      </w:rPr>
      <w:t>9</w:t>
    </w:r>
    <w:r w:rsidRPr="005273B2">
      <w:rPr>
        <w:noProof/>
      </w:rPr>
      <w:fldChar w:fldCharType="end"/>
    </w:r>
  </w:p>
  <w:p w14:paraId="572732A5" w14:textId="77777777" w:rsidR="001D1315" w:rsidRDefault="001D1315">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10FD6" w14:textId="77777777" w:rsidR="001D1315" w:rsidRPr="0041497A" w:rsidRDefault="001D1315" w:rsidP="006C0348">
    <w:pPr>
      <w:pStyle w:val="Zaglavlje"/>
      <w:rPr>
        <w:sz w:val="20"/>
        <w:szCs w:val="20"/>
      </w:rPr>
    </w:pPr>
    <w:r w:rsidRPr="0041497A">
      <w:rPr>
        <w:sz w:val="20"/>
        <w:szCs w:val="20"/>
      </w:rPr>
      <w:t>Croatian Operational Research Review</w:t>
    </w:r>
  </w:p>
  <w:p w14:paraId="38E961F4" w14:textId="77777777" w:rsidR="001D1315" w:rsidRPr="0041497A" w:rsidRDefault="001D1315" w:rsidP="006C0348">
    <w:pPr>
      <w:pStyle w:val="Zaglavlje"/>
      <w:rPr>
        <w:sz w:val="20"/>
        <w:szCs w:val="20"/>
      </w:rPr>
    </w:pPr>
    <w:r w:rsidRPr="0041497A">
      <w:rPr>
        <w:sz w:val="20"/>
        <w:szCs w:val="20"/>
      </w:rPr>
      <w:t>CRORR x (201x)</w:t>
    </w:r>
    <w:r>
      <w:rPr>
        <w:sz w:val="20"/>
        <w:szCs w:val="20"/>
      </w:rPr>
      <w:t>, 1-5</w:t>
    </w:r>
  </w:p>
  <w:p w14:paraId="6C5FA5FB" w14:textId="77777777" w:rsidR="001D1315" w:rsidRDefault="001D1315">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33F46"/>
    <w:multiLevelType w:val="multilevel"/>
    <w:tmpl w:val="2B188482"/>
    <w:lvl w:ilvl="0">
      <w:start w:val="3"/>
      <w:numFmt w:val="decimal"/>
      <w:lvlText w:val="%1."/>
      <w:lvlJc w:val="left"/>
      <w:pPr>
        <w:tabs>
          <w:tab w:val="num" w:pos="600"/>
        </w:tabs>
        <w:ind w:left="600" w:hanging="600"/>
      </w:pPr>
      <w:rPr>
        <w:rFonts w:hint="default"/>
      </w:rPr>
    </w:lvl>
    <w:lvl w:ilvl="1">
      <w:start w:val="2"/>
      <w:numFmt w:val="decimal"/>
      <w:lvlText w:val="%1.%2."/>
      <w:lvlJc w:val="left"/>
      <w:pPr>
        <w:tabs>
          <w:tab w:val="num" w:pos="2033"/>
        </w:tabs>
        <w:ind w:left="2033" w:hanging="600"/>
      </w:pPr>
      <w:rPr>
        <w:rFonts w:hint="default"/>
      </w:rPr>
    </w:lvl>
    <w:lvl w:ilvl="2">
      <w:start w:val="1"/>
      <w:numFmt w:val="decimal"/>
      <w:lvlText w:val="%1.%2.%3."/>
      <w:lvlJc w:val="left"/>
      <w:pPr>
        <w:tabs>
          <w:tab w:val="num" w:pos="3586"/>
        </w:tabs>
        <w:ind w:left="3586" w:hanging="720"/>
      </w:pPr>
      <w:rPr>
        <w:rFonts w:hint="default"/>
      </w:rPr>
    </w:lvl>
    <w:lvl w:ilvl="3">
      <w:start w:val="1"/>
      <w:numFmt w:val="decimal"/>
      <w:lvlText w:val="%1.%2.%3.%4."/>
      <w:lvlJc w:val="left"/>
      <w:pPr>
        <w:tabs>
          <w:tab w:val="num" w:pos="5019"/>
        </w:tabs>
        <w:ind w:left="5019" w:hanging="720"/>
      </w:pPr>
      <w:rPr>
        <w:rFonts w:hint="default"/>
      </w:rPr>
    </w:lvl>
    <w:lvl w:ilvl="4">
      <w:start w:val="1"/>
      <w:numFmt w:val="decimal"/>
      <w:lvlText w:val="%1.%2.%3.%4.%5."/>
      <w:lvlJc w:val="left"/>
      <w:pPr>
        <w:tabs>
          <w:tab w:val="num" w:pos="6812"/>
        </w:tabs>
        <w:ind w:left="6812" w:hanging="1080"/>
      </w:pPr>
      <w:rPr>
        <w:rFonts w:hint="default"/>
      </w:rPr>
    </w:lvl>
    <w:lvl w:ilvl="5">
      <w:start w:val="1"/>
      <w:numFmt w:val="decimal"/>
      <w:lvlText w:val="%1.%2.%3.%4.%5.%6."/>
      <w:lvlJc w:val="left"/>
      <w:pPr>
        <w:tabs>
          <w:tab w:val="num" w:pos="8245"/>
        </w:tabs>
        <w:ind w:left="8245" w:hanging="1080"/>
      </w:pPr>
      <w:rPr>
        <w:rFonts w:hint="default"/>
      </w:rPr>
    </w:lvl>
    <w:lvl w:ilvl="6">
      <w:start w:val="1"/>
      <w:numFmt w:val="decimal"/>
      <w:lvlText w:val="%1.%2.%3.%4.%5.%6.%7."/>
      <w:lvlJc w:val="left"/>
      <w:pPr>
        <w:tabs>
          <w:tab w:val="num" w:pos="10038"/>
        </w:tabs>
        <w:ind w:left="10038" w:hanging="1440"/>
      </w:pPr>
      <w:rPr>
        <w:rFonts w:hint="default"/>
      </w:rPr>
    </w:lvl>
    <w:lvl w:ilvl="7">
      <w:start w:val="1"/>
      <w:numFmt w:val="decimal"/>
      <w:lvlText w:val="%1.%2.%3.%4.%5.%6.%7.%8."/>
      <w:lvlJc w:val="left"/>
      <w:pPr>
        <w:tabs>
          <w:tab w:val="num" w:pos="11471"/>
        </w:tabs>
        <w:ind w:left="11471" w:hanging="1440"/>
      </w:pPr>
      <w:rPr>
        <w:rFonts w:hint="default"/>
      </w:rPr>
    </w:lvl>
    <w:lvl w:ilvl="8">
      <w:start w:val="1"/>
      <w:numFmt w:val="decimal"/>
      <w:lvlText w:val="%1.%2.%3.%4.%5.%6.%7.%8.%9."/>
      <w:lvlJc w:val="left"/>
      <w:pPr>
        <w:tabs>
          <w:tab w:val="num" w:pos="13264"/>
        </w:tabs>
        <w:ind w:left="13264" w:hanging="1800"/>
      </w:pPr>
      <w:rPr>
        <w:rFonts w:hint="default"/>
      </w:rPr>
    </w:lvl>
  </w:abstractNum>
  <w:abstractNum w:abstractNumId="1" w15:restartNumberingAfterBreak="0">
    <w:nsid w:val="04BD666A"/>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E05082D"/>
    <w:multiLevelType w:val="multilevel"/>
    <w:tmpl w:val="95EE5B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244D99"/>
    <w:multiLevelType w:val="hybridMultilevel"/>
    <w:tmpl w:val="887ECC98"/>
    <w:lvl w:ilvl="0" w:tplc="CEF0586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17B821A9"/>
    <w:multiLevelType w:val="hybridMultilevel"/>
    <w:tmpl w:val="DF5664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E097357"/>
    <w:multiLevelType w:val="hybridMultilevel"/>
    <w:tmpl w:val="087847E8"/>
    <w:lvl w:ilvl="0" w:tplc="04090001">
      <w:start w:val="1"/>
      <w:numFmt w:val="bullet"/>
      <w:lvlText w:val=""/>
      <w:lvlJc w:val="left"/>
      <w:pPr>
        <w:tabs>
          <w:tab w:val="num" w:pos="720"/>
        </w:tabs>
        <w:ind w:left="720" w:hanging="360"/>
      </w:pPr>
      <w:rPr>
        <w:rFonts w:ascii="Symbol" w:hAnsi="Symbol" w:cs="Symbol" w:hint="default"/>
      </w:rPr>
    </w:lvl>
    <w:lvl w:ilvl="1" w:tplc="1E949502">
      <w:start w:val="1"/>
      <w:numFmt w:val="bullet"/>
      <w:lvlText w:val=""/>
      <w:lvlJc w:val="left"/>
      <w:pPr>
        <w:tabs>
          <w:tab w:val="num" w:pos="1440"/>
        </w:tabs>
        <w:ind w:left="1440" w:hanging="360"/>
      </w:pPr>
      <w:rPr>
        <w:rFonts w:ascii="Wingdings" w:hAnsi="Wingdings" w:cs="Wingdings" w:hint="default"/>
        <w:color w:val="auto"/>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6FC1197"/>
    <w:multiLevelType w:val="hybridMultilevel"/>
    <w:tmpl w:val="77AC81D8"/>
    <w:lvl w:ilvl="0" w:tplc="B5203324">
      <w:start w:val="759"/>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427B17CA"/>
    <w:multiLevelType w:val="hybridMultilevel"/>
    <w:tmpl w:val="4F6AEF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447B72F8"/>
    <w:multiLevelType w:val="hybridMultilevel"/>
    <w:tmpl w:val="7436D0F2"/>
    <w:lvl w:ilvl="0" w:tplc="B3AA0684">
      <w:start w:val="776"/>
      <w:numFmt w:val="decimal"/>
      <w:lvlText w:val="%1"/>
      <w:lvlJc w:val="left"/>
      <w:pPr>
        <w:tabs>
          <w:tab w:val="num" w:pos="1800"/>
        </w:tabs>
        <w:ind w:left="1800" w:hanging="14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46212FAB"/>
    <w:multiLevelType w:val="hybridMultilevel"/>
    <w:tmpl w:val="D84C7F5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0" w15:restartNumberingAfterBreak="0">
    <w:nsid w:val="47C17BAB"/>
    <w:multiLevelType w:val="multilevel"/>
    <w:tmpl w:val="2C8C742E"/>
    <w:lvl w:ilvl="0">
      <w:start w:val="2"/>
      <w:numFmt w:val="decimal"/>
      <w:lvlText w:val="%1."/>
      <w:lvlJc w:val="left"/>
      <w:pPr>
        <w:tabs>
          <w:tab w:val="num" w:pos="480"/>
        </w:tabs>
        <w:ind w:left="480" w:hanging="480"/>
      </w:pPr>
      <w:rPr>
        <w:rFonts w:hint="default"/>
      </w:rPr>
    </w:lvl>
    <w:lvl w:ilvl="1">
      <w:start w:val="5"/>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55084DF7"/>
    <w:multiLevelType w:val="multilevel"/>
    <w:tmpl w:val="6AC2ED8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82F447B"/>
    <w:multiLevelType w:val="multilevel"/>
    <w:tmpl w:val="EA5ED04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8347F5D"/>
    <w:multiLevelType w:val="hybridMultilevel"/>
    <w:tmpl w:val="F3185F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2F7693F"/>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63F5010E"/>
    <w:multiLevelType w:val="hybridMultilevel"/>
    <w:tmpl w:val="632037CE"/>
    <w:lvl w:ilvl="0" w:tplc="22A6A870">
      <w:start w:val="87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6D937E2C"/>
    <w:multiLevelType w:val="hybridMultilevel"/>
    <w:tmpl w:val="892CC9DC"/>
    <w:lvl w:ilvl="0" w:tplc="22DE19E4">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712E4C2E"/>
    <w:multiLevelType w:val="multilevel"/>
    <w:tmpl w:val="529240F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6"/>
  </w:num>
  <w:num w:numId="3">
    <w:abstractNumId w:val="15"/>
  </w:num>
  <w:num w:numId="4">
    <w:abstractNumId w:val="7"/>
  </w:num>
  <w:num w:numId="5">
    <w:abstractNumId w:val="9"/>
  </w:num>
  <w:num w:numId="6">
    <w:abstractNumId w:val="14"/>
  </w:num>
  <w:num w:numId="7">
    <w:abstractNumId w:val="1"/>
  </w:num>
  <w:num w:numId="8">
    <w:abstractNumId w:val="5"/>
  </w:num>
  <w:num w:numId="9">
    <w:abstractNumId w:val="12"/>
  </w:num>
  <w:num w:numId="10">
    <w:abstractNumId w:val="10"/>
  </w:num>
  <w:num w:numId="11">
    <w:abstractNumId w:val="11"/>
  </w:num>
  <w:num w:numId="12">
    <w:abstractNumId w:val="0"/>
  </w:num>
  <w:num w:numId="13">
    <w:abstractNumId w:val="17"/>
  </w:num>
  <w:num w:numId="14">
    <w:abstractNumId w:val="2"/>
  </w:num>
  <w:num w:numId="15">
    <w:abstractNumId w:val="13"/>
  </w:num>
  <w:num w:numId="16">
    <w:abstractNumId w:val="3"/>
  </w:num>
  <w:num w:numId="17">
    <w:abstractNumId w:val="1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8F2"/>
    <w:rsid w:val="0000082D"/>
    <w:rsid w:val="00007028"/>
    <w:rsid w:val="00007A33"/>
    <w:rsid w:val="00020303"/>
    <w:rsid w:val="00021AFE"/>
    <w:rsid w:val="00032B96"/>
    <w:rsid w:val="00036595"/>
    <w:rsid w:val="00037D3F"/>
    <w:rsid w:val="00052110"/>
    <w:rsid w:val="000632EE"/>
    <w:rsid w:val="000679E9"/>
    <w:rsid w:val="00071AAD"/>
    <w:rsid w:val="00097B78"/>
    <w:rsid w:val="000A16FB"/>
    <w:rsid w:val="000B16F7"/>
    <w:rsid w:val="000B2C77"/>
    <w:rsid w:val="000C343F"/>
    <w:rsid w:val="000D7C89"/>
    <w:rsid w:val="000E28F0"/>
    <w:rsid w:val="000E6726"/>
    <w:rsid w:val="000F3CF3"/>
    <w:rsid w:val="00117960"/>
    <w:rsid w:val="00123F25"/>
    <w:rsid w:val="00124C90"/>
    <w:rsid w:val="001474EA"/>
    <w:rsid w:val="0015092E"/>
    <w:rsid w:val="001555CE"/>
    <w:rsid w:val="001604AC"/>
    <w:rsid w:val="001608C9"/>
    <w:rsid w:val="00167D3C"/>
    <w:rsid w:val="001760F5"/>
    <w:rsid w:val="00185F53"/>
    <w:rsid w:val="00193A76"/>
    <w:rsid w:val="00194AAA"/>
    <w:rsid w:val="001A3664"/>
    <w:rsid w:val="001A6817"/>
    <w:rsid w:val="001B3682"/>
    <w:rsid w:val="001C29F5"/>
    <w:rsid w:val="001C3835"/>
    <w:rsid w:val="001C5392"/>
    <w:rsid w:val="001D08B6"/>
    <w:rsid w:val="001D0EA5"/>
    <w:rsid w:val="001D1315"/>
    <w:rsid w:val="00201894"/>
    <w:rsid w:val="00205030"/>
    <w:rsid w:val="00231846"/>
    <w:rsid w:val="0024205E"/>
    <w:rsid w:val="00246469"/>
    <w:rsid w:val="0025585A"/>
    <w:rsid w:val="00262E60"/>
    <w:rsid w:val="0026538A"/>
    <w:rsid w:val="0028304A"/>
    <w:rsid w:val="0028765A"/>
    <w:rsid w:val="002B13AC"/>
    <w:rsid w:val="002B4C68"/>
    <w:rsid w:val="002C2E7E"/>
    <w:rsid w:val="002D489A"/>
    <w:rsid w:val="002E1F00"/>
    <w:rsid w:val="002E5C3B"/>
    <w:rsid w:val="002E7312"/>
    <w:rsid w:val="002F106F"/>
    <w:rsid w:val="003004C3"/>
    <w:rsid w:val="00301CC1"/>
    <w:rsid w:val="00301EE1"/>
    <w:rsid w:val="00302F4E"/>
    <w:rsid w:val="00305EE6"/>
    <w:rsid w:val="00310821"/>
    <w:rsid w:val="0033316B"/>
    <w:rsid w:val="00340A18"/>
    <w:rsid w:val="00353105"/>
    <w:rsid w:val="0035374E"/>
    <w:rsid w:val="00361794"/>
    <w:rsid w:val="00362707"/>
    <w:rsid w:val="00375521"/>
    <w:rsid w:val="003839F1"/>
    <w:rsid w:val="00386950"/>
    <w:rsid w:val="003907E6"/>
    <w:rsid w:val="00397059"/>
    <w:rsid w:val="00397D34"/>
    <w:rsid w:val="003A106A"/>
    <w:rsid w:val="003A4121"/>
    <w:rsid w:val="003B3D37"/>
    <w:rsid w:val="003B704F"/>
    <w:rsid w:val="003D1D07"/>
    <w:rsid w:val="003F511C"/>
    <w:rsid w:val="00400154"/>
    <w:rsid w:val="0040273F"/>
    <w:rsid w:val="00407164"/>
    <w:rsid w:val="0041497A"/>
    <w:rsid w:val="004171CA"/>
    <w:rsid w:val="00417288"/>
    <w:rsid w:val="00424B58"/>
    <w:rsid w:val="00426F53"/>
    <w:rsid w:val="00427BD9"/>
    <w:rsid w:val="00430071"/>
    <w:rsid w:val="004463A5"/>
    <w:rsid w:val="004624C4"/>
    <w:rsid w:val="00472102"/>
    <w:rsid w:val="004916D0"/>
    <w:rsid w:val="00492C95"/>
    <w:rsid w:val="004A1772"/>
    <w:rsid w:val="004A365D"/>
    <w:rsid w:val="004B75CC"/>
    <w:rsid w:val="004C63E3"/>
    <w:rsid w:val="004D47BF"/>
    <w:rsid w:val="004E6DC3"/>
    <w:rsid w:val="0050479B"/>
    <w:rsid w:val="005273B2"/>
    <w:rsid w:val="00534C29"/>
    <w:rsid w:val="00534DCD"/>
    <w:rsid w:val="00535FD5"/>
    <w:rsid w:val="00543C0D"/>
    <w:rsid w:val="005572BC"/>
    <w:rsid w:val="00557D3F"/>
    <w:rsid w:val="005A398F"/>
    <w:rsid w:val="005A6315"/>
    <w:rsid w:val="005D26A0"/>
    <w:rsid w:val="005D3CC8"/>
    <w:rsid w:val="005F7F11"/>
    <w:rsid w:val="006112B9"/>
    <w:rsid w:val="00613785"/>
    <w:rsid w:val="00613C64"/>
    <w:rsid w:val="0061454C"/>
    <w:rsid w:val="00617A4A"/>
    <w:rsid w:val="00623455"/>
    <w:rsid w:val="00626E7A"/>
    <w:rsid w:val="00647D48"/>
    <w:rsid w:val="00651200"/>
    <w:rsid w:val="00673511"/>
    <w:rsid w:val="0068555F"/>
    <w:rsid w:val="006865C0"/>
    <w:rsid w:val="00696F04"/>
    <w:rsid w:val="006A1C42"/>
    <w:rsid w:val="006A3B62"/>
    <w:rsid w:val="006B1576"/>
    <w:rsid w:val="006C0348"/>
    <w:rsid w:val="006C6280"/>
    <w:rsid w:val="006D1078"/>
    <w:rsid w:val="006D5076"/>
    <w:rsid w:val="006D6858"/>
    <w:rsid w:val="006E4FB9"/>
    <w:rsid w:val="006F03ED"/>
    <w:rsid w:val="007066CC"/>
    <w:rsid w:val="00712475"/>
    <w:rsid w:val="00713B25"/>
    <w:rsid w:val="00716344"/>
    <w:rsid w:val="007175C5"/>
    <w:rsid w:val="0072254C"/>
    <w:rsid w:val="007311BE"/>
    <w:rsid w:val="00745FE0"/>
    <w:rsid w:val="007567D4"/>
    <w:rsid w:val="00763ECA"/>
    <w:rsid w:val="0076669B"/>
    <w:rsid w:val="00770A24"/>
    <w:rsid w:val="007722D8"/>
    <w:rsid w:val="00772DE5"/>
    <w:rsid w:val="00782929"/>
    <w:rsid w:val="00784A02"/>
    <w:rsid w:val="00795EE5"/>
    <w:rsid w:val="007A4AD9"/>
    <w:rsid w:val="007A7E4C"/>
    <w:rsid w:val="007B0937"/>
    <w:rsid w:val="007C4B15"/>
    <w:rsid w:val="007D43C9"/>
    <w:rsid w:val="007E350D"/>
    <w:rsid w:val="007E5C8B"/>
    <w:rsid w:val="007E7F32"/>
    <w:rsid w:val="007F0D60"/>
    <w:rsid w:val="007F56BD"/>
    <w:rsid w:val="00811A09"/>
    <w:rsid w:val="00821119"/>
    <w:rsid w:val="00836C5B"/>
    <w:rsid w:val="00840031"/>
    <w:rsid w:val="008460EB"/>
    <w:rsid w:val="00852B3E"/>
    <w:rsid w:val="0086440D"/>
    <w:rsid w:val="008728FC"/>
    <w:rsid w:val="00880864"/>
    <w:rsid w:val="00880A5D"/>
    <w:rsid w:val="00882242"/>
    <w:rsid w:val="00891AA5"/>
    <w:rsid w:val="008A2F3C"/>
    <w:rsid w:val="008A3576"/>
    <w:rsid w:val="008A5BCF"/>
    <w:rsid w:val="008A70F5"/>
    <w:rsid w:val="008A75CD"/>
    <w:rsid w:val="008B2B25"/>
    <w:rsid w:val="008B5113"/>
    <w:rsid w:val="008E5C79"/>
    <w:rsid w:val="008E5E35"/>
    <w:rsid w:val="008E7C02"/>
    <w:rsid w:val="008F1BF3"/>
    <w:rsid w:val="008F2F9E"/>
    <w:rsid w:val="008F497D"/>
    <w:rsid w:val="008F5D1A"/>
    <w:rsid w:val="009041DA"/>
    <w:rsid w:val="00914085"/>
    <w:rsid w:val="0092656E"/>
    <w:rsid w:val="00933373"/>
    <w:rsid w:val="00951C4A"/>
    <w:rsid w:val="00957D9E"/>
    <w:rsid w:val="00965127"/>
    <w:rsid w:val="00965D71"/>
    <w:rsid w:val="00966571"/>
    <w:rsid w:val="0097517F"/>
    <w:rsid w:val="00984708"/>
    <w:rsid w:val="009A0017"/>
    <w:rsid w:val="009A31D4"/>
    <w:rsid w:val="009C05ED"/>
    <w:rsid w:val="009D1533"/>
    <w:rsid w:val="009D60DF"/>
    <w:rsid w:val="009E2B97"/>
    <w:rsid w:val="009F1AD2"/>
    <w:rsid w:val="00A009A2"/>
    <w:rsid w:val="00A021CD"/>
    <w:rsid w:val="00A06222"/>
    <w:rsid w:val="00A11AD8"/>
    <w:rsid w:val="00A145F7"/>
    <w:rsid w:val="00A249DE"/>
    <w:rsid w:val="00A27A01"/>
    <w:rsid w:val="00A3331F"/>
    <w:rsid w:val="00A551A4"/>
    <w:rsid w:val="00A62823"/>
    <w:rsid w:val="00A706F8"/>
    <w:rsid w:val="00A74AB4"/>
    <w:rsid w:val="00A85C63"/>
    <w:rsid w:val="00AA113E"/>
    <w:rsid w:val="00AA4E51"/>
    <w:rsid w:val="00AA67BA"/>
    <w:rsid w:val="00AB0D5D"/>
    <w:rsid w:val="00AC3458"/>
    <w:rsid w:val="00AD140F"/>
    <w:rsid w:val="00AD4798"/>
    <w:rsid w:val="00AD6354"/>
    <w:rsid w:val="00AE0F91"/>
    <w:rsid w:val="00AE7613"/>
    <w:rsid w:val="00AF626A"/>
    <w:rsid w:val="00AF6F08"/>
    <w:rsid w:val="00B0637C"/>
    <w:rsid w:val="00B13C1A"/>
    <w:rsid w:val="00B1752C"/>
    <w:rsid w:val="00B1759E"/>
    <w:rsid w:val="00B2347D"/>
    <w:rsid w:val="00B262F3"/>
    <w:rsid w:val="00B44D29"/>
    <w:rsid w:val="00B54FB0"/>
    <w:rsid w:val="00B56793"/>
    <w:rsid w:val="00B639BB"/>
    <w:rsid w:val="00B65CC7"/>
    <w:rsid w:val="00B740FB"/>
    <w:rsid w:val="00B85DEB"/>
    <w:rsid w:val="00B941D7"/>
    <w:rsid w:val="00B96FE7"/>
    <w:rsid w:val="00BA4410"/>
    <w:rsid w:val="00BB4FD9"/>
    <w:rsid w:val="00BD1B60"/>
    <w:rsid w:val="00BD7DCE"/>
    <w:rsid w:val="00BE5310"/>
    <w:rsid w:val="00BF0323"/>
    <w:rsid w:val="00BF0B90"/>
    <w:rsid w:val="00C25F9E"/>
    <w:rsid w:val="00C326C8"/>
    <w:rsid w:val="00C37F85"/>
    <w:rsid w:val="00C41F06"/>
    <w:rsid w:val="00C42318"/>
    <w:rsid w:val="00C46F7E"/>
    <w:rsid w:val="00C50C73"/>
    <w:rsid w:val="00C5101E"/>
    <w:rsid w:val="00C5110E"/>
    <w:rsid w:val="00C516E0"/>
    <w:rsid w:val="00C6146D"/>
    <w:rsid w:val="00C72251"/>
    <w:rsid w:val="00C72A43"/>
    <w:rsid w:val="00C72E1D"/>
    <w:rsid w:val="00C81192"/>
    <w:rsid w:val="00C87397"/>
    <w:rsid w:val="00C92533"/>
    <w:rsid w:val="00C956C2"/>
    <w:rsid w:val="00CC05F6"/>
    <w:rsid w:val="00CE6038"/>
    <w:rsid w:val="00CE7CDA"/>
    <w:rsid w:val="00CF4CFE"/>
    <w:rsid w:val="00D2360F"/>
    <w:rsid w:val="00D237D5"/>
    <w:rsid w:val="00D269D9"/>
    <w:rsid w:val="00D272BF"/>
    <w:rsid w:val="00D3424B"/>
    <w:rsid w:val="00D464AD"/>
    <w:rsid w:val="00D5211A"/>
    <w:rsid w:val="00D65CC3"/>
    <w:rsid w:val="00D65D03"/>
    <w:rsid w:val="00D65E8F"/>
    <w:rsid w:val="00D80217"/>
    <w:rsid w:val="00D86B67"/>
    <w:rsid w:val="00D927B7"/>
    <w:rsid w:val="00D928A4"/>
    <w:rsid w:val="00D96FFA"/>
    <w:rsid w:val="00DB19D9"/>
    <w:rsid w:val="00DC1C9B"/>
    <w:rsid w:val="00DD348C"/>
    <w:rsid w:val="00DE6945"/>
    <w:rsid w:val="00E0159C"/>
    <w:rsid w:val="00E06243"/>
    <w:rsid w:val="00E11EF5"/>
    <w:rsid w:val="00E20B9D"/>
    <w:rsid w:val="00E2375B"/>
    <w:rsid w:val="00E239E7"/>
    <w:rsid w:val="00E276BA"/>
    <w:rsid w:val="00E40730"/>
    <w:rsid w:val="00E459B5"/>
    <w:rsid w:val="00E5017E"/>
    <w:rsid w:val="00E5223C"/>
    <w:rsid w:val="00E6260C"/>
    <w:rsid w:val="00E65708"/>
    <w:rsid w:val="00E67B39"/>
    <w:rsid w:val="00E708F2"/>
    <w:rsid w:val="00E844C5"/>
    <w:rsid w:val="00EA058E"/>
    <w:rsid w:val="00EA54BA"/>
    <w:rsid w:val="00EB3300"/>
    <w:rsid w:val="00EC3C62"/>
    <w:rsid w:val="00EF318D"/>
    <w:rsid w:val="00F036F0"/>
    <w:rsid w:val="00F03856"/>
    <w:rsid w:val="00F062FF"/>
    <w:rsid w:val="00F22601"/>
    <w:rsid w:val="00F2432A"/>
    <w:rsid w:val="00F31AA0"/>
    <w:rsid w:val="00F36859"/>
    <w:rsid w:val="00F41E36"/>
    <w:rsid w:val="00F509AC"/>
    <w:rsid w:val="00F702DA"/>
    <w:rsid w:val="00F861A9"/>
    <w:rsid w:val="00F97998"/>
    <w:rsid w:val="00FA491C"/>
    <w:rsid w:val="00FA7001"/>
    <w:rsid w:val="00FB4F9A"/>
    <w:rsid w:val="00FC4E51"/>
    <w:rsid w:val="00FD3A67"/>
    <w:rsid w:val="00FE0994"/>
    <w:rsid w:val="00FE21BE"/>
    <w:rsid w:val="00FE33C0"/>
    <w:rsid w:val="00FE7B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C436095"/>
  <w15:docId w15:val="{4A3CF2C3-3433-403E-82DA-08C0F1B3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EE6"/>
    <w:rPr>
      <w:sz w:val="24"/>
      <w:szCs w:val="24"/>
      <w:lang w:val="en-US" w:eastAsia="en-US"/>
    </w:rPr>
  </w:style>
  <w:style w:type="paragraph" w:styleId="Naslov1">
    <w:name w:val="heading 1"/>
    <w:basedOn w:val="Normal"/>
    <w:next w:val="Normal"/>
    <w:qFormat/>
    <w:rsid w:val="00305EE6"/>
    <w:pPr>
      <w:keepNext/>
      <w:jc w:val="center"/>
      <w:outlineLvl w:val="0"/>
    </w:pPr>
    <w:rPr>
      <w:b/>
      <w:bCs/>
      <w:lang w:val="en-GB"/>
    </w:rPr>
  </w:style>
  <w:style w:type="paragraph" w:styleId="Naslov2">
    <w:name w:val="heading 2"/>
    <w:basedOn w:val="Normal"/>
    <w:next w:val="Normal"/>
    <w:qFormat/>
    <w:rsid w:val="00305EE6"/>
    <w:pPr>
      <w:keepNext/>
      <w:outlineLvl w:val="1"/>
    </w:pPr>
    <w:rPr>
      <w:b/>
      <w:bCs/>
      <w:lang w:val="en-GB"/>
    </w:rPr>
  </w:style>
  <w:style w:type="paragraph" w:styleId="Naslov3">
    <w:name w:val="heading 3"/>
    <w:basedOn w:val="Normal"/>
    <w:next w:val="Normal"/>
    <w:qFormat/>
    <w:rsid w:val="00305EE6"/>
    <w:pPr>
      <w:keepNext/>
      <w:spacing w:before="240"/>
      <w:outlineLvl w:val="2"/>
    </w:pPr>
    <w:rPr>
      <w:rFonts w:cs="Arial"/>
      <w:b/>
      <w:bCs/>
      <w:szCs w:val="26"/>
    </w:rPr>
  </w:style>
  <w:style w:type="paragraph" w:styleId="Naslov4">
    <w:name w:val="heading 4"/>
    <w:basedOn w:val="Normal"/>
    <w:next w:val="Normal"/>
    <w:qFormat/>
    <w:rsid w:val="00353105"/>
    <w:pPr>
      <w:keepNext/>
      <w:spacing w:before="240" w:after="60"/>
      <w:outlineLvl w:val="3"/>
    </w:pPr>
    <w:rPr>
      <w:b/>
      <w:b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fusnote">
    <w:name w:val="footnote reference"/>
    <w:semiHidden/>
    <w:rsid w:val="00305EE6"/>
    <w:rPr>
      <w:vertAlign w:val="superscript"/>
    </w:rPr>
  </w:style>
  <w:style w:type="character" w:styleId="Hiperveza">
    <w:name w:val="Hyperlink"/>
    <w:rsid w:val="00305EE6"/>
    <w:rPr>
      <w:color w:val="0000FF"/>
      <w:u w:val="single"/>
    </w:rPr>
  </w:style>
  <w:style w:type="paragraph" w:styleId="Tekstfusnote">
    <w:name w:val="footnote text"/>
    <w:basedOn w:val="Normal"/>
    <w:semiHidden/>
    <w:rsid w:val="00305EE6"/>
    <w:rPr>
      <w:sz w:val="20"/>
      <w:szCs w:val="20"/>
    </w:rPr>
  </w:style>
  <w:style w:type="character" w:styleId="Brojstranice">
    <w:name w:val="page number"/>
    <w:basedOn w:val="Zadanifontodlomka"/>
    <w:rsid w:val="00305EE6"/>
  </w:style>
  <w:style w:type="paragraph" w:styleId="Podnoje">
    <w:name w:val="footer"/>
    <w:basedOn w:val="Normal"/>
    <w:rsid w:val="00305EE6"/>
    <w:pPr>
      <w:tabs>
        <w:tab w:val="center" w:pos="4536"/>
        <w:tab w:val="right" w:pos="9072"/>
      </w:tabs>
    </w:pPr>
  </w:style>
  <w:style w:type="paragraph" w:styleId="Tijeloteksta">
    <w:name w:val="Body Text"/>
    <w:basedOn w:val="Normal"/>
    <w:rsid w:val="00305EE6"/>
    <w:pPr>
      <w:jc w:val="center"/>
    </w:pPr>
    <w:rPr>
      <w:b/>
      <w:sz w:val="28"/>
      <w:lang w:val="en-GB"/>
    </w:rPr>
  </w:style>
  <w:style w:type="paragraph" w:styleId="Zaglavlje">
    <w:name w:val="header"/>
    <w:basedOn w:val="Normal"/>
    <w:link w:val="ZaglavljeChar"/>
    <w:uiPriority w:val="99"/>
    <w:rsid w:val="00305EE6"/>
    <w:pPr>
      <w:tabs>
        <w:tab w:val="center" w:pos="4536"/>
        <w:tab w:val="right" w:pos="9072"/>
      </w:tabs>
    </w:pPr>
  </w:style>
  <w:style w:type="paragraph" w:styleId="Uvuenotijeloteksta">
    <w:name w:val="Body Text Indent"/>
    <w:basedOn w:val="Normal"/>
    <w:rsid w:val="00305EE6"/>
    <w:pPr>
      <w:ind w:left="540" w:hanging="540"/>
    </w:pPr>
    <w:rPr>
      <w:lang w:val="en-GB"/>
    </w:rPr>
  </w:style>
  <w:style w:type="character" w:styleId="SlijeenaHiperveza">
    <w:name w:val="FollowedHyperlink"/>
    <w:rsid w:val="00305EE6"/>
    <w:rPr>
      <w:color w:val="800080"/>
      <w:u w:val="single"/>
    </w:rPr>
  </w:style>
  <w:style w:type="character" w:styleId="Istaknuto">
    <w:name w:val="Emphasis"/>
    <w:uiPriority w:val="20"/>
    <w:qFormat/>
    <w:rsid w:val="00353105"/>
    <w:rPr>
      <w:i/>
      <w:iCs/>
    </w:rPr>
  </w:style>
  <w:style w:type="character" w:customStyle="1" w:styleId="ZaglavljeChar">
    <w:name w:val="Zaglavlje Char"/>
    <w:link w:val="Zaglavlje"/>
    <w:uiPriority w:val="99"/>
    <w:rsid w:val="006F03ED"/>
    <w:rPr>
      <w:sz w:val="24"/>
      <w:szCs w:val="24"/>
      <w:lang w:val="en-US" w:eastAsia="en-US"/>
    </w:rPr>
  </w:style>
  <w:style w:type="paragraph" w:styleId="Tekstbalonia">
    <w:name w:val="Balloon Text"/>
    <w:basedOn w:val="Normal"/>
    <w:link w:val="TekstbaloniaChar"/>
    <w:rsid w:val="006F03ED"/>
    <w:rPr>
      <w:rFonts w:ascii="Tahoma" w:hAnsi="Tahoma" w:cs="Tahoma"/>
      <w:sz w:val="16"/>
      <w:szCs w:val="16"/>
    </w:rPr>
  </w:style>
  <w:style w:type="character" w:customStyle="1" w:styleId="TekstbaloniaChar">
    <w:name w:val="Tekst balončića Char"/>
    <w:link w:val="Tekstbalonia"/>
    <w:rsid w:val="006F03ED"/>
    <w:rPr>
      <w:rFonts w:ascii="Tahoma" w:hAnsi="Tahoma" w:cs="Tahoma"/>
      <w:sz w:val="16"/>
      <w:szCs w:val="16"/>
      <w:lang w:val="en-US" w:eastAsia="en-US"/>
    </w:rPr>
  </w:style>
  <w:style w:type="table" w:styleId="Reetkatablice">
    <w:name w:val="Table Grid"/>
    <w:basedOn w:val="Obinatablica"/>
    <w:rsid w:val="00414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
    <w:name w:val="italic"/>
    <w:rsid w:val="001C3835"/>
  </w:style>
  <w:style w:type="paragraph" w:styleId="Odlomakpopisa">
    <w:name w:val="List Paragraph"/>
    <w:basedOn w:val="Normal"/>
    <w:uiPriority w:val="34"/>
    <w:qFormat/>
    <w:rsid w:val="0076669B"/>
    <w:pPr>
      <w:ind w:left="708"/>
    </w:pPr>
  </w:style>
  <w:style w:type="character" w:styleId="Naglaeno">
    <w:name w:val="Strong"/>
    <w:uiPriority w:val="22"/>
    <w:qFormat/>
    <w:rsid w:val="005D26A0"/>
    <w:rPr>
      <w:b/>
      <w:bCs/>
    </w:rPr>
  </w:style>
  <w:style w:type="character" w:customStyle="1" w:styleId="alt-edited1">
    <w:name w:val="alt-edited1"/>
    <w:basedOn w:val="Zadanifontodlomka"/>
    <w:rsid w:val="002B13AC"/>
    <w:rPr>
      <w:color w:val="4D90F0"/>
    </w:rPr>
  </w:style>
  <w:style w:type="paragraph" w:customStyle="1" w:styleId="Default">
    <w:name w:val="Default"/>
    <w:rsid w:val="00C326C8"/>
    <w:pPr>
      <w:autoSpaceDE w:val="0"/>
      <w:autoSpaceDN w:val="0"/>
      <w:adjustRightInd w:val="0"/>
    </w:pPr>
    <w:rPr>
      <w:rFonts w:ascii="Sabon" w:eastAsiaTheme="minorHAnsi" w:hAnsi="Sabon" w:cs="Sabon"/>
      <w:color w:val="000000"/>
      <w:sz w:val="24"/>
      <w:szCs w:val="24"/>
      <w:lang w:eastAsia="en-US"/>
    </w:rPr>
  </w:style>
  <w:style w:type="character" w:customStyle="1" w:styleId="A0">
    <w:name w:val="A0"/>
    <w:uiPriority w:val="99"/>
    <w:rsid w:val="00C326C8"/>
    <w:rPr>
      <w:rFonts w:cs="Sabon"/>
      <w:color w:val="000000"/>
      <w:sz w:val="14"/>
      <w:szCs w:val="14"/>
    </w:rPr>
  </w:style>
  <w:style w:type="character" w:customStyle="1" w:styleId="A5">
    <w:name w:val="A5"/>
    <w:uiPriority w:val="99"/>
    <w:rsid w:val="00C326C8"/>
    <w:rPr>
      <w:rFonts w:cs="Sabon"/>
      <w:color w:val="000000"/>
      <w:sz w:val="16"/>
      <w:szCs w:val="16"/>
    </w:rPr>
  </w:style>
  <w:style w:type="paragraph" w:styleId="Opisslike">
    <w:name w:val="caption"/>
    <w:basedOn w:val="Normal"/>
    <w:next w:val="Normal"/>
    <w:unhideWhenUsed/>
    <w:qFormat/>
    <w:rsid w:val="00BF0323"/>
    <w:pPr>
      <w:spacing w:after="200"/>
    </w:pPr>
    <w:rPr>
      <w:i/>
      <w:iCs/>
      <w:color w:val="44546A" w:themeColor="text2"/>
      <w:sz w:val="18"/>
      <w:szCs w:val="18"/>
    </w:rPr>
  </w:style>
  <w:style w:type="character" w:styleId="Referencakomentara">
    <w:name w:val="annotation reference"/>
    <w:basedOn w:val="Zadanifontodlomka"/>
    <w:uiPriority w:val="99"/>
    <w:semiHidden/>
    <w:unhideWhenUsed/>
    <w:rsid w:val="00C50C73"/>
    <w:rPr>
      <w:sz w:val="16"/>
      <w:szCs w:val="16"/>
    </w:rPr>
  </w:style>
  <w:style w:type="paragraph" w:styleId="Tekstkomentara">
    <w:name w:val="annotation text"/>
    <w:basedOn w:val="Normal"/>
    <w:link w:val="TekstkomentaraChar"/>
    <w:uiPriority w:val="99"/>
    <w:semiHidden/>
    <w:unhideWhenUsed/>
    <w:rsid w:val="00C50C73"/>
    <w:rPr>
      <w:sz w:val="20"/>
      <w:szCs w:val="20"/>
    </w:rPr>
  </w:style>
  <w:style w:type="character" w:customStyle="1" w:styleId="TekstkomentaraChar">
    <w:name w:val="Tekst komentara Char"/>
    <w:basedOn w:val="Zadanifontodlomka"/>
    <w:link w:val="Tekstkomentara"/>
    <w:uiPriority w:val="99"/>
    <w:semiHidden/>
    <w:rsid w:val="00C50C73"/>
    <w:rPr>
      <w:lang w:val="en-US" w:eastAsia="en-US"/>
    </w:rPr>
  </w:style>
  <w:style w:type="paragraph" w:styleId="Predmetkomentara">
    <w:name w:val="annotation subject"/>
    <w:basedOn w:val="Tekstkomentara"/>
    <w:next w:val="Tekstkomentara"/>
    <w:link w:val="PredmetkomentaraChar"/>
    <w:semiHidden/>
    <w:unhideWhenUsed/>
    <w:rsid w:val="00C50C73"/>
    <w:rPr>
      <w:b/>
      <w:bCs/>
    </w:rPr>
  </w:style>
  <w:style w:type="character" w:customStyle="1" w:styleId="PredmetkomentaraChar">
    <w:name w:val="Predmet komentara Char"/>
    <w:basedOn w:val="TekstkomentaraChar"/>
    <w:link w:val="Predmetkomentara"/>
    <w:semiHidden/>
    <w:rsid w:val="00C50C73"/>
    <w:rPr>
      <w:b/>
      <w:bCs/>
      <w:lang w:val="en-US" w:eastAsia="en-US"/>
    </w:rPr>
  </w:style>
  <w:style w:type="character" w:customStyle="1" w:styleId="shorttext">
    <w:name w:val="short_text"/>
    <w:basedOn w:val="Zadanifontodlomka"/>
    <w:rsid w:val="00FA491C"/>
  </w:style>
  <w:style w:type="character" w:customStyle="1" w:styleId="apple-converted-space">
    <w:name w:val="apple-converted-space"/>
    <w:basedOn w:val="Zadanifontodlomka"/>
    <w:rsid w:val="00F86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688421">
      <w:bodyDiv w:val="1"/>
      <w:marLeft w:val="0"/>
      <w:marRight w:val="0"/>
      <w:marTop w:val="0"/>
      <w:marBottom w:val="0"/>
      <w:divBdr>
        <w:top w:val="none" w:sz="0" w:space="0" w:color="auto"/>
        <w:left w:val="none" w:sz="0" w:space="0" w:color="auto"/>
        <w:bottom w:val="none" w:sz="0" w:space="0" w:color="auto"/>
        <w:right w:val="none" w:sz="0" w:space="0" w:color="auto"/>
      </w:divBdr>
      <w:divsChild>
        <w:div w:id="1612932704">
          <w:marLeft w:val="0"/>
          <w:marRight w:val="0"/>
          <w:marTop w:val="0"/>
          <w:marBottom w:val="0"/>
          <w:divBdr>
            <w:top w:val="none" w:sz="0" w:space="0" w:color="auto"/>
            <w:left w:val="none" w:sz="0" w:space="0" w:color="auto"/>
            <w:bottom w:val="none" w:sz="0" w:space="0" w:color="auto"/>
            <w:right w:val="none" w:sz="0" w:space="0" w:color="auto"/>
          </w:divBdr>
          <w:divsChild>
            <w:div w:id="1310015211">
              <w:marLeft w:val="0"/>
              <w:marRight w:val="0"/>
              <w:marTop w:val="0"/>
              <w:marBottom w:val="0"/>
              <w:divBdr>
                <w:top w:val="none" w:sz="0" w:space="0" w:color="auto"/>
                <w:left w:val="none" w:sz="0" w:space="0" w:color="auto"/>
                <w:bottom w:val="none" w:sz="0" w:space="0" w:color="auto"/>
                <w:right w:val="none" w:sz="0" w:space="0" w:color="auto"/>
              </w:divBdr>
              <w:divsChild>
                <w:div w:id="1046568685">
                  <w:marLeft w:val="0"/>
                  <w:marRight w:val="0"/>
                  <w:marTop w:val="0"/>
                  <w:marBottom w:val="0"/>
                  <w:divBdr>
                    <w:top w:val="none" w:sz="0" w:space="0" w:color="auto"/>
                    <w:left w:val="none" w:sz="0" w:space="0" w:color="auto"/>
                    <w:bottom w:val="none" w:sz="0" w:space="0" w:color="auto"/>
                    <w:right w:val="none" w:sz="0" w:space="0" w:color="auto"/>
                  </w:divBdr>
                  <w:divsChild>
                    <w:div w:id="1717507999">
                      <w:marLeft w:val="0"/>
                      <w:marRight w:val="0"/>
                      <w:marTop w:val="0"/>
                      <w:marBottom w:val="0"/>
                      <w:divBdr>
                        <w:top w:val="none" w:sz="0" w:space="0" w:color="auto"/>
                        <w:left w:val="none" w:sz="0" w:space="0" w:color="auto"/>
                        <w:bottom w:val="none" w:sz="0" w:space="0" w:color="auto"/>
                        <w:right w:val="none" w:sz="0" w:space="0" w:color="auto"/>
                      </w:divBdr>
                      <w:divsChild>
                        <w:div w:id="517282100">
                          <w:marLeft w:val="0"/>
                          <w:marRight w:val="0"/>
                          <w:marTop w:val="0"/>
                          <w:marBottom w:val="0"/>
                          <w:divBdr>
                            <w:top w:val="none" w:sz="0" w:space="0" w:color="auto"/>
                            <w:left w:val="none" w:sz="0" w:space="0" w:color="auto"/>
                            <w:bottom w:val="none" w:sz="0" w:space="0" w:color="auto"/>
                            <w:right w:val="none" w:sz="0" w:space="0" w:color="auto"/>
                          </w:divBdr>
                          <w:divsChild>
                            <w:div w:id="2003502681">
                              <w:marLeft w:val="0"/>
                              <w:marRight w:val="0"/>
                              <w:marTop w:val="0"/>
                              <w:marBottom w:val="0"/>
                              <w:divBdr>
                                <w:top w:val="none" w:sz="0" w:space="0" w:color="auto"/>
                                <w:left w:val="none" w:sz="0" w:space="0" w:color="auto"/>
                                <w:bottom w:val="none" w:sz="0" w:space="0" w:color="auto"/>
                                <w:right w:val="none" w:sz="0" w:space="0" w:color="auto"/>
                              </w:divBdr>
                              <w:divsChild>
                                <w:div w:id="1442454795">
                                  <w:marLeft w:val="0"/>
                                  <w:marRight w:val="0"/>
                                  <w:marTop w:val="0"/>
                                  <w:marBottom w:val="0"/>
                                  <w:divBdr>
                                    <w:top w:val="none" w:sz="0" w:space="0" w:color="auto"/>
                                    <w:left w:val="none" w:sz="0" w:space="0" w:color="auto"/>
                                    <w:bottom w:val="none" w:sz="0" w:space="0" w:color="auto"/>
                                    <w:right w:val="none" w:sz="0" w:space="0" w:color="auto"/>
                                  </w:divBdr>
                                  <w:divsChild>
                                    <w:div w:id="820266655">
                                      <w:marLeft w:val="0"/>
                                      <w:marRight w:val="60"/>
                                      <w:marTop w:val="0"/>
                                      <w:marBottom w:val="0"/>
                                      <w:divBdr>
                                        <w:top w:val="none" w:sz="0" w:space="0" w:color="auto"/>
                                        <w:left w:val="none" w:sz="0" w:space="0" w:color="auto"/>
                                        <w:bottom w:val="none" w:sz="0" w:space="0" w:color="auto"/>
                                        <w:right w:val="none" w:sz="0" w:space="0" w:color="auto"/>
                                      </w:divBdr>
                                      <w:divsChild>
                                        <w:div w:id="564492292">
                                          <w:marLeft w:val="0"/>
                                          <w:marRight w:val="0"/>
                                          <w:marTop w:val="0"/>
                                          <w:marBottom w:val="0"/>
                                          <w:divBdr>
                                            <w:top w:val="none" w:sz="0" w:space="0" w:color="auto"/>
                                            <w:left w:val="none" w:sz="0" w:space="0" w:color="auto"/>
                                            <w:bottom w:val="none" w:sz="0" w:space="0" w:color="auto"/>
                                            <w:right w:val="none" w:sz="0" w:space="0" w:color="auto"/>
                                          </w:divBdr>
                                        </w:div>
                                        <w:div w:id="712386345">
                                          <w:marLeft w:val="0"/>
                                          <w:marRight w:val="0"/>
                                          <w:marTop w:val="0"/>
                                          <w:marBottom w:val="0"/>
                                          <w:divBdr>
                                            <w:top w:val="none" w:sz="0" w:space="0" w:color="auto"/>
                                            <w:left w:val="none" w:sz="0" w:space="0" w:color="auto"/>
                                            <w:bottom w:val="none" w:sz="0" w:space="0" w:color="auto"/>
                                            <w:right w:val="none" w:sz="0" w:space="0" w:color="auto"/>
                                          </w:divBdr>
                                        </w:div>
                                        <w:div w:id="607205387">
                                          <w:marLeft w:val="0"/>
                                          <w:marRight w:val="0"/>
                                          <w:marTop w:val="0"/>
                                          <w:marBottom w:val="0"/>
                                          <w:divBdr>
                                            <w:top w:val="single" w:sz="6" w:space="12" w:color="999999"/>
                                            <w:left w:val="single" w:sz="6" w:space="12" w:color="999999"/>
                                            <w:bottom w:val="single" w:sz="6" w:space="12" w:color="999999"/>
                                            <w:right w:val="single" w:sz="6" w:space="12" w:color="999999"/>
                                          </w:divBdr>
                                          <w:divsChild>
                                            <w:div w:id="1628388497">
                                              <w:marLeft w:val="0"/>
                                              <w:marRight w:val="0"/>
                                              <w:marTop w:val="0"/>
                                              <w:marBottom w:val="0"/>
                                              <w:divBdr>
                                                <w:top w:val="none" w:sz="0" w:space="0" w:color="auto"/>
                                                <w:left w:val="none" w:sz="0" w:space="0" w:color="auto"/>
                                                <w:bottom w:val="none" w:sz="0" w:space="0" w:color="auto"/>
                                                <w:right w:val="none" w:sz="0" w:space="0" w:color="auto"/>
                                              </w:divBdr>
                                            </w:div>
                                          </w:divsChild>
                                        </w:div>
                                        <w:div w:id="923730248">
                                          <w:marLeft w:val="0"/>
                                          <w:marRight w:val="0"/>
                                          <w:marTop w:val="0"/>
                                          <w:marBottom w:val="0"/>
                                          <w:divBdr>
                                            <w:top w:val="none" w:sz="0" w:space="0" w:color="auto"/>
                                            <w:left w:val="none" w:sz="0" w:space="0" w:color="auto"/>
                                            <w:bottom w:val="none" w:sz="0" w:space="0" w:color="auto"/>
                                            <w:right w:val="none" w:sz="0" w:space="0" w:color="auto"/>
                                          </w:divBdr>
                                          <w:divsChild>
                                            <w:div w:id="20895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270405">
                                  <w:marLeft w:val="0"/>
                                  <w:marRight w:val="0"/>
                                  <w:marTop w:val="0"/>
                                  <w:marBottom w:val="0"/>
                                  <w:divBdr>
                                    <w:top w:val="none" w:sz="0" w:space="0" w:color="auto"/>
                                    <w:left w:val="none" w:sz="0" w:space="0" w:color="auto"/>
                                    <w:bottom w:val="none" w:sz="0" w:space="0" w:color="auto"/>
                                    <w:right w:val="none" w:sz="0" w:space="0" w:color="auto"/>
                                  </w:divBdr>
                                  <w:divsChild>
                                    <w:div w:id="1541816849">
                                      <w:marLeft w:val="60"/>
                                      <w:marRight w:val="0"/>
                                      <w:marTop w:val="0"/>
                                      <w:marBottom w:val="0"/>
                                      <w:divBdr>
                                        <w:top w:val="none" w:sz="0" w:space="0" w:color="auto"/>
                                        <w:left w:val="none" w:sz="0" w:space="0" w:color="auto"/>
                                        <w:bottom w:val="none" w:sz="0" w:space="0" w:color="auto"/>
                                        <w:right w:val="none" w:sz="0" w:space="0" w:color="auto"/>
                                      </w:divBdr>
                                      <w:divsChild>
                                        <w:div w:id="2039771003">
                                          <w:marLeft w:val="0"/>
                                          <w:marRight w:val="0"/>
                                          <w:marTop w:val="0"/>
                                          <w:marBottom w:val="0"/>
                                          <w:divBdr>
                                            <w:top w:val="none" w:sz="0" w:space="0" w:color="auto"/>
                                            <w:left w:val="none" w:sz="0" w:space="0" w:color="auto"/>
                                            <w:bottom w:val="none" w:sz="0" w:space="0" w:color="auto"/>
                                            <w:right w:val="none" w:sz="0" w:space="0" w:color="auto"/>
                                          </w:divBdr>
                                          <w:divsChild>
                                            <w:div w:id="1990749582">
                                              <w:marLeft w:val="0"/>
                                              <w:marRight w:val="0"/>
                                              <w:marTop w:val="0"/>
                                              <w:marBottom w:val="120"/>
                                              <w:divBdr>
                                                <w:top w:val="single" w:sz="6" w:space="0" w:color="F5F5F5"/>
                                                <w:left w:val="single" w:sz="6" w:space="0" w:color="F5F5F5"/>
                                                <w:bottom w:val="single" w:sz="6" w:space="0" w:color="F5F5F5"/>
                                                <w:right w:val="single" w:sz="6" w:space="0" w:color="F5F5F5"/>
                                              </w:divBdr>
                                              <w:divsChild>
                                                <w:div w:id="1991323457">
                                                  <w:marLeft w:val="0"/>
                                                  <w:marRight w:val="0"/>
                                                  <w:marTop w:val="0"/>
                                                  <w:marBottom w:val="0"/>
                                                  <w:divBdr>
                                                    <w:top w:val="none" w:sz="0" w:space="0" w:color="auto"/>
                                                    <w:left w:val="none" w:sz="0" w:space="0" w:color="auto"/>
                                                    <w:bottom w:val="none" w:sz="0" w:space="0" w:color="auto"/>
                                                    <w:right w:val="none" w:sz="0" w:space="0" w:color="auto"/>
                                                  </w:divBdr>
                                                  <w:divsChild>
                                                    <w:div w:id="1174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612827">
      <w:bodyDiv w:val="1"/>
      <w:marLeft w:val="0"/>
      <w:marRight w:val="0"/>
      <w:marTop w:val="0"/>
      <w:marBottom w:val="0"/>
      <w:divBdr>
        <w:top w:val="none" w:sz="0" w:space="0" w:color="auto"/>
        <w:left w:val="none" w:sz="0" w:space="0" w:color="auto"/>
        <w:bottom w:val="none" w:sz="0" w:space="0" w:color="auto"/>
        <w:right w:val="none" w:sz="0" w:space="0" w:color="auto"/>
      </w:divBdr>
    </w:div>
    <w:div w:id="1213616512">
      <w:bodyDiv w:val="1"/>
      <w:marLeft w:val="0"/>
      <w:marRight w:val="0"/>
      <w:marTop w:val="0"/>
      <w:marBottom w:val="0"/>
      <w:divBdr>
        <w:top w:val="none" w:sz="0" w:space="0" w:color="auto"/>
        <w:left w:val="none" w:sz="0" w:space="0" w:color="auto"/>
        <w:bottom w:val="none" w:sz="0" w:space="0" w:color="auto"/>
        <w:right w:val="none" w:sz="0" w:space="0" w:color="auto"/>
      </w:divBdr>
    </w:div>
    <w:div w:id="1437015612">
      <w:bodyDiv w:val="1"/>
      <w:marLeft w:val="0"/>
      <w:marRight w:val="0"/>
      <w:marTop w:val="0"/>
      <w:marBottom w:val="0"/>
      <w:divBdr>
        <w:top w:val="none" w:sz="0" w:space="0" w:color="auto"/>
        <w:left w:val="none" w:sz="0" w:space="0" w:color="auto"/>
        <w:bottom w:val="none" w:sz="0" w:space="0" w:color="auto"/>
        <w:right w:val="none" w:sz="0" w:space="0" w:color="auto"/>
      </w:divBdr>
      <w:divsChild>
        <w:div w:id="1880505027">
          <w:marLeft w:val="0"/>
          <w:marRight w:val="0"/>
          <w:marTop w:val="0"/>
          <w:marBottom w:val="0"/>
          <w:divBdr>
            <w:top w:val="none" w:sz="0" w:space="0" w:color="auto"/>
            <w:left w:val="none" w:sz="0" w:space="0" w:color="auto"/>
            <w:bottom w:val="none" w:sz="0" w:space="0" w:color="auto"/>
            <w:right w:val="none" w:sz="0" w:space="0" w:color="auto"/>
          </w:divBdr>
          <w:divsChild>
            <w:div w:id="1287540224">
              <w:marLeft w:val="0"/>
              <w:marRight w:val="0"/>
              <w:marTop w:val="0"/>
              <w:marBottom w:val="0"/>
              <w:divBdr>
                <w:top w:val="none" w:sz="0" w:space="0" w:color="auto"/>
                <w:left w:val="none" w:sz="0" w:space="0" w:color="auto"/>
                <w:bottom w:val="none" w:sz="0" w:space="0" w:color="auto"/>
                <w:right w:val="none" w:sz="0" w:space="0" w:color="auto"/>
              </w:divBdr>
              <w:divsChild>
                <w:div w:id="378940828">
                  <w:marLeft w:val="0"/>
                  <w:marRight w:val="0"/>
                  <w:marTop w:val="0"/>
                  <w:marBottom w:val="0"/>
                  <w:divBdr>
                    <w:top w:val="none" w:sz="0" w:space="0" w:color="auto"/>
                    <w:left w:val="none" w:sz="0" w:space="0" w:color="auto"/>
                    <w:bottom w:val="none" w:sz="0" w:space="0" w:color="auto"/>
                    <w:right w:val="none" w:sz="0" w:space="0" w:color="auto"/>
                  </w:divBdr>
                  <w:divsChild>
                    <w:div w:id="1142045550">
                      <w:marLeft w:val="0"/>
                      <w:marRight w:val="0"/>
                      <w:marTop w:val="0"/>
                      <w:marBottom w:val="0"/>
                      <w:divBdr>
                        <w:top w:val="none" w:sz="0" w:space="0" w:color="auto"/>
                        <w:left w:val="none" w:sz="0" w:space="0" w:color="auto"/>
                        <w:bottom w:val="none" w:sz="0" w:space="0" w:color="auto"/>
                        <w:right w:val="none" w:sz="0" w:space="0" w:color="auto"/>
                      </w:divBdr>
                      <w:divsChild>
                        <w:div w:id="2057122351">
                          <w:marLeft w:val="0"/>
                          <w:marRight w:val="0"/>
                          <w:marTop w:val="0"/>
                          <w:marBottom w:val="0"/>
                          <w:divBdr>
                            <w:top w:val="none" w:sz="0" w:space="0" w:color="auto"/>
                            <w:left w:val="none" w:sz="0" w:space="0" w:color="auto"/>
                            <w:bottom w:val="none" w:sz="0" w:space="0" w:color="auto"/>
                            <w:right w:val="none" w:sz="0" w:space="0" w:color="auto"/>
                          </w:divBdr>
                          <w:divsChild>
                            <w:div w:id="432868766">
                              <w:marLeft w:val="0"/>
                              <w:marRight w:val="0"/>
                              <w:marTop w:val="0"/>
                              <w:marBottom w:val="0"/>
                              <w:divBdr>
                                <w:top w:val="none" w:sz="0" w:space="0" w:color="auto"/>
                                <w:left w:val="none" w:sz="0" w:space="0" w:color="auto"/>
                                <w:bottom w:val="none" w:sz="0" w:space="0" w:color="auto"/>
                                <w:right w:val="none" w:sz="0" w:space="0" w:color="auto"/>
                              </w:divBdr>
                              <w:divsChild>
                                <w:div w:id="2115976758">
                                  <w:marLeft w:val="0"/>
                                  <w:marRight w:val="0"/>
                                  <w:marTop w:val="0"/>
                                  <w:marBottom w:val="0"/>
                                  <w:divBdr>
                                    <w:top w:val="none" w:sz="0" w:space="0" w:color="auto"/>
                                    <w:left w:val="none" w:sz="0" w:space="0" w:color="auto"/>
                                    <w:bottom w:val="none" w:sz="0" w:space="0" w:color="auto"/>
                                    <w:right w:val="none" w:sz="0" w:space="0" w:color="auto"/>
                                  </w:divBdr>
                                  <w:divsChild>
                                    <w:div w:id="2094813309">
                                      <w:marLeft w:val="0"/>
                                      <w:marRight w:val="60"/>
                                      <w:marTop w:val="0"/>
                                      <w:marBottom w:val="0"/>
                                      <w:divBdr>
                                        <w:top w:val="none" w:sz="0" w:space="0" w:color="auto"/>
                                        <w:left w:val="none" w:sz="0" w:space="0" w:color="auto"/>
                                        <w:bottom w:val="none" w:sz="0" w:space="0" w:color="auto"/>
                                        <w:right w:val="none" w:sz="0" w:space="0" w:color="auto"/>
                                      </w:divBdr>
                                      <w:divsChild>
                                        <w:div w:id="178734826">
                                          <w:marLeft w:val="0"/>
                                          <w:marRight w:val="0"/>
                                          <w:marTop w:val="0"/>
                                          <w:marBottom w:val="0"/>
                                          <w:divBdr>
                                            <w:top w:val="none" w:sz="0" w:space="0" w:color="auto"/>
                                            <w:left w:val="none" w:sz="0" w:space="0" w:color="auto"/>
                                            <w:bottom w:val="none" w:sz="0" w:space="0" w:color="auto"/>
                                            <w:right w:val="none" w:sz="0" w:space="0" w:color="auto"/>
                                          </w:divBdr>
                                        </w:div>
                                        <w:div w:id="297881688">
                                          <w:marLeft w:val="0"/>
                                          <w:marRight w:val="0"/>
                                          <w:marTop w:val="0"/>
                                          <w:marBottom w:val="0"/>
                                          <w:divBdr>
                                            <w:top w:val="none" w:sz="0" w:space="0" w:color="auto"/>
                                            <w:left w:val="none" w:sz="0" w:space="0" w:color="auto"/>
                                            <w:bottom w:val="none" w:sz="0" w:space="0" w:color="auto"/>
                                            <w:right w:val="none" w:sz="0" w:space="0" w:color="auto"/>
                                          </w:divBdr>
                                        </w:div>
                                        <w:div w:id="1428041700">
                                          <w:marLeft w:val="0"/>
                                          <w:marRight w:val="0"/>
                                          <w:marTop w:val="0"/>
                                          <w:marBottom w:val="0"/>
                                          <w:divBdr>
                                            <w:top w:val="single" w:sz="6" w:space="12" w:color="999999"/>
                                            <w:left w:val="single" w:sz="6" w:space="12" w:color="999999"/>
                                            <w:bottom w:val="single" w:sz="6" w:space="12" w:color="999999"/>
                                            <w:right w:val="single" w:sz="6" w:space="12" w:color="999999"/>
                                          </w:divBdr>
                                          <w:divsChild>
                                            <w:div w:id="1524511943">
                                              <w:marLeft w:val="0"/>
                                              <w:marRight w:val="0"/>
                                              <w:marTop w:val="0"/>
                                              <w:marBottom w:val="0"/>
                                              <w:divBdr>
                                                <w:top w:val="none" w:sz="0" w:space="0" w:color="auto"/>
                                                <w:left w:val="none" w:sz="0" w:space="0" w:color="auto"/>
                                                <w:bottom w:val="none" w:sz="0" w:space="0" w:color="auto"/>
                                                <w:right w:val="none" w:sz="0" w:space="0" w:color="auto"/>
                                              </w:divBdr>
                                            </w:div>
                                          </w:divsChild>
                                        </w:div>
                                        <w:div w:id="111753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31664">
                                  <w:marLeft w:val="0"/>
                                  <w:marRight w:val="0"/>
                                  <w:marTop w:val="0"/>
                                  <w:marBottom w:val="0"/>
                                  <w:divBdr>
                                    <w:top w:val="none" w:sz="0" w:space="0" w:color="auto"/>
                                    <w:left w:val="none" w:sz="0" w:space="0" w:color="auto"/>
                                    <w:bottom w:val="none" w:sz="0" w:space="0" w:color="auto"/>
                                    <w:right w:val="none" w:sz="0" w:space="0" w:color="auto"/>
                                  </w:divBdr>
                                  <w:divsChild>
                                    <w:div w:id="1595821893">
                                      <w:marLeft w:val="60"/>
                                      <w:marRight w:val="0"/>
                                      <w:marTop w:val="0"/>
                                      <w:marBottom w:val="0"/>
                                      <w:divBdr>
                                        <w:top w:val="none" w:sz="0" w:space="0" w:color="auto"/>
                                        <w:left w:val="none" w:sz="0" w:space="0" w:color="auto"/>
                                        <w:bottom w:val="none" w:sz="0" w:space="0" w:color="auto"/>
                                        <w:right w:val="none" w:sz="0" w:space="0" w:color="auto"/>
                                      </w:divBdr>
                                      <w:divsChild>
                                        <w:div w:id="1259830510">
                                          <w:marLeft w:val="0"/>
                                          <w:marRight w:val="0"/>
                                          <w:marTop w:val="0"/>
                                          <w:marBottom w:val="0"/>
                                          <w:divBdr>
                                            <w:top w:val="none" w:sz="0" w:space="0" w:color="auto"/>
                                            <w:left w:val="none" w:sz="0" w:space="0" w:color="auto"/>
                                            <w:bottom w:val="none" w:sz="0" w:space="0" w:color="auto"/>
                                            <w:right w:val="none" w:sz="0" w:space="0" w:color="auto"/>
                                          </w:divBdr>
                                          <w:divsChild>
                                            <w:div w:id="2077051564">
                                              <w:marLeft w:val="0"/>
                                              <w:marRight w:val="0"/>
                                              <w:marTop w:val="0"/>
                                              <w:marBottom w:val="120"/>
                                              <w:divBdr>
                                                <w:top w:val="single" w:sz="6" w:space="0" w:color="F5F5F5"/>
                                                <w:left w:val="single" w:sz="6" w:space="0" w:color="F5F5F5"/>
                                                <w:bottom w:val="single" w:sz="6" w:space="0" w:color="F5F5F5"/>
                                                <w:right w:val="single" w:sz="6" w:space="0" w:color="F5F5F5"/>
                                              </w:divBdr>
                                              <w:divsChild>
                                                <w:div w:id="853345734">
                                                  <w:marLeft w:val="0"/>
                                                  <w:marRight w:val="0"/>
                                                  <w:marTop w:val="0"/>
                                                  <w:marBottom w:val="0"/>
                                                  <w:divBdr>
                                                    <w:top w:val="none" w:sz="0" w:space="0" w:color="auto"/>
                                                    <w:left w:val="none" w:sz="0" w:space="0" w:color="auto"/>
                                                    <w:bottom w:val="none" w:sz="0" w:space="0" w:color="auto"/>
                                                    <w:right w:val="none" w:sz="0" w:space="0" w:color="auto"/>
                                                  </w:divBdr>
                                                  <w:divsChild>
                                                    <w:div w:id="110789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5277594">
      <w:bodyDiv w:val="1"/>
      <w:marLeft w:val="0"/>
      <w:marRight w:val="0"/>
      <w:marTop w:val="0"/>
      <w:marBottom w:val="0"/>
      <w:divBdr>
        <w:top w:val="none" w:sz="0" w:space="0" w:color="auto"/>
        <w:left w:val="none" w:sz="0" w:space="0" w:color="auto"/>
        <w:bottom w:val="none" w:sz="0" w:space="0" w:color="auto"/>
        <w:right w:val="none" w:sz="0" w:space="0" w:color="auto"/>
      </w:divBdr>
      <w:divsChild>
        <w:div w:id="1009452312">
          <w:marLeft w:val="0"/>
          <w:marRight w:val="0"/>
          <w:marTop w:val="0"/>
          <w:marBottom w:val="0"/>
          <w:divBdr>
            <w:top w:val="none" w:sz="0" w:space="0" w:color="auto"/>
            <w:left w:val="none" w:sz="0" w:space="0" w:color="auto"/>
            <w:bottom w:val="none" w:sz="0" w:space="0" w:color="auto"/>
            <w:right w:val="none" w:sz="0" w:space="0" w:color="auto"/>
          </w:divBdr>
          <w:divsChild>
            <w:div w:id="366806475">
              <w:marLeft w:val="0"/>
              <w:marRight w:val="0"/>
              <w:marTop w:val="0"/>
              <w:marBottom w:val="0"/>
              <w:divBdr>
                <w:top w:val="none" w:sz="0" w:space="0" w:color="auto"/>
                <w:left w:val="none" w:sz="0" w:space="0" w:color="auto"/>
                <w:bottom w:val="none" w:sz="0" w:space="0" w:color="auto"/>
                <w:right w:val="none" w:sz="0" w:space="0" w:color="auto"/>
              </w:divBdr>
              <w:divsChild>
                <w:div w:id="432632083">
                  <w:marLeft w:val="0"/>
                  <w:marRight w:val="0"/>
                  <w:marTop w:val="0"/>
                  <w:marBottom w:val="0"/>
                  <w:divBdr>
                    <w:top w:val="none" w:sz="0" w:space="0" w:color="auto"/>
                    <w:left w:val="none" w:sz="0" w:space="0" w:color="auto"/>
                    <w:bottom w:val="none" w:sz="0" w:space="0" w:color="auto"/>
                    <w:right w:val="none" w:sz="0" w:space="0" w:color="auto"/>
                  </w:divBdr>
                  <w:divsChild>
                    <w:div w:id="1556352992">
                      <w:marLeft w:val="0"/>
                      <w:marRight w:val="0"/>
                      <w:marTop w:val="0"/>
                      <w:marBottom w:val="0"/>
                      <w:divBdr>
                        <w:top w:val="none" w:sz="0" w:space="0" w:color="auto"/>
                        <w:left w:val="none" w:sz="0" w:space="0" w:color="auto"/>
                        <w:bottom w:val="none" w:sz="0" w:space="0" w:color="auto"/>
                        <w:right w:val="none" w:sz="0" w:space="0" w:color="auto"/>
                      </w:divBdr>
                      <w:divsChild>
                        <w:div w:id="766540514">
                          <w:marLeft w:val="0"/>
                          <w:marRight w:val="0"/>
                          <w:marTop w:val="0"/>
                          <w:marBottom w:val="0"/>
                          <w:divBdr>
                            <w:top w:val="none" w:sz="0" w:space="0" w:color="auto"/>
                            <w:left w:val="none" w:sz="0" w:space="0" w:color="auto"/>
                            <w:bottom w:val="none" w:sz="0" w:space="0" w:color="auto"/>
                            <w:right w:val="none" w:sz="0" w:space="0" w:color="auto"/>
                          </w:divBdr>
                          <w:divsChild>
                            <w:div w:id="2105375063">
                              <w:marLeft w:val="0"/>
                              <w:marRight w:val="0"/>
                              <w:marTop w:val="0"/>
                              <w:marBottom w:val="0"/>
                              <w:divBdr>
                                <w:top w:val="none" w:sz="0" w:space="0" w:color="auto"/>
                                <w:left w:val="none" w:sz="0" w:space="0" w:color="auto"/>
                                <w:bottom w:val="none" w:sz="0" w:space="0" w:color="auto"/>
                                <w:right w:val="none" w:sz="0" w:space="0" w:color="auto"/>
                              </w:divBdr>
                              <w:divsChild>
                                <w:div w:id="1411076622">
                                  <w:marLeft w:val="0"/>
                                  <w:marRight w:val="0"/>
                                  <w:marTop w:val="0"/>
                                  <w:marBottom w:val="0"/>
                                  <w:divBdr>
                                    <w:top w:val="none" w:sz="0" w:space="0" w:color="auto"/>
                                    <w:left w:val="none" w:sz="0" w:space="0" w:color="auto"/>
                                    <w:bottom w:val="none" w:sz="0" w:space="0" w:color="auto"/>
                                    <w:right w:val="none" w:sz="0" w:space="0" w:color="auto"/>
                                  </w:divBdr>
                                  <w:divsChild>
                                    <w:div w:id="163714815">
                                      <w:marLeft w:val="0"/>
                                      <w:marRight w:val="60"/>
                                      <w:marTop w:val="0"/>
                                      <w:marBottom w:val="0"/>
                                      <w:divBdr>
                                        <w:top w:val="none" w:sz="0" w:space="0" w:color="auto"/>
                                        <w:left w:val="none" w:sz="0" w:space="0" w:color="auto"/>
                                        <w:bottom w:val="none" w:sz="0" w:space="0" w:color="auto"/>
                                        <w:right w:val="none" w:sz="0" w:space="0" w:color="auto"/>
                                      </w:divBdr>
                                      <w:divsChild>
                                        <w:div w:id="2061123525">
                                          <w:marLeft w:val="0"/>
                                          <w:marRight w:val="0"/>
                                          <w:marTop w:val="0"/>
                                          <w:marBottom w:val="0"/>
                                          <w:divBdr>
                                            <w:top w:val="none" w:sz="0" w:space="0" w:color="auto"/>
                                            <w:left w:val="none" w:sz="0" w:space="0" w:color="auto"/>
                                            <w:bottom w:val="none" w:sz="0" w:space="0" w:color="auto"/>
                                            <w:right w:val="none" w:sz="0" w:space="0" w:color="auto"/>
                                          </w:divBdr>
                                        </w:div>
                                        <w:div w:id="1374842687">
                                          <w:marLeft w:val="0"/>
                                          <w:marRight w:val="0"/>
                                          <w:marTop w:val="0"/>
                                          <w:marBottom w:val="0"/>
                                          <w:divBdr>
                                            <w:top w:val="none" w:sz="0" w:space="0" w:color="auto"/>
                                            <w:left w:val="none" w:sz="0" w:space="0" w:color="auto"/>
                                            <w:bottom w:val="none" w:sz="0" w:space="0" w:color="auto"/>
                                            <w:right w:val="none" w:sz="0" w:space="0" w:color="auto"/>
                                          </w:divBdr>
                                        </w:div>
                                        <w:div w:id="1077827270">
                                          <w:marLeft w:val="0"/>
                                          <w:marRight w:val="0"/>
                                          <w:marTop w:val="0"/>
                                          <w:marBottom w:val="0"/>
                                          <w:divBdr>
                                            <w:top w:val="single" w:sz="6" w:space="12" w:color="999999"/>
                                            <w:left w:val="single" w:sz="6" w:space="12" w:color="999999"/>
                                            <w:bottom w:val="single" w:sz="6" w:space="12" w:color="999999"/>
                                            <w:right w:val="single" w:sz="6" w:space="12" w:color="999999"/>
                                          </w:divBdr>
                                          <w:divsChild>
                                            <w:div w:id="1697921313">
                                              <w:marLeft w:val="0"/>
                                              <w:marRight w:val="0"/>
                                              <w:marTop w:val="0"/>
                                              <w:marBottom w:val="0"/>
                                              <w:divBdr>
                                                <w:top w:val="none" w:sz="0" w:space="0" w:color="auto"/>
                                                <w:left w:val="none" w:sz="0" w:space="0" w:color="auto"/>
                                                <w:bottom w:val="none" w:sz="0" w:space="0" w:color="auto"/>
                                                <w:right w:val="none" w:sz="0" w:space="0" w:color="auto"/>
                                              </w:divBdr>
                                            </w:div>
                                          </w:divsChild>
                                        </w:div>
                                        <w:div w:id="218440223">
                                          <w:marLeft w:val="0"/>
                                          <w:marRight w:val="0"/>
                                          <w:marTop w:val="0"/>
                                          <w:marBottom w:val="0"/>
                                          <w:divBdr>
                                            <w:top w:val="none" w:sz="0" w:space="0" w:color="auto"/>
                                            <w:left w:val="none" w:sz="0" w:space="0" w:color="auto"/>
                                            <w:bottom w:val="none" w:sz="0" w:space="0" w:color="auto"/>
                                            <w:right w:val="none" w:sz="0" w:space="0" w:color="auto"/>
                                          </w:divBdr>
                                          <w:divsChild>
                                            <w:div w:id="39382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178829">
                                  <w:marLeft w:val="0"/>
                                  <w:marRight w:val="0"/>
                                  <w:marTop w:val="0"/>
                                  <w:marBottom w:val="0"/>
                                  <w:divBdr>
                                    <w:top w:val="none" w:sz="0" w:space="0" w:color="auto"/>
                                    <w:left w:val="none" w:sz="0" w:space="0" w:color="auto"/>
                                    <w:bottom w:val="none" w:sz="0" w:space="0" w:color="auto"/>
                                    <w:right w:val="none" w:sz="0" w:space="0" w:color="auto"/>
                                  </w:divBdr>
                                  <w:divsChild>
                                    <w:div w:id="34088637">
                                      <w:marLeft w:val="60"/>
                                      <w:marRight w:val="0"/>
                                      <w:marTop w:val="0"/>
                                      <w:marBottom w:val="0"/>
                                      <w:divBdr>
                                        <w:top w:val="none" w:sz="0" w:space="0" w:color="auto"/>
                                        <w:left w:val="none" w:sz="0" w:space="0" w:color="auto"/>
                                        <w:bottom w:val="none" w:sz="0" w:space="0" w:color="auto"/>
                                        <w:right w:val="none" w:sz="0" w:space="0" w:color="auto"/>
                                      </w:divBdr>
                                      <w:divsChild>
                                        <w:div w:id="1203254326">
                                          <w:marLeft w:val="0"/>
                                          <w:marRight w:val="0"/>
                                          <w:marTop w:val="0"/>
                                          <w:marBottom w:val="0"/>
                                          <w:divBdr>
                                            <w:top w:val="none" w:sz="0" w:space="0" w:color="auto"/>
                                            <w:left w:val="none" w:sz="0" w:space="0" w:color="auto"/>
                                            <w:bottom w:val="none" w:sz="0" w:space="0" w:color="auto"/>
                                            <w:right w:val="none" w:sz="0" w:space="0" w:color="auto"/>
                                          </w:divBdr>
                                          <w:divsChild>
                                            <w:div w:id="1070343122">
                                              <w:marLeft w:val="0"/>
                                              <w:marRight w:val="0"/>
                                              <w:marTop w:val="0"/>
                                              <w:marBottom w:val="120"/>
                                              <w:divBdr>
                                                <w:top w:val="single" w:sz="6" w:space="0" w:color="F5F5F5"/>
                                                <w:left w:val="single" w:sz="6" w:space="0" w:color="F5F5F5"/>
                                                <w:bottom w:val="single" w:sz="6" w:space="0" w:color="F5F5F5"/>
                                                <w:right w:val="single" w:sz="6" w:space="0" w:color="F5F5F5"/>
                                              </w:divBdr>
                                              <w:divsChild>
                                                <w:div w:id="153648465">
                                                  <w:marLeft w:val="0"/>
                                                  <w:marRight w:val="0"/>
                                                  <w:marTop w:val="0"/>
                                                  <w:marBottom w:val="0"/>
                                                  <w:divBdr>
                                                    <w:top w:val="none" w:sz="0" w:space="0" w:color="auto"/>
                                                    <w:left w:val="none" w:sz="0" w:space="0" w:color="auto"/>
                                                    <w:bottom w:val="none" w:sz="0" w:space="0" w:color="auto"/>
                                                    <w:right w:val="none" w:sz="0" w:space="0" w:color="auto"/>
                                                  </w:divBdr>
                                                  <w:divsChild>
                                                    <w:div w:id="203491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urnoga@efzg.hr" TargetMode="External"/><Relationship Id="rId13" Type="http://schemas.openxmlformats.org/officeDocument/2006/relationships/chart" Target="charts/chart2.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urostat/web/employment-and-social-policy/statistics-illustrated" TargetMode="Externa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yperlink" Target="http://ec.europa.eu/eurostat/statistics-explained/index.php/Glossary:Eurosta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mcizmesija@efzg.hr" TargetMode="External"/><Relationship Id="rId14" Type="http://schemas.openxmlformats.org/officeDocument/2006/relationships/chart" Target="charts/chart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kurnoga\Documents\RAD\2016%20projekt\FB%20za%203%20vars%20novog%20CS%20indikatora%20i%20postoje&#263;i%20CS%20indikato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nkurnoga\Documents\RAD\2016%20projekt\usporedba%20novog%20CS%20indikatora%20i%20EUSILC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nkurnoga\Documents\RAD\2016%20projekt\usporedba%20novog%20CS%20indikatora%20i%20EUSILC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nkurnoga\Documents\RAD\2016%20projekt\usporedba%20novog%20CS%20indikatora%20i%20EUSILC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nkurnoga\Documents\RAD\2016%20projekt\usporedba%20novog%20CS%20indikatora%20i%20EUSILC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cat>
            <c:numRef>
              <c:f>'novi CS indikator tj. FB'!$A$2:$A$133</c:f>
              <c:numCache>
                <c:formatCode>mmm\-yy</c:formatCode>
                <c:ptCount val="132"/>
                <c:pt idx="0">
                  <c:v>38533</c:v>
                </c:pt>
                <c:pt idx="1">
                  <c:v>38564</c:v>
                </c:pt>
                <c:pt idx="2">
                  <c:v>38595</c:v>
                </c:pt>
                <c:pt idx="3">
                  <c:v>38625</c:v>
                </c:pt>
                <c:pt idx="4">
                  <c:v>38656</c:v>
                </c:pt>
                <c:pt idx="5">
                  <c:v>38686</c:v>
                </c:pt>
                <c:pt idx="6">
                  <c:v>38717</c:v>
                </c:pt>
                <c:pt idx="7">
                  <c:v>38748</c:v>
                </c:pt>
                <c:pt idx="8">
                  <c:v>38776</c:v>
                </c:pt>
                <c:pt idx="9">
                  <c:v>38807</c:v>
                </c:pt>
                <c:pt idx="10">
                  <c:v>38837</c:v>
                </c:pt>
                <c:pt idx="11">
                  <c:v>38868</c:v>
                </c:pt>
                <c:pt idx="12">
                  <c:v>38898</c:v>
                </c:pt>
                <c:pt idx="13">
                  <c:v>38929</c:v>
                </c:pt>
                <c:pt idx="14">
                  <c:v>38960</c:v>
                </c:pt>
                <c:pt idx="15">
                  <c:v>38990</c:v>
                </c:pt>
                <c:pt idx="16">
                  <c:v>39021</c:v>
                </c:pt>
                <c:pt idx="17">
                  <c:v>39051</c:v>
                </c:pt>
                <c:pt idx="18">
                  <c:v>39082</c:v>
                </c:pt>
                <c:pt idx="19">
                  <c:v>39113</c:v>
                </c:pt>
                <c:pt idx="20">
                  <c:v>39141</c:v>
                </c:pt>
                <c:pt idx="21">
                  <c:v>39172</c:v>
                </c:pt>
                <c:pt idx="22">
                  <c:v>39202</c:v>
                </c:pt>
                <c:pt idx="23">
                  <c:v>39233</c:v>
                </c:pt>
                <c:pt idx="24">
                  <c:v>39263</c:v>
                </c:pt>
                <c:pt idx="25">
                  <c:v>39294</c:v>
                </c:pt>
                <c:pt idx="26">
                  <c:v>39325</c:v>
                </c:pt>
                <c:pt idx="27">
                  <c:v>39355</c:v>
                </c:pt>
                <c:pt idx="28">
                  <c:v>39386</c:v>
                </c:pt>
                <c:pt idx="29">
                  <c:v>39416</c:v>
                </c:pt>
                <c:pt idx="30">
                  <c:v>39447</c:v>
                </c:pt>
                <c:pt idx="31">
                  <c:v>39478</c:v>
                </c:pt>
                <c:pt idx="32">
                  <c:v>39507</c:v>
                </c:pt>
                <c:pt idx="33">
                  <c:v>39538</c:v>
                </c:pt>
                <c:pt idx="34">
                  <c:v>39568</c:v>
                </c:pt>
                <c:pt idx="35">
                  <c:v>39599</c:v>
                </c:pt>
                <c:pt idx="36">
                  <c:v>39629</c:v>
                </c:pt>
                <c:pt idx="37">
                  <c:v>39660</c:v>
                </c:pt>
                <c:pt idx="38">
                  <c:v>39691</c:v>
                </c:pt>
                <c:pt idx="39">
                  <c:v>39721</c:v>
                </c:pt>
                <c:pt idx="40">
                  <c:v>39752</c:v>
                </c:pt>
                <c:pt idx="41">
                  <c:v>39782</c:v>
                </c:pt>
                <c:pt idx="42">
                  <c:v>39813</c:v>
                </c:pt>
                <c:pt idx="43">
                  <c:v>39844</c:v>
                </c:pt>
                <c:pt idx="44">
                  <c:v>39872</c:v>
                </c:pt>
                <c:pt idx="45">
                  <c:v>39903</c:v>
                </c:pt>
                <c:pt idx="46">
                  <c:v>39933</c:v>
                </c:pt>
                <c:pt idx="47">
                  <c:v>39964</c:v>
                </c:pt>
                <c:pt idx="48">
                  <c:v>39994</c:v>
                </c:pt>
                <c:pt idx="49">
                  <c:v>40025</c:v>
                </c:pt>
                <c:pt idx="50">
                  <c:v>40056</c:v>
                </c:pt>
                <c:pt idx="51">
                  <c:v>40086</c:v>
                </c:pt>
                <c:pt idx="52">
                  <c:v>40117</c:v>
                </c:pt>
                <c:pt idx="53">
                  <c:v>40147</c:v>
                </c:pt>
                <c:pt idx="54">
                  <c:v>40178</c:v>
                </c:pt>
                <c:pt idx="55">
                  <c:v>40209</c:v>
                </c:pt>
                <c:pt idx="56">
                  <c:v>40237</c:v>
                </c:pt>
                <c:pt idx="57">
                  <c:v>40268</c:v>
                </c:pt>
                <c:pt idx="58">
                  <c:v>40298</c:v>
                </c:pt>
                <c:pt idx="59">
                  <c:v>40329</c:v>
                </c:pt>
                <c:pt idx="60">
                  <c:v>40359</c:v>
                </c:pt>
                <c:pt idx="61">
                  <c:v>40390</c:v>
                </c:pt>
                <c:pt idx="62">
                  <c:v>40421</c:v>
                </c:pt>
                <c:pt idx="63">
                  <c:v>40451</c:v>
                </c:pt>
                <c:pt idx="64">
                  <c:v>40482</c:v>
                </c:pt>
                <c:pt idx="65">
                  <c:v>40512</c:v>
                </c:pt>
                <c:pt idx="66">
                  <c:v>40543</c:v>
                </c:pt>
                <c:pt idx="67">
                  <c:v>40574</c:v>
                </c:pt>
                <c:pt idx="68">
                  <c:v>40602</c:v>
                </c:pt>
                <c:pt idx="69">
                  <c:v>40633</c:v>
                </c:pt>
                <c:pt idx="70">
                  <c:v>40663</c:v>
                </c:pt>
                <c:pt idx="71">
                  <c:v>40694</c:v>
                </c:pt>
                <c:pt idx="72">
                  <c:v>40724</c:v>
                </c:pt>
                <c:pt idx="73">
                  <c:v>40755</c:v>
                </c:pt>
                <c:pt idx="74">
                  <c:v>40786</c:v>
                </c:pt>
                <c:pt idx="75">
                  <c:v>40816</c:v>
                </c:pt>
                <c:pt idx="76">
                  <c:v>40847</c:v>
                </c:pt>
                <c:pt idx="77">
                  <c:v>40877</c:v>
                </c:pt>
                <c:pt idx="78">
                  <c:v>40908</c:v>
                </c:pt>
                <c:pt idx="79">
                  <c:v>40939</c:v>
                </c:pt>
                <c:pt idx="80">
                  <c:v>40968</c:v>
                </c:pt>
                <c:pt idx="81">
                  <c:v>40999</c:v>
                </c:pt>
                <c:pt idx="82">
                  <c:v>41029</c:v>
                </c:pt>
                <c:pt idx="83">
                  <c:v>41060</c:v>
                </c:pt>
                <c:pt idx="84">
                  <c:v>41090</c:v>
                </c:pt>
                <c:pt idx="85">
                  <c:v>41121</c:v>
                </c:pt>
                <c:pt idx="86">
                  <c:v>41152</c:v>
                </c:pt>
                <c:pt idx="87">
                  <c:v>41182</c:v>
                </c:pt>
                <c:pt idx="88">
                  <c:v>41213</c:v>
                </c:pt>
                <c:pt idx="89">
                  <c:v>41243</c:v>
                </c:pt>
                <c:pt idx="90">
                  <c:v>41274</c:v>
                </c:pt>
                <c:pt idx="91">
                  <c:v>41305</c:v>
                </c:pt>
                <c:pt idx="92">
                  <c:v>41333</c:v>
                </c:pt>
                <c:pt idx="93">
                  <c:v>41364</c:v>
                </c:pt>
                <c:pt idx="94">
                  <c:v>41394</c:v>
                </c:pt>
                <c:pt idx="95">
                  <c:v>41425</c:v>
                </c:pt>
                <c:pt idx="96">
                  <c:v>41455</c:v>
                </c:pt>
                <c:pt idx="97">
                  <c:v>41486</c:v>
                </c:pt>
                <c:pt idx="98">
                  <c:v>41517</c:v>
                </c:pt>
                <c:pt idx="99">
                  <c:v>41547</c:v>
                </c:pt>
                <c:pt idx="100">
                  <c:v>41578</c:v>
                </c:pt>
                <c:pt idx="101">
                  <c:v>41608</c:v>
                </c:pt>
                <c:pt idx="102">
                  <c:v>41639</c:v>
                </c:pt>
                <c:pt idx="103">
                  <c:v>41670</c:v>
                </c:pt>
                <c:pt idx="104">
                  <c:v>41698</c:v>
                </c:pt>
                <c:pt idx="105">
                  <c:v>41729</c:v>
                </c:pt>
                <c:pt idx="106">
                  <c:v>41759</c:v>
                </c:pt>
                <c:pt idx="107">
                  <c:v>41790</c:v>
                </c:pt>
                <c:pt idx="108">
                  <c:v>41820</c:v>
                </c:pt>
                <c:pt idx="109">
                  <c:v>41851</c:v>
                </c:pt>
                <c:pt idx="110">
                  <c:v>41882</c:v>
                </c:pt>
                <c:pt idx="111">
                  <c:v>41912</c:v>
                </c:pt>
                <c:pt idx="112">
                  <c:v>41943</c:v>
                </c:pt>
                <c:pt idx="113">
                  <c:v>41973</c:v>
                </c:pt>
                <c:pt idx="114">
                  <c:v>42004</c:v>
                </c:pt>
                <c:pt idx="115">
                  <c:v>42035</c:v>
                </c:pt>
                <c:pt idx="116">
                  <c:v>42063</c:v>
                </c:pt>
                <c:pt idx="117">
                  <c:v>42094</c:v>
                </c:pt>
                <c:pt idx="118">
                  <c:v>42124</c:v>
                </c:pt>
                <c:pt idx="119">
                  <c:v>42155</c:v>
                </c:pt>
                <c:pt idx="120">
                  <c:v>42185</c:v>
                </c:pt>
                <c:pt idx="121">
                  <c:v>42216</c:v>
                </c:pt>
                <c:pt idx="122">
                  <c:v>42247</c:v>
                </c:pt>
                <c:pt idx="123">
                  <c:v>42277</c:v>
                </c:pt>
                <c:pt idx="124">
                  <c:v>42308</c:v>
                </c:pt>
                <c:pt idx="125">
                  <c:v>42338</c:v>
                </c:pt>
                <c:pt idx="126">
                  <c:v>42369</c:v>
                </c:pt>
                <c:pt idx="127">
                  <c:v>42400</c:v>
                </c:pt>
                <c:pt idx="128">
                  <c:v>42429</c:v>
                </c:pt>
                <c:pt idx="129">
                  <c:v>42460</c:v>
                </c:pt>
                <c:pt idx="130">
                  <c:v>42490</c:v>
                </c:pt>
                <c:pt idx="131">
                  <c:v>42521</c:v>
                </c:pt>
              </c:numCache>
            </c:numRef>
          </c:cat>
          <c:val>
            <c:numRef>
              <c:f>'novi CS indikator tj. FB'!$B$2:$B$133</c:f>
              <c:numCache>
                <c:formatCode>0.0</c:formatCode>
                <c:ptCount val="132"/>
                <c:pt idx="0">
                  <c:v>-0.68172744835203991</c:v>
                </c:pt>
                <c:pt idx="1">
                  <c:v>0.85620570766063342</c:v>
                </c:pt>
                <c:pt idx="2">
                  <c:v>0.1172591876456173</c:v>
                </c:pt>
                <c:pt idx="3">
                  <c:v>-5.2318920313532052E-2</c:v>
                </c:pt>
                <c:pt idx="4">
                  <c:v>-8.2213690318376914E-2</c:v>
                </c:pt>
                <c:pt idx="5">
                  <c:v>0.36937025647512167</c:v>
                </c:pt>
                <c:pt idx="6">
                  <c:v>0.76150671753950072</c:v>
                </c:pt>
                <c:pt idx="7">
                  <c:v>-0.43248515845599456</c:v>
                </c:pt>
                <c:pt idx="8">
                  <c:v>-0.50227726905599335</c:v>
                </c:pt>
                <c:pt idx="9">
                  <c:v>0.20072603620563012</c:v>
                </c:pt>
                <c:pt idx="10">
                  <c:v>-0.42512040884917124</c:v>
                </c:pt>
                <c:pt idx="11">
                  <c:v>0.19677632478637064</c:v>
                </c:pt>
                <c:pt idx="12">
                  <c:v>1.8744231893078538</c:v>
                </c:pt>
                <c:pt idx="13">
                  <c:v>-0.53717412120042629</c:v>
                </c:pt>
                <c:pt idx="14">
                  <c:v>-0.80029296349671852</c:v>
                </c:pt>
                <c:pt idx="15">
                  <c:v>0.5160149302559498</c:v>
                </c:pt>
                <c:pt idx="16">
                  <c:v>0.24976076925478682</c:v>
                </c:pt>
                <c:pt idx="17">
                  <c:v>3.6580392242971466E-2</c:v>
                </c:pt>
                <c:pt idx="18">
                  <c:v>1.5941933957985879</c:v>
                </c:pt>
                <c:pt idx="19">
                  <c:v>-0.97218758302385044</c:v>
                </c:pt>
                <c:pt idx="20">
                  <c:v>0.6774918009363492</c:v>
                </c:pt>
                <c:pt idx="21">
                  <c:v>-0.34696153314360834</c:v>
                </c:pt>
                <c:pt idx="22">
                  <c:v>0.34930900370816109</c:v>
                </c:pt>
                <c:pt idx="23">
                  <c:v>-1.0545331362100157</c:v>
                </c:pt>
                <c:pt idx="24">
                  <c:v>1.1919862363348166</c:v>
                </c:pt>
                <c:pt idx="25">
                  <c:v>-0.18846511947153466</c:v>
                </c:pt>
                <c:pt idx="26">
                  <c:v>0.36848093099584645</c:v>
                </c:pt>
                <c:pt idx="27">
                  <c:v>-0.94189859472781357</c:v>
                </c:pt>
                <c:pt idx="28">
                  <c:v>-0.3834839833390794</c:v>
                </c:pt>
                <c:pt idx="29">
                  <c:v>-0.37895344278887394</c:v>
                </c:pt>
                <c:pt idx="30">
                  <c:v>-2.0195373908719856</c:v>
                </c:pt>
                <c:pt idx="31">
                  <c:v>0.39354426590239588</c:v>
                </c:pt>
                <c:pt idx="32">
                  <c:v>-0.48539068593735119</c:v>
                </c:pt>
                <c:pt idx="33">
                  <c:v>0.36926096893355775</c:v>
                </c:pt>
                <c:pt idx="34">
                  <c:v>-0.59218098764454041</c:v>
                </c:pt>
                <c:pt idx="35">
                  <c:v>-0.84642376599130653</c:v>
                </c:pt>
                <c:pt idx="36">
                  <c:v>-2.6586307976633661</c:v>
                </c:pt>
                <c:pt idx="37">
                  <c:v>0.58027709044046993</c:v>
                </c:pt>
                <c:pt idx="38">
                  <c:v>0.67249732059699907</c:v>
                </c:pt>
                <c:pt idx="39">
                  <c:v>-0.46679538845827562</c:v>
                </c:pt>
                <c:pt idx="40">
                  <c:v>0.194605264325662</c:v>
                </c:pt>
                <c:pt idx="41">
                  <c:v>-0.27615422733358974</c:v>
                </c:pt>
                <c:pt idx="42">
                  <c:v>-1.4561972237974186</c:v>
                </c:pt>
                <c:pt idx="43">
                  <c:v>1.9413161504198893</c:v>
                </c:pt>
                <c:pt idx="44">
                  <c:v>-0.62997858296580533</c:v>
                </c:pt>
                <c:pt idx="45">
                  <c:v>-0.74052778593016289</c:v>
                </c:pt>
                <c:pt idx="46">
                  <c:v>-0.33808785972738536</c:v>
                </c:pt>
                <c:pt idx="47">
                  <c:v>0.68853494112441216</c:v>
                </c:pt>
                <c:pt idx="48">
                  <c:v>-0.90940397609422585</c:v>
                </c:pt>
                <c:pt idx="49">
                  <c:v>-1.8678159172868458</c:v>
                </c:pt>
                <c:pt idx="50">
                  <c:v>-0.98733167874965222</c:v>
                </c:pt>
                <c:pt idx="51">
                  <c:v>2.3933734475918049</c:v>
                </c:pt>
                <c:pt idx="52">
                  <c:v>-0.18404227277402352</c:v>
                </c:pt>
                <c:pt idx="53">
                  <c:v>-0.60775365643821022</c:v>
                </c:pt>
                <c:pt idx="54">
                  <c:v>0.71956099883664582</c:v>
                </c:pt>
                <c:pt idx="55">
                  <c:v>-2.0650435988696767</c:v>
                </c:pt>
                <c:pt idx="56">
                  <c:v>1.0327511595576762</c:v>
                </c:pt>
                <c:pt idx="57">
                  <c:v>-1.1277394881531424</c:v>
                </c:pt>
                <c:pt idx="58">
                  <c:v>1.1945818856412216</c:v>
                </c:pt>
                <c:pt idx="59">
                  <c:v>-0.26844800519046508</c:v>
                </c:pt>
                <c:pt idx="60">
                  <c:v>0.92957430800038165</c:v>
                </c:pt>
                <c:pt idx="61">
                  <c:v>-0.23274074455381621</c:v>
                </c:pt>
                <c:pt idx="62">
                  <c:v>0.66525684703205368</c:v>
                </c:pt>
                <c:pt idx="63">
                  <c:v>-0.48287416871817024</c:v>
                </c:pt>
                <c:pt idx="64">
                  <c:v>-1.2592442655305081</c:v>
                </c:pt>
                <c:pt idx="65">
                  <c:v>0.6152158991618184</c:v>
                </c:pt>
                <c:pt idx="66">
                  <c:v>-8.5197549804603784E-2</c:v>
                </c:pt>
                <c:pt idx="67">
                  <c:v>0.46337673939043983</c:v>
                </c:pt>
                <c:pt idx="68">
                  <c:v>0.52445561618180336</c:v>
                </c:pt>
                <c:pt idx="69">
                  <c:v>-2.4792157699884299</c:v>
                </c:pt>
                <c:pt idx="70">
                  <c:v>2.2629965554439275</c:v>
                </c:pt>
                <c:pt idx="71">
                  <c:v>-0.37748169448978236</c:v>
                </c:pt>
                <c:pt idx="72">
                  <c:v>1.7962223570253755</c:v>
                </c:pt>
                <c:pt idx="73">
                  <c:v>0.63709276329747289</c:v>
                </c:pt>
                <c:pt idx="74">
                  <c:v>-1.468164044241433</c:v>
                </c:pt>
                <c:pt idx="75">
                  <c:v>0.54552388061427548</c:v>
                </c:pt>
                <c:pt idx="76">
                  <c:v>-0.44471851867142276</c:v>
                </c:pt>
                <c:pt idx="77">
                  <c:v>0.29066432467101833</c:v>
                </c:pt>
                <c:pt idx="78">
                  <c:v>2.3434148191865325</c:v>
                </c:pt>
                <c:pt idx="79">
                  <c:v>-7.6452566852760639E-2</c:v>
                </c:pt>
                <c:pt idx="80">
                  <c:v>-0.2664299976372686</c:v>
                </c:pt>
                <c:pt idx="81">
                  <c:v>-0.74696125348079612</c:v>
                </c:pt>
                <c:pt idx="82">
                  <c:v>-2.1725248140938116</c:v>
                </c:pt>
                <c:pt idx="83">
                  <c:v>-1.4565476767226631</c:v>
                </c:pt>
                <c:pt idx="84">
                  <c:v>1.068777705720632</c:v>
                </c:pt>
                <c:pt idx="85">
                  <c:v>1.0040524025914017</c:v>
                </c:pt>
                <c:pt idx="86">
                  <c:v>-1.2846480610287589</c:v>
                </c:pt>
                <c:pt idx="87">
                  <c:v>-0.98888335598040089</c:v>
                </c:pt>
                <c:pt idx="88">
                  <c:v>-0.79754187074949612</c:v>
                </c:pt>
                <c:pt idx="89">
                  <c:v>-0.4016137473401426</c:v>
                </c:pt>
                <c:pt idx="90">
                  <c:v>0.42329119426666428</c:v>
                </c:pt>
                <c:pt idx="91">
                  <c:v>-0.14229496603350006</c:v>
                </c:pt>
                <c:pt idx="92">
                  <c:v>0.35229206634995491</c:v>
                </c:pt>
                <c:pt idx="93">
                  <c:v>1.0096706805832121</c:v>
                </c:pt>
                <c:pt idx="94">
                  <c:v>-0.34172827795388022</c:v>
                </c:pt>
                <c:pt idx="95">
                  <c:v>0.80972705787426968</c:v>
                </c:pt>
                <c:pt idx="96">
                  <c:v>0.18309898119288903</c:v>
                </c:pt>
                <c:pt idx="97">
                  <c:v>1.9940392663838284</c:v>
                </c:pt>
                <c:pt idx="98">
                  <c:v>1.0004911164521297</c:v>
                </c:pt>
                <c:pt idx="99">
                  <c:v>-1.8432257176585471</c:v>
                </c:pt>
                <c:pt idx="100">
                  <c:v>-1.0987668047153816</c:v>
                </c:pt>
                <c:pt idx="101">
                  <c:v>0.29860650093088587</c:v>
                </c:pt>
                <c:pt idx="102">
                  <c:v>0.11349688391054719</c:v>
                </c:pt>
                <c:pt idx="103">
                  <c:v>0.69736564601912099</c:v>
                </c:pt>
                <c:pt idx="104">
                  <c:v>1.2452432286860153</c:v>
                </c:pt>
                <c:pt idx="105">
                  <c:v>3.8242153859718846E-2</c:v>
                </c:pt>
                <c:pt idx="106">
                  <c:v>-0.71515515783085115</c:v>
                </c:pt>
                <c:pt idx="107">
                  <c:v>-0.97195640997371213</c:v>
                </c:pt>
                <c:pt idx="108">
                  <c:v>0.93464031862671715</c:v>
                </c:pt>
                <c:pt idx="109">
                  <c:v>-0.89882658448434072</c:v>
                </c:pt>
                <c:pt idx="110">
                  <c:v>1.2898601112044326</c:v>
                </c:pt>
                <c:pt idx="111">
                  <c:v>-2.3378997963577702E-2</c:v>
                </c:pt>
                <c:pt idx="112">
                  <c:v>0.70487504988878336</c:v>
                </c:pt>
                <c:pt idx="113">
                  <c:v>-0.78382416426796797</c:v>
                </c:pt>
                <c:pt idx="114">
                  <c:v>-0.69350946674533387</c:v>
                </c:pt>
                <c:pt idx="115">
                  <c:v>2.0449291768452915</c:v>
                </c:pt>
                <c:pt idx="116">
                  <c:v>-0.15820889226330476</c:v>
                </c:pt>
                <c:pt idx="117">
                  <c:v>1.7402907983807117</c:v>
                </c:pt>
                <c:pt idx="118">
                  <c:v>0.1616810606796065</c:v>
                </c:pt>
                <c:pt idx="119">
                  <c:v>0.23496893524326332</c:v>
                </c:pt>
                <c:pt idx="120">
                  <c:v>-0.18652602890539779</c:v>
                </c:pt>
                <c:pt idx="121">
                  <c:v>-0.13292039241798831</c:v>
                </c:pt>
                <c:pt idx="122">
                  <c:v>0.49978490587757668</c:v>
                </c:pt>
                <c:pt idx="123">
                  <c:v>-0.54926282715301467</c:v>
                </c:pt>
                <c:pt idx="124">
                  <c:v>0.40457980429021989</c:v>
                </c:pt>
                <c:pt idx="125">
                  <c:v>1.8970085610942351</c:v>
                </c:pt>
                <c:pt idx="126">
                  <c:v>2.1546380903167586E-2</c:v>
                </c:pt>
                <c:pt idx="127">
                  <c:v>0.19092947937789007</c:v>
                </c:pt>
                <c:pt idx="128">
                  <c:v>-1.1363424224756171</c:v>
                </c:pt>
                <c:pt idx="129">
                  <c:v>0.50803478164133908</c:v>
                </c:pt>
                <c:pt idx="130">
                  <c:v>-0.52993285079104613</c:v>
                </c:pt>
                <c:pt idx="131">
                  <c:v>4.8969992743648702E-2</c:v>
                </c:pt>
              </c:numCache>
            </c:numRef>
          </c:val>
          <c:smooth val="0"/>
        </c:ser>
        <c:dLbls>
          <c:showLegendKey val="0"/>
          <c:showVal val="0"/>
          <c:showCatName val="0"/>
          <c:showSerName val="0"/>
          <c:showPercent val="0"/>
          <c:showBubbleSize val="0"/>
        </c:dLbls>
        <c:smooth val="0"/>
        <c:axId val="-124381408"/>
        <c:axId val="-124380864"/>
      </c:lineChart>
      <c:dateAx>
        <c:axId val="-124381408"/>
        <c:scaling>
          <c:orientation val="minMax"/>
        </c:scaling>
        <c:delete val="0"/>
        <c:axPos val="b"/>
        <c:numFmt formatCode="mmm\-yy" sourceLinked="1"/>
        <c:majorTickMark val="out"/>
        <c:minorTickMark val="none"/>
        <c:tickLblPos val="low"/>
        <c:crossAx val="-124380864"/>
        <c:crosses val="autoZero"/>
        <c:auto val="1"/>
        <c:lblOffset val="100"/>
        <c:baseTimeUnit val="months"/>
      </c:dateAx>
      <c:valAx>
        <c:axId val="-124380864"/>
        <c:scaling>
          <c:orientation val="minMax"/>
        </c:scaling>
        <c:delete val="0"/>
        <c:axPos val="l"/>
        <c:majorGridlines/>
        <c:numFmt formatCode="0.0" sourceLinked="1"/>
        <c:majorTickMark val="out"/>
        <c:minorTickMark val="none"/>
        <c:tickLblPos val="nextTo"/>
        <c:crossAx val="-124381408"/>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'HR OSOBE U RIZIKU'!$B$21</c:f>
              <c:strCache>
                <c:ptCount val="1"/>
                <c:pt idx="0">
                  <c:v>New CS indicator</c:v>
                </c:pt>
              </c:strCache>
            </c:strRef>
          </c:tx>
          <c:spPr>
            <a:ln w="19050" cap="rnd">
              <a:solidFill>
                <a:schemeClr val="accent1"/>
              </a:solidFill>
              <a:round/>
            </a:ln>
            <a:effectLst/>
          </c:spPr>
          <c:marker>
            <c:symbol val="none"/>
          </c:marker>
          <c:cat>
            <c:strRef>
              <c:f>'HR OSOBE U RIZIKU'!$A$22:$A$25</c:f>
              <c:strCache>
                <c:ptCount val="4"/>
                <c:pt idx="0">
                  <c:v>2011.</c:v>
                </c:pt>
                <c:pt idx="1">
                  <c:v>2012.</c:v>
                </c:pt>
                <c:pt idx="2">
                  <c:v>2013.</c:v>
                </c:pt>
                <c:pt idx="3">
                  <c:v>2014.</c:v>
                </c:pt>
              </c:strCache>
            </c:strRef>
          </c:cat>
          <c:val>
            <c:numRef>
              <c:f>'HR OSOBE U RIZIKU'!$B$22:$B$25</c:f>
              <c:numCache>
                <c:formatCode>0.0</c:formatCode>
                <c:ptCount val="4"/>
                <c:pt idx="0">
                  <c:v>0.34118058570164811</c:v>
                </c:pt>
                <c:pt idx="1">
                  <c:v>-0.47462350344228343</c:v>
                </c:pt>
                <c:pt idx="2">
                  <c:v>0.19461723227636732</c:v>
                </c:pt>
                <c:pt idx="3">
                  <c:v>6.8631310584917046E-2</c:v>
                </c:pt>
              </c:numCache>
            </c:numRef>
          </c:val>
          <c:smooth val="0"/>
        </c:ser>
        <c:dLbls>
          <c:showLegendKey val="0"/>
          <c:showVal val="0"/>
          <c:showCatName val="0"/>
          <c:showSerName val="0"/>
          <c:showPercent val="0"/>
          <c:showBubbleSize val="0"/>
        </c:dLbls>
        <c:marker val="1"/>
        <c:smooth val="0"/>
        <c:axId val="-124379232"/>
        <c:axId val="-124376512"/>
      </c:lineChart>
      <c:lineChart>
        <c:grouping val="standard"/>
        <c:varyColors val="0"/>
        <c:ser>
          <c:idx val="1"/>
          <c:order val="1"/>
          <c:tx>
            <c:strRef>
              <c:f>'HR OSOBE U RIZIKU'!$C$21</c:f>
              <c:strCache>
                <c:ptCount val="1"/>
                <c:pt idx="0">
                  <c:v>People at risk of poverty or social exclusion</c:v>
                </c:pt>
              </c:strCache>
            </c:strRef>
          </c:tx>
          <c:spPr>
            <a:ln w="19050" cap="rnd">
              <a:solidFill>
                <a:schemeClr val="accent2"/>
              </a:solidFill>
              <a:prstDash val="dash"/>
              <a:round/>
            </a:ln>
            <a:effectLst/>
          </c:spPr>
          <c:marker>
            <c:symbol val="none"/>
          </c:marker>
          <c:cat>
            <c:strRef>
              <c:f>'HR OSOBE U RIZIKU'!$A$22:$A$25</c:f>
              <c:strCache>
                <c:ptCount val="4"/>
                <c:pt idx="0">
                  <c:v>2011.</c:v>
                </c:pt>
                <c:pt idx="1">
                  <c:v>2012.</c:v>
                </c:pt>
                <c:pt idx="2">
                  <c:v>2013.</c:v>
                </c:pt>
                <c:pt idx="3">
                  <c:v>2014.</c:v>
                </c:pt>
              </c:strCache>
            </c:strRef>
          </c:cat>
          <c:val>
            <c:numRef>
              <c:f>'HR OSOBE U RIZIKU'!$C$22:$C$25</c:f>
              <c:numCache>
                <c:formatCode>#,##0.0</c:formatCode>
                <c:ptCount val="4"/>
                <c:pt idx="0">
                  <c:v>1.5</c:v>
                </c:pt>
                <c:pt idx="1">
                  <c:v>0</c:v>
                </c:pt>
                <c:pt idx="2">
                  <c:v>-2.7000000000000028</c:v>
                </c:pt>
                <c:pt idx="3">
                  <c:v>-0.59999999999999787</c:v>
                </c:pt>
              </c:numCache>
            </c:numRef>
          </c:val>
          <c:smooth val="0"/>
        </c:ser>
        <c:dLbls>
          <c:showLegendKey val="0"/>
          <c:showVal val="0"/>
          <c:showCatName val="0"/>
          <c:showSerName val="0"/>
          <c:showPercent val="0"/>
          <c:showBubbleSize val="0"/>
        </c:dLbls>
        <c:marker val="1"/>
        <c:smooth val="0"/>
        <c:axId val="-132153552"/>
        <c:axId val="-132156272"/>
      </c:lineChart>
      <c:catAx>
        <c:axId val="-12437923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24376512"/>
        <c:crosses val="autoZero"/>
        <c:auto val="1"/>
        <c:lblAlgn val="ctr"/>
        <c:lblOffset val="100"/>
        <c:noMultiLvlLbl val="0"/>
      </c:catAx>
      <c:valAx>
        <c:axId val="-1243765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24379232"/>
        <c:crosses val="autoZero"/>
        <c:crossBetween val="between"/>
        <c:majorUnit val="0.2"/>
      </c:valAx>
      <c:valAx>
        <c:axId val="-132156272"/>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32153552"/>
        <c:crosses val="max"/>
        <c:crossBetween val="between"/>
      </c:valAx>
      <c:catAx>
        <c:axId val="-132153552"/>
        <c:scaling>
          <c:orientation val="minMax"/>
        </c:scaling>
        <c:delete val="1"/>
        <c:axPos val="b"/>
        <c:numFmt formatCode="General" sourceLinked="1"/>
        <c:majorTickMark val="out"/>
        <c:minorTickMark val="none"/>
        <c:tickLblPos val="nextTo"/>
        <c:crossAx val="-13215627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noFill/>
      <a:round/>
    </a:ln>
    <a:effectLst/>
  </c:spPr>
  <c:txPr>
    <a:bodyPr/>
    <a:lstStyle/>
    <a:p>
      <a:pPr>
        <a:defRPr/>
      </a:pPr>
      <a:endParaRPr lang="sr-Latn-R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'HR STOPE RIZIKA'!$B$19</c:f>
              <c:strCache>
                <c:ptCount val="1"/>
                <c:pt idx="0">
                  <c:v>New CS indicator</c:v>
                </c:pt>
              </c:strCache>
            </c:strRef>
          </c:tx>
          <c:spPr>
            <a:ln w="19050" cap="rnd">
              <a:solidFill>
                <a:schemeClr val="accent1"/>
              </a:solidFill>
              <a:round/>
            </a:ln>
            <a:effectLst/>
          </c:spPr>
          <c:marker>
            <c:symbol val="none"/>
          </c:marker>
          <c:cat>
            <c:strRef>
              <c:f>'HR STOPE RIZIKA'!$A$20:$A$24</c:f>
              <c:strCache>
                <c:ptCount val="5"/>
                <c:pt idx="0">
                  <c:v>2011.</c:v>
                </c:pt>
                <c:pt idx="1">
                  <c:v>2012.</c:v>
                </c:pt>
                <c:pt idx="2">
                  <c:v>2013.</c:v>
                </c:pt>
                <c:pt idx="3">
                  <c:v>2014.</c:v>
                </c:pt>
                <c:pt idx="4">
                  <c:v>2015.</c:v>
                </c:pt>
              </c:strCache>
            </c:strRef>
          </c:cat>
          <c:val>
            <c:numRef>
              <c:f>'HR STOPE RIZIKA'!$B$20:$B$24</c:f>
              <c:numCache>
                <c:formatCode>0.0</c:formatCode>
                <c:ptCount val="5"/>
                <c:pt idx="0">
                  <c:v>0.34118058570164811</c:v>
                </c:pt>
                <c:pt idx="1">
                  <c:v>-0.47462350344228343</c:v>
                </c:pt>
                <c:pt idx="2">
                  <c:v>0.19461723227636732</c:v>
                </c:pt>
                <c:pt idx="3">
                  <c:v>6.8631310584917046E-2</c:v>
                </c:pt>
                <c:pt idx="4">
                  <c:v>0.49815595688119724</c:v>
                </c:pt>
              </c:numCache>
            </c:numRef>
          </c:val>
          <c:smooth val="0"/>
        </c:ser>
        <c:dLbls>
          <c:showLegendKey val="0"/>
          <c:showVal val="0"/>
          <c:showCatName val="0"/>
          <c:showSerName val="0"/>
          <c:showPercent val="0"/>
          <c:showBubbleSize val="0"/>
        </c:dLbls>
        <c:marker val="1"/>
        <c:smooth val="0"/>
        <c:axId val="-132149200"/>
        <c:axId val="-132144848"/>
      </c:lineChart>
      <c:lineChart>
        <c:grouping val="standard"/>
        <c:varyColors val="0"/>
        <c:ser>
          <c:idx val="1"/>
          <c:order val="1"/>
          <c:tx>
            <c:strRef>
              <c:f>'HR STOPE RIZIKA'!$C$19</c:f>
              <c:strCache>
                <c:ptCount val="1"/>
                <c:pt idx="0">
                  <c:v>At-risk-of-poverty rate</c:v>
                </c:pt>
              </c:strCache>
            </c:strRef>
          </c:tx>
          <c:spPr>
            <a:ln w="19050" cap="rnd">
              <a:solidFill>
                <a:schemeClr val="accent2"/>
              </a:solidFill>
              <a:prstDash val="dash"/>
              <a:round/>
            </a:ln>
            <a:effectLst/>
          </c:spPr>
          <c:marker>
            <c:symbol val="none"/>
          </c:marker>
          <c:cat>
            <c:strRef>
              <c:f>'HR STOPE RIZIKA'!$A$20:$A$24</c:f>
              <c:strCache>
                <c:ptCount val="5"/>
                <c:pt idx="0">
                  <c:v>2011.</c:v>
                </c:pt>
                <c:pt idx="1">
                  <c:v>2012.</c:v>
                </c:pt>
                <c:pt idx="2">
                  <c:v>2013.</c:v>
                </c:pt>
                <c:pt idx="3">
                  <c:v>2014.</c:v>
                </c:pt>
                <c:pt idx="4">
                  <c:v>2015.</c:v>
                </c:pt>
              </c:strCache>
            </c:strRef>
          </c:cat>
          <c:val>
            <c:numRef>
              <c:f>'HR STOPE RIZIKA'!$C$20:$C$24</c:f>
              <c:numCache>
                <c:formatCode>#,##0.0</c:formatCode>
                <c:ptCount val="5"/>
                <c:pt idx="0">
                  <c:v>0.29999999999999716</c:v>
                </c:pt>
                <c:pt idx="1">
                  <c:v>-0.5</c:v>
                </c:pt>
                <c:pt idx="2">
                  <c:v>-0.89999999999999902</c:v>
                </c:pt>
                <c:pt idx="3">
                  <c:v>-0.10000000000000142</c:v>
                </c:pt>
                <c:pt idx="4">
                  <c:v>1</c:v>
                </c:pt>
              </c:numCache>
            </c:numRef>
          </c:val>
          <c:smooth val="0"/>
        </c:ser>
        <c:dLbls>
          <c:showLegendKey val="0"/>
          <c:showVal val="0"/>
          <c:showCatName val="0"/>
          <c:showSerName val="0"/>
          <c:showPercent val="0"/>
          <c:showBubbleSize val="0"/>
        </c:dLbls>
        <c:marker val="1"/>
        <c:smooth val="0"/>
        <c:axId val="-203913584"/>
        <c:axId val="-132144304"/>
      </c:lineChart>
      <c:catAx>
        <c:axId val="-132149200"/>
        <c:scaling>
          <c:orientation val="minMax"/>
        </c:scaling>
        <c:delete val="0"/>
        <c:axPos val="b"/>
        <c:minorGridlines>
          <c:spPr>
            <a:ln>
              <a:noFill/>
            </a:ln>
          </c:spPr>
        </c:min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32144848"/>
        <c:crosses val="autoZero"/>
        <c:auto val="1"/>
        <c:lblAlgn val="ctr"/>
        <c:lblOffset val="100"/>
        <c:noMultiLvlLbl val="0"/>
      </c:catAx>
      <c:valAx>
        <c:axId val="-13214484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32149200"/>
        <c:crosses val="autoZero"/>
        <c:crossBetween val="between"/>
      </c:valAx>
      <c:valAx>
        <c:axId val="-132144304"/>
        <c:scaling>
          <c:orientation val="minMax"/>
        </c:scaling>
        <c:delete val="0"/>
        <c:axPos val="r"/>
        <c:numFmt formatCode="#,##0.0" sourceLinked="1"/>
        <c:majorTickMark val="out"/>
        <c:minorTickMark val="none"/>
        <c:tickLblPos val="nextTo"/>
        <c:crossAx val="-203913584"/>
        <c:crosses val="max"/>
        <c:crossBetween val="between"/>
      </c:valAx>
      <c:catAx>
        <c:axId val="-203913584"/>
        <c:scaling>
          <c:orientation val="minMax"/>
        </c:scaling>
        <c:delete val="1"/>
        <c:axPos val="b"/>
        <c:numFmt formatCode="General" sourceLinked="1"/>
        <c:majorTickMark val="out"/>
        <c:minorTickMark val="none"/>
        <c:tickLblPos val="nextTo"/>
        <c:crossAx val="-13214430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noFill/>
      <a:round/>
    </a:ln>
    <a:effectLst/>
  </c:spPr>
  <c:txPr>
    <a:bodyPr/>
    <a:lstStyle/>
    <a:p>
      <a:pPr>
        <a:defRPr/>
      </a:pPr>
      <a:endParaRPr lang="sr-Latn-R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'HR ST RIZ - soc transf '!$B$21</c:f>
              <c:strCache>
                <c:ptCount val="1"/>
                <c:pt idx="0">
                  <c:v>New CS indicator</c:v>
                </c:pt>
              </c:strCache>
            </c:strRef>
          </c:tx>
          <c:spPr>
            <a:ln w="19050"/>
          </c:spPr>
          <c:marker>
            <c:symbol val="none"/>
          </c:marker>
          <c:cat>
            <c:strRef>
              <c:f>'HR ST RIZ - soc transf '!$A$22:$A$25</c:f>
              <c:strCache>
                <c:ptCount val="4"/>
                <c:pt idx="0">
                  <c:v>2011.</c:v>
                </c:pt>
                <c:pt idx="1">
                  <c:v>2012.</c:v>
                </c:pt>
                <c:pt idx="2">
                  <c:v>2013.</c:v>
                </c:pt>
                <c:pt idx="3">
                  <c:v>2014.</c:v>
                </c:pt>
              </c:strCache>
            </c:strRef>
          </c:cat>
          <c:val>
            <c:numRef>
              <c:f>'HR ST RIZ - soc transf '!$B$22:$B$25</c:f>
              <c:numCache>
                <c:formatCode>0.0</c:formatCode>
                <c:ptCount val="4"/>
                <c:pt idx="0">
                  <c:v>0.34118058570164811</c:v>
                </c:pt>
                <c:pt idx="1">
                  <c:v>-0.47462350344228343</c:v>
                </c:pt>
                <c:pt idx="2">
                  <c:v>0.19461723227636732</c:v>
                </c:pt>
                <c:pt idx="3">
                  <c:v>6.8631310584917046E-2</c:v>
                </c:pt>
              </c:numCache>
            </c:numRef>
          </c:val>
          <c:smooth val="0"/>
        </c:ser>
        <c:dLbls>
          <c:showLegendKey val="0"/>
          <c:showVal val="0"/>
          <c:showCatName val="0"/>
          <c:showSerName val="0"/>
          <c:showPercent val="0"/>
          <c:showBubbleSize val="0"/>
        </c:dLbls>
        <c:marker val="1"/>
        <c:smooth val="0"/>
        <c:axId val="-203925552"/>
        <c:axId val="-203925008"/>
      </c:lineChart>
      <c:lineChart>
        <c:grouping val="standard"/>
        <c:varyColors val="0"/>
        <c:ser>
          <c:idx val="1"/>
          <c:order val="1"/>
          <c:tx>
            <c:strRef>
              <c:f>'HR ST RIZ - soc transf '!$C$21</c:f>
              <c:strCache>
                <c:ptCount val="1"/>
                <c:pt idx="0">
                  <c:v>At-risk-of-poverty rate before social transfers (pensions excluded) </c:v>
                </c:pt>
              </c:strCache>
            </c:strRef>
          </c:tx>
          <c:spPr>
            <a:ln w="19050">
              <a:prstDash val="dash"/>
            </a:ln>
          </c:spPr>
          <c:marker>
            <c:symbol val="none"/>
          </c:marker>
          <c:cat>
            <c:strRef>
              <c:f>'HR ST RIZ - soc transf '!$A$22:$A$25</c:f>
              <c:strCache>
                <c:ptCount val="4"/>
                <c:pt idx="0">
                  <c:v>2011.</c:v>
                </c:pt>
                <c:pt idx="1">
                  <c:v>2012.</c:v>
                </c:pt>
                <c:pt idx="2">
                  <c:v>2013.</c:v>
                </c:pt>
                <c:pt idx="3">
                  <c:v>2014.</c:v>
                </c:pt>
              </c:strCache>
            </c:strRef>
          </c:cat>
          <c:val>
            <c:numRef>
              <c:f>'HR ST RIZ - soc transf '!$C$22:$C$25</c:f>
              <c:numCache>
                <c:formatCode>#,##0.0</c:formatCode>
                <c:ptCount val="4"/>
                <c:pt idx="0">
                  <c:v>0.69999999999999929</c:v>
                </c:pt>
                <c:pt idx="1">
                  <c:v>-9.9999999999997868E-2</c:v>
                </c:pt>
                <c:pt idx="2">
                  <c:v>-0.90000000000000213</c:v>
                </c:pt>
                <c:pt idx="3">
                  <c:v>0.19999999999999929</c:v>
                </c:pt>
              </c:numCache>
            </c:numRef>
          </c:val>
          <c:smooth val="0"/>
        </c:ser>
        <c:dLbls>
          <c:showLegendKey val="0"/>
          <c:showVal val="0"/>
          <c:showCatName val="0"/>
          <c:showSerName val="0"/>
          <c:showPercent val="0"/>
          <c:showBubbleSize val="0"/>
        </c:dLbls>
        <c:marker val="1"/>
        <c:smooth val="0"/>
        <c:axId val="-256619952"/>
        <c:axId val="-203921200"/>
      </c:lineChart>
      <c:catAx>
        <c:axId val="-203925552"/>
        <c:scaling>
          <c:orientation val="minMax"/>
        </c:scaling>
        <c:delete val="0"/>
        <c:axPos val="b"/>
        <c:numFmt formatCode="General" sourceLinked="0"/>
        <c:majorTickMark val="out"/>
        <c:minorTickMark val="none"/>
        <c:tickLblPos val="low"/>
        <c:crossAx val="-203925008"/>
        <c:crosses val="autoZero"/>
        <c:auto val="1"/>
        <c:lblAlgn val="ctr"/>
        <c:lblOffset val="100"/>
        <c:noMultiLvlLbl val="0"/>
      </c:catAx>
      <c:valAx>
        <c:axId val="-203925008"/>
        <c:scaling>
          <c:orientation val="minMax"/>
        </c:scaling>
        <c:delete val="0"/>
        <c:axPos val="l"/>
        <c:majorGridlines/>
        <c:numFmt formatCode="0.0" sourceLinked="1"/>
        <c:majorTickMark val="out"/>
        <c:minorTickMark val="none"/>
        <c:tickLblPos val="nextTo"/>
        <c:crossAx val="-203925552"/>
        <c:crosses val="autoZero"/>
        <c:crossBetween val="between"/>
        <c:majorUnit val="0.2"/>
      </c:valAx>
      <c:valAx>
        <c:axId val="-203921200"/>
        <c:scaling>
          <c:orientation val="minMax"/>
        </c:scaling>
        <c:delete val="0"/>
        <c:axPos val="r"/>
        <c:numFmt formatCode="#,##0.0" sourceLinked="1"/>
        <c:majorTickMark val="out"/>
        <c:minorTickMark val="none"/>
        <c:tickLblPos val="nextTo"/>
        <c:crossAx val="-256619952"/>
        <c:crosses val="max"/>
        <c:crossBetween val="between"/>
      </c:valAx>
      <c:catAx>
        <c:axId val="-256619952"/>
        <c:scaling>
          <c:orientation val="minMax"/>
        </c:scaling>
        <c:delete val="1"/>
        <c:axPos val="b"/>
        <c:numFmt formatCode="General" sourceLinked="1"/>
        <c:majorTickMark val="out"/>
        <c:minorTickMark val="none"/>
        <c:tickLblPos val="nextTo"/>
        <c:crossAx val="-203921200"/>
        <c:crosses val="autoZero"/>
        <c:auto val="1"/>
        <c:lblAlgn val="ctr"/>
        <c:lblOffset val="100"/>
        <c:noMultiLvlLbl val="0"/>
      </c:catAx>
    </c:plotArea>
    <c:legend>
      <c:legendPos val="b"/>
      <c:layout>
        <c:manualLayout>
          <c:xMode val="edge"/>
          <c:yMode val="edge"/>
          <c:x val="6.5990813648293969E-2"/>
          <c:y val="0.74591165627417955"/>
          <c:w val="0.8707959317585301"/>
          <c:h val="0.23482052098978956"/>
        </c:manualLayout>
      </c:layout>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'HR ST RIZ - mirov i soc transf '!$B$21</c:f>
              <c:strCache>
                <c:ptCount val="1"/>
                <c:pt idx="0">
                  <c:v>New CS indicator</c:v>
                </c:pt>
              </c:strCache>
            </c:strRef>
          </c:tx>
          <c:spPr>
            <a:ln w="19050"/>
          </c:spPr>
          <c:marker>
            <c:symbol val="none"/>
          </c:marker>
          <c:cat>
            <c:strRef>
              <c:f>'HR ST RIZ - mirov i soc transf '!$A$22:$A$25</c:f>
              <c:strCache>
                <c:ptCount val="4"/>
                <c:pt idx="0">
                  <c:v>2011.</c:v>
                </c:pt>
                <c:pt idx="1">
                  <c:v>2012.</c:v>
                </c:pt>
                <c:pt idx="2">
                  <c:v>2013.</c:v>
                </c:pt>
                <c:pt idx="3">
                  <c:v>2014.</c:v>
                </c:pt>
              </c:strCache>
            </c:strRef>
          </c:cat>
          <c:val>
            <c:numRef>
              <c:f>'HR ST RIZ - mirov i soc transf '!$B$22:$B$25</c:f>
              <c:numCache>
                <c:formatCode>0.0</c:formatCode>
                <c:ptCount val="4"/>
                <c:pt idx="0">
                  <c:v>0.34118058570164811</c:v>
                </c:pt>
                <c:pt idx="1">
                  <c:v>-0.47462350344228343</c:v>
                </c:pt>
                <c:pt idx="2">
                  <c:v>0.19461723227636732</c:v>
                </c:pt>
                <c:pt idx="3">
                  <c:v>6.8631310584917046E-2</c:v>
                </c:pt>
              </c:numCache>
            </c:numRef>
          </c:val>
          <c:smooth val="0"/>
        </c:ser>
        <c:dLbls>
          <c:showLegendKey val="0"/>
          <c:showVal val="0"/>
          <c:showCatName val="0"/>
          <c:showSerName val="0"/>
          <c:showPercent val="0"/>
          <c:showBubbleSize val="0"/>
        </c:dLbls>
        <c:marker val="1"/>
        <c:smooth val="0"/>
        <c:axId val="-132197952"/>
        <c:axId val="-132196864"/>
      </c:lineChart>
      <c:lineChart>
        <c:grouping val="standard"/>
        <c:varyColors val="0"/>
        <c:ser>
          <c:idx val="1"/>
          <c:order val="1"/>
          <c:tx>
            <c:strRef>
              <c:f>'HR ST RIZ - mirov i soc transf '!$C$21</c:f>
              <c:strCache>
                <c:ptCount val="1"/>
                <c:pt idx="0">
                  <c:v>At-risk-of-poverty rate before social transfers (pensions included) </c:v>
                </c:pt>
              </c:strCache>
            </c:strRef>
          </c:tx>
          <c:spPr>
            <a:ln w="19050">
              <a:prstDash val="dash"/>
            </a:ln>
          </c:spPr>
          <c:marker>
            <c:symbol val="none"/>
          </c:marker>
          <c:cat>
            <c:strRef>
              <c:f>'HR ST RIZ - mirov i soc transf '!$A$22:$A$25</c:f>
              <c:strCache>
                <c:ptCount val="4"/>
                <c:pt idx="0">
                  <c:v>2011.</c:v>
                </c:pt>
                <c:pt idx="1">
                  <c:v>2012.</c:v>
                </c:pt>
                <c:pt idx="2">
                  <c:v>2013.</c:v>
                </c:pt>
                <c:pt idx="3">
                  <c:v>2014.</c:v>
                </c:pt>
              </c:strCache>
            </c:strRef>
          </c:cat>
          <c:val>
            <c:numRef>
              <c:f>'HR ST RIZ - mirov i soc transf '!$C$22:$C$25</c:f>
              <c:numCache>
                <c:formatCode>#,##0.0</c:formatCode>
                <c:ptCount val="4"/>
                <c:pt idx="0">
                  <c:v>1.8999999999999986</c:v>
                </c:pt>
                <c:pt idx="1">
                  <c:v>-0.39999999999999858</c:v>
                </c:pt>
                <c:pt idx="2">
                  <c:v>-0.60000000000000142</c:v>
                </c:pt>
                <c:pt idx="3">
                  <c:v>0.60000000000000142</c:v>
                </c:pt>
              </c:numCache>
            </c:numRef>
          </c:val>
          <c:smooth val="0"/>
        </c:ser>
        <c:dLbls>
          <c:showLegendKey val="0"/>
          <c:showVal val="0"/>
          <c:showCatName val="0"/>
          <c:showSerName val="0"/>
          <c:showPercent val="0"/>
          <c:showBubbleSize val="0"/>
        </c:dLbls>
        <c:marker val="1"/>
        <c:smooth val="0"/>
        <c:axId val="-132196320"/>
        <c:axId val="-132195232"/>
      </c:lineChart>
      <c:catAx>
        <c:axId val="-132197952"/>
        <c:scaling>
          <c:orientation val="minMax"/>
        </c:scaling>
        <c:delete val="0"/>
        <c:axPos val="b"/>
        <c:numFmt formatCode="General" sourceLinked="0"/>
        <c:majorTickMark val="out"/>
        <c:minorTickMark val="none"/>
        <c:tickLblPos val="low"/>
        <c:crossAx val="-132196864"/>
        <c:crosses val="autoZero"/>
        <c:auto val="1"/>
        <c:lblAlgn val="ctr"/>
        <c:lblOffset val="100"/>
        <c:noMultiLvlLbl val="0"/>
      </c:catAx>
      <c:valAx>
        <c:axId val="-132196864"/>
        <c:scaling>
          <c:orientation val="minMax"/>
        </c:scaling>
        <c:delete val="0"/>
        <c:axPos val="l"/>
        <c:majorGridlines/>
        <c:numFmt formatCode="0.0" sourceLinked="1"/>
        <c:majorTickMark val="out"/>
        <c:minorTickMark val="none"/>
        <c:tickLblPos val="nextTo"/>
        <c:crossAx val="-132197952"/>
        <c:crosses val="autoZero"/>
        <c:crossBetween val="between"/>
        <c:majorUnit val="0.2"/>
      </c:valAx>
      <c:valAx>
        <c:axId val="-132195232"/>
        <c:scaling>
          <c:orientation val="minMax"/>
        </c:scaling>
        <c:delete val="0"/>
        <c:axPos val="r"/>
        <c:numFmt formatCode="#,##0.0" sourceLinked="1"/>
        <c:majorTickMark val="out"/>
        <c:minorTickMark val="none"/>
        <c:tickLblPos val="nextTo"/>
        <c:crossAx val="-132196320"/>
        <c:crosses val="max"/>
        <c:crossBetween val="between"/>
      </c:valAx>
      <c:catAx>
        <c:axId val="-132196320"/>
        <c:scaling>
          <c:orientation val="minMax"/>
        </c:scaling>
        <c:delete val="1"/>
        <c:axPos val="b"/>
        <c:numFmt formatCode="General" sourceLinked="1"/>
        <c:majorTickMark val="out"/>
        <c:minorTickMark val="none"/>
        <c:tickLblPos val="nextTo"/>
        <c:crossAx val="-132195232"/>
        <c:crosses val="autoZero"/>
        <c:auto val="1"/>
        <c:lblAlgn val="ctr"/>
        <c:lblOffset val="100"/>
        <c:noMultiLvlLbl val="0"/>
      </c:catAx>
    </c:plotArea>
    <c:legend>
      <c:legendPos val="b"/>
      <c:layout>
        <c:manualLayout>
          <c:xMode val="edge"/>
          <c:yMode val="edge"/>
          <c:x val="5.2083333333333336E-2"/>
          <c:y val="0.74517516832135111"/>
          <c:w val="0.92361111111111116"/>
          <c:h val="0.225839324432272"/>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B28C6-BC26-46B0-8E0C-D39509D4F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4030</Words>
  <Characters>22974</Characters>
  <Application>Microsoft Office Word</Application>
  <DocSecurity>0</DocSecurity>
  <Lines>191</Lines>
  <Paragraphs>53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Prof</vt:lpstr>
      <vt:lpstr>Prof</vt:lpstr>
    </vt:vector>
  </TitlesOfParts>
  <Company>efst</Company>
  <LinksUpToDate>false</LinksUpToDate>
  <CharactersWithSpaces>26951</CharactersWithSpaces>
  <SharedDoc>false</SharedDoc>
  <HLinks>
    <vt:vector size="6" baseType="variant">
      <vt:variant>
        <vt:i4>3145847</vt:i4>
      </vt:variant>
      <vt:variant>
        <vt:i4>6</vt:i4>
      </vt:variant>
      <vt:variant>
        <vt:i4>0</vt:i4>
      </vt:variant>
      <vt:variant>
        <vt:i4>5</vt:i4>
      </vt:variant>
      <vt:variant>
        <vt:lpwstr>http://www.nber.org/cycles.html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dc:title>
  <dc:creator>djelatnik</dc:creator>
  <cp:lastModifiedBy>Nataša Kurnoga</cp:lastModifiedBy>
  <cp:revision>3</cp:revision>
  <cp:lastPrinted>2014-09-15T09:09:00Z</cp:lastPrinted>
  <dcterms:created xsi:type="dcterms:W3CDTF">2016-07-23T18:53:00Z</dcterms:created>
  <dcterms:modified xsi:type="dcterms:W3CDTF">2016-07-23T19:00:00Z</dcterms:modified>
</cp:coreProperties>
</file>