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38" w:rsidRPr="00DC1C9B" w:rsidRDefault="001F4FAB">
      <w:pPr>
        <w:jc w:val="center"/>
        <w:rPr>
          <w:b/>
          <w:bCs/>
          <w:sz w:val="28"/>
          <w:szCs w:val="28"/>
          <w:lang w:val="en-GB"/>
        </w:rPr>
      </w:pPr>
      <w:bookmarkStart w:id="0" w:name="_GoBack"/>
      <w:bookmarkEnd w:id="0"/>
      <w:r w:rsidRPr="001F4FAB">
        <w:rPr>
          <w:b/>
          <w:bCs/>
          <w:sz w:val="28"/>
          <w:szCs w:val="28"/>
          <w:lang w:val="en-GB"/>
        </w:rPr>
        <w:t>Analysis of Human Capital Investments, Profitability Ratios and Company’s Features in EU</w:t>
      </w:r>
    </w:p>
    <w:p w:rsidR="00A12454" w:rsidRPr="00CB2C4C" w:rsidRDefault="00A12454" w:rsidP="00A12454">
      <w:pPr>
        <w:rPr>
          <w:b/>
          <w:bCs/>
        </w:rPr>
      </w:pPr>
    </w:p>
    <w:p w:rsidR="00A12454" w:rsidRPr="00CB2C4C" w:rsidRDefault="00A12454" w:rsidP="00A12454">
      <w:pPr>
        <w:rPr>
          <w:b/>
          <w:bCs/>
        </w:rPr>
      </w:pPr>
    </w:p>
    <w:p w:rsidR="00A12454" w:rsidRPr="00CB2C4C" w:rsidRDefault="00A12454" w:rsidP="00A12454">
      <w:pPr>
        <w:pStyle w:val="Heading1"/>
        <w:rPr>
          <w:lang w:val="en-US"/>
        </w:rPr>
      </w:pPr>
      <w:proofErr w:type="spellStart"/>
      <w:r w:rsidRPr="00CB2C4C">
        <w:rPr>
          <w:lang w:val="en-US"/>
        </w:rPr>
        <w:t>Snježana</w:t>
      </w:r>
      <w:proofErr w:type="spellEnd"/>
      <w:r w:rsidRPr="00CB2C4C">
        <w:rPr>
          <w:lang w:val="en-US"/>
        </w:rPr>
        <w:t xml:space="preserve"> </w:t>
      </w:r>
      <w:proofErr w:type="spellStart"/>
      <w:r w:rsidRPr="00CB2C4C">
        <w:rPr>
          <w:lang w:val="en-US"/>
        </w:rPr>
        <w:t>Pivac</w:t>
      </w:r>
      <w:proofErr w:type="spellEnd"/>
      <w:r w:rsidRPr="00CB2C4C">
        <w:rPr>
          <w:rStyle w:val="Heading1Char"/>
          <w:lang w:val="en-US"/>
        </w:rPr>
        <w:t xml:space="preserve"> </w:t>
      </w:r>
      <w:r w:rsidRPr="00CB2C4C">
        <w:rPr>
          <w:rStyle w:val="FootnoteReference"/>
          <w:lang w:val="en-US"/>
        </w:rPr>
        <w:footnoteReference w:id="1"/>
      </w:r>
    </w:p>
    <w:p w:rsidR="00A12454" w:rsidRPr="00CB2C4C" w:rsidRDefault="00A12454" w:rsidP="00A12454">
      <w:pPr>
        <w:jc w:val="center"/>
      </w:pPr>
      <w:r w:rsidRPr="00CB2C4C">
        <w:t>Faculty of Economics, University of Split</w:t>
      </w:r>
    </w:p>
    <w:p w:rsidR="00A12454" w:rsidRPr="00CB2C4C" w:rsidRDefault="00A12454" w:rsidP="00A12454">
      <w:pPr>
        <w:jc w:val="center"/>
        <w:rPr>
          <w:caps/>
        </w:rPr>
      </w:pPr>
      <w:proofErr w:type="spellStart"/>
      <w:r w:rsidRPr="00CB2C4C">
        <w:t>Cvite</w:t>
      </w:r>
      <w:proofErr w:type="spellEnd"/>
      <w:r w:rsidRPr="00CB2C4C">
        <w:t xml:space="preserve"> </w:t>
      </w:r>
      <w:proofErr w:type="spellStart"/>
      <w:r w:rsidRPr="00CB2C4C">
        <w:t>Fiskovića</w:t>
      </w:r>
      <w:proofErr w:type="spellEnd"/>
      <w:r w:rsidRPr="00CB2C4C">
        <w:t xml:space="preserve"> 5, 21000 Split, Croatia</w:t>
      </w:r>
    </w:p>
    <w:p w:rsidR="00A12454" w:rsidRPr="00CB2C4C" w:rsidRDefault="00A12454" w:rsidP="00A12454">
      <w:pPr>
        <w:jc w:val="center"/>
      </w:pPr>
      <w:r w:rsidRPr="00CB2C4C">
        <w:t>E-mail: &lt;spivac@efst.hr&gt;</w:t>
      </w:r>
    </w:p>
    <w:p w:rsidR="00A12454" w:rsidRPr="00CB2C4C" w:rsidRDefault="00A12454" w:rsidP="00A12454">
      <w:pPr>
        <w:jc w:val="center"/>
      </w:pPr>
    </w:p>
    <w:p w:rsidR="00A12454" w:rsidRPr="00CB2C4C" w:rsidRDefault="00A12454" w:rsidP="00A12454">
      <w:pPr>
        <w:pStyle w:val="Heading1"/>
        <w:rPr>
          <w:lang w:val="en-US"/>
        </w:rPr>
      </w:pPr>
      <w:proofErr w:type="spellStart"/>
      <w:r w:rsidRPr="00CB2C4C">
        <w:rPr>
          <w:lang w:val="en-US"/>
        </w:rPr>
        <w:t>Željana</w:t>
      </w:r>
      <w:proofErr w:type="spellEnd"/>
      <w:r w:rsidRPr="00CB2C4C">
        <w:rPr>
          <w:lang w:val="en-US"/>
        </w:rPr>
        <w:t xml:space="preserve"> </w:t>
      </w:r>
      <w:proofErr w:type="spellStart"/>
      <w:r w:rsidRPr="00CB2C4C">
        <w:rPr>
          <w:lang w:val="en-US"/>
        </w:rPr>
        <w:t>Aljinović</w:t>
      </w:r>
      <w:proofErr w:type="spellEnd"/>
      <w:r w:rsidRPr="00CB2C4C">
        <w:rPr>
          <w:lang w:val="en-US"/>
        </w:rPr>
        <w:t xml:space="preserve"> </w:t>
      </w:r>
      <w:proofErr w:type="spellStart"/>
      <w:r w:rsidRPr="00CB2C4C">
        <w:rPr>
          <w:lang w:val="en-US"/>
        </w:rPr>
        <w:t>Barać</w:t>
      </w:r>
      <w:proofErr w:type="spellEnd"/>
    </w:p>
    <w:p w:rsidR="00A12454" w:rsidRPr="00CB2C4C" w:rsidRDefault="00A12454" w:rsidP="00A12454">
      <w:pPr>
        <w:jc w:val="center"/>
      </w:pPr>
      <w:r w:rsidRPr="00CB2C4C">
        <w:t>Faculty of Economics, University of Split</w:t>
      </w:r>
    </w:p>
    <w:p w:rsidR="00A12454" w:rsidRPr="00CB2C4C" w:rsidRDefault="00A12454" w:rsidP="00A12454">
      <w:pPr>
        <w:jc w:val="center"/>
      </w:pPr>
      <w:proofErr w:type="spellStart"/>
      <w:r w:rsidRPr="00CB2C4C">
        <w:t>Cvite</w:t>
      </w:r>
      <w:proofErr w:type="spellEnd"/>
      <w:r w:rsidRPr="00CB2C4C">
        <w:t xml:space="preserve"> </w:t>
      </w:r>
      <w:proofErr w:type="spellStart"/>
      <w:r w:rsidRPr="00CB2C4C">
        <w:t>Fiskovića</w:t>
      </w:r>
      <w:proofErr w:type="spellEnd"/>
      <w:r w:rsidRPr="00CB2C4C">
        <w:t xml:space="preserve"> 5, 21000 Split, Croatia </w:t>
      </w:r>
    </w:p>
    <w:p w:rsidR="00A12454" w:rsidRPr="00CB2C4C" w:rsidRDefault="00A12454" w:rsidP="00A12454">
      <w:pPr>
        <w:jc w:val="center"/>
      </w:pPr>
      <w:r w:rsidRPr="00CB2C4C">
        <w:t>E-mail: &lt;zbarac@efst.hr&gt;</w:t>
      </w:r>
    </w:p>
    <w:p w:rsidR="00A12454" w:rsidRPr="00CB2C4C" w:rsidRDefault="00A12454" w:rsidP="00A12454">
      <w:pPr>
        <w:jc w:val="center"/>
        <w:rPr>
          <w:b/>
          <w:bCs/>
        </w:rPr>
      </w:pPr>
    </w:p>
    <w:p w:rsidR="00A12454" w:rsidRPr="00CB2C4C" w:rsidRDefault="00A12454" w:rsidP="00A12454">
      <w:pPr>
        <w:pStyle w:val="Heading1"/>
        <w:rPr>
          <w:lang w:val="en-US"/>
        </w:rPr>
      </w:pPr>
      <w:r w:rsidRPr="00CB2C4C">
        <w:rPr>
          <w:lang w:val="en-US"/>
        </w:rPr>
        <w:t xml:space="preserve">Ivana </w:t>
      </w:r>
      <w:proofErr w:type="spellStart"/>
      <w:r w:rsidRPr="00CB2C4C">
        <w:rPr>
          <w:lang w:val="en-US"/>
        </w:rPr>
        <w:t>Tadić</w:t>
      </w:r>
      <w:proofErr w:type="spellEnd"/>
    </w:p>
    <w:p w:rsidR="00A12454" w:rsidRPr="00CB2C4C" w:rsidRDefault="00A12454" w:rsidP="00A12454">
      <w:pPr>
        <w:jc w:val="center"/>
      </w:pPr>
      <w:r w:rsidRPr="00CB2C4C">
        <w:t>Faculty of Economics, University of Split</w:t>
      </w:r>
    </w:p>
    <w:p w:rsidR="00A12454" w:rsidRPr="00CB2C4C" w:rsidRDefault="00A12454" w:rsidP="00A12454">
      <w:pPr>
        <w:jc w:val="center"/>
      </w:pPr>
      <w:proofErr w:type="spellStart"/>
      <w:r w:rsidRPr="00CB2C4C">
        <w:t>Cvite</w:t>
      </w:r>
      <w:proofErr w:type="spellEnd"/>
      <w:r w:rsidRPr="00CB2C4C">
        <w:t xml:space="preserve"> </w:t>
      </w:r>
      <w:proofErr w:type="spellStart"/>
      <w:r w:rsidRPr="00CB2C4C">
        <w:t>Fiskovića</w:t>
      </w:r>
      <w:proofErr w:type="spellEnd"/>
      <w:r w:rsidRPr="00CB2C4C">
        <w:t xml:space="preserve"> 5, 21000 Split, Croatia </w:t>
      </w:r>
    </w:p>
    <w:p w:rsidR="00A12454" w:rsidRPr="00CB2C4C" w:rsidRDefault="00A12454" w:rsidP="00A12454">
      <w:pPr>
        <w:jc w:val="center"/>
      </w:pPr>
      <w:r w:rsidRPr="00CB2C4C">
        <w:t>E-mail: &lt;itadic@efst.hr&gt;</w:t>
      </w:r>
    </w:p>
    <w:p w:rsidR="00A12454" w:rsidRPr="00CB2C4C" w:rsidRDefault="00A12454" w:rsidP="00A12454">
      <w:pPr>
        <w:jc w:val="center"/>
        <w:rPr>
          <w:b/>
          <w:bCs/>
        </w:rPr>
      </w:pPr>
    </w:p>
    <w:p w:rsidR="00D5211A" w:rsidRPr="00C81192" w:rsidRDefault="00D5211A" w:rsidP="00D5211A">
      <w:pPr>
        <w:rPr>
          <w:b/>
          <w:bCs/>
          <w:lang w:val="en-GB"/>
        </w:rPr>
      </w:pPr>
      <w:r w:rsidRPr="00C81192">
        <w:rPr>
          <w:b/>
          <w:bCs/>
          <w:lang w:val="en-GB"/>
        </w:rPr>
        <w:t>Abstract</w:t>
      </w:r>
    </w:p>
    <w:p w:rsidR="00D5211A" w:rsidRPr="00C81192" w:rsidRDefault="001F4FAB" w:rsidP="00DA6EBF">
      <w:pPr>
        <w:spacing w:before="120"/>
        <w:jc w:val="both"/>
        <w:rPr>
          <w:sz w:val="22"/>
          <w:szCs w:val="22"/>
        </w:rPr>
      </w:pPr>
      <w:r w:rsidRPr="00F93E6F">
        <w:rPr>
          <w:sz w:val="22"/>
          <w:szCs w:val="22"/>
        </w:rPr>
        <w:t>The main aim of thi</w:t>
      </w:r>
      <w:r>
        <w:rPr>
          <w:sz w:val="22"/>
          <w:szCs w:val="22"/>
        </w:rPr>
        <w:t>s paper is to explore the relations between human capital investments and</w:t>
      </w:r>
      <w:r w:rsidRPr="00F93E6F">
        <w:rPr>
          <w:sz w:val="22"/>
          <w:szCs w:val="22"/>
        </w:rPr>
        <w:t xml:space="preserve"> company’s profitability measured through return on equity </w:t>
      </w:r>
      <w:r>
        <w:rPr>
          <w:sz w:val="22"/>
          <w:szCs w:val="22"/>
        </w:rPr>
        <w:t xml:space="preserve">and profit margin </w:t>
      </w:r>
      <w:r w:rsidRPr="00F93E6F">
        <w:rPr>
          <w:sz w:val="22"/>
          <w:szCs w:val="22"/>
        </w:rPr>
        <w:t>ratio</w:t>
      </w:r>
      <w:r>
        <w:rPr>
          <w:sz w:val="22"/>
          <w:szCs w:val="22"/>
        </w:rPr>
        <w:t>s</w:t>
      </w:r>
      <w:r w:rsidRPr="00F93E6F">
        <w:rPr>
          <w:sz w:val="22"/>
          <w:szCs w:val="22"/>
        </w:rPr>
        <w:t xml:space="preserve"> during the period of five years</w:t>
      </w:r>
      <w:r>
        <w:rPr>
          <w:sz w:val="22"/>
          <w:szCs w:val="22"/>
        </w:rPr>
        <w:t xml:space="preserve"> using panel data analysis</w:t>
      </w:r>
      <w:r w:rsidRPr="00F93E6F">
        <w:rPr>
          <w:sz w:val="22"/>
          <w:szCs w:val="22"/>
        </w:rPr>
        <w:t xml:space="preserve">. </w:t>
      </w:r>
      <w:r>
        <w:rPr>
          <w:sz w:val="22"/>
          <w:szCs w:val="22"/>
        </w:rPr>
        <w:t>Research</w:t>
      </w:r>
      <w:r w:rsidRPr="00F93E6F">
        <w:rPr>
          <w:sz w:val="22"/>
          <w:szCs w:val="22"/>
        </w:rPr>
        <w:t xml:space="preserve"> hypothesis as</w:t>
      </w:r>
      <w:r>
        <w:rPr>
          <w:sz w:val="22"/>
          <w:szCs w:val="22"/>
        </w:rPr>
        <w:t xml:space="preserve">sumes that companies which are more profitable will have higher </w:t>
      </w:r>
      <w:r w:rsidRPr="00F93E6F">
        <w:rPr>
          <w:sz w:val="22"/>
          <w:szCs w:val="22"/>
        </w:rPr>
        <w:t>cost of employee (human capital investment)</w:t>
      </w:r>
      <w:r>
        <w:rPr>
          <w:sz w:val="22"/>
          <w:szCs w:val="22"/>
        </w:rPr>
        <w:t xml:space="preserve"> and </w:t>
      </w:r>
      <w:r w:rsidRPr="00AB5092">
        <w:rPr>
          <w:i/>
          <w:sz w:val="22"/>
          <w:szCs w:val="22"/>
        </w:rPr>
        <w:t>vice versa</w:t>
      </w:r>
      <w:r w:rsidRPr="00F93E6F">
        <w:rPr>
          <w:sz w:val="22"/>
          <w:szCs w:val="22"/>
        </w:rPr>
        <w:t xml:space="preserve">. This specially refers to companies in human capital intensive industry, such as information technology industry, where employees’ knowledge characterizes companies’ </w:t>
      </w:r>
      <w:r w:rsidR="00E81478">
        <w:rPr>
          <w:sz w:val="22"/>
          <w:szCs w:val="22"/>
        </w:rPr>
        <w:t xml:space="preserve">the </w:t>
      </w:r>
      <w:r w:rsidRPr="00F93E6F">
        <w:rPr>
          <w:sz w:val="22"/>
          <w:szCs w:val="22"/>
        </w:rPr>
        <w:t xml:space="preserve">most valuable asset. Thus, it is assumed that those entities will have great proportion of intellectual capital that will be capitalized through trademarks. Furthermore, this paper analyses whether the level of human capital investments significantly differ with regard to company size and listing status. Verification of empirical evidence is provided through the sample of app. 5,000 European Union companies within information technology industry for the 2011-2015 </w:t>
      </w:r>
      <w:proofErr w:type="gramStart"/>
      <w:r w:rsidRPr="00F93E6F">
        <w:rPr>
          <w:sz w:val="22"/>
          <w:szCs w:val="22"/>
        </w:rPr>
        <w:t>period</w:t>
      </w:r>
      <w:proofErr w:type="gramEnd"/>
      <w:r w:rsidRPr="00F93E6F">
        <w:rPr>
          <w:sz w:val="22"/>
          <w:szCs w:val="22"/>
        </w:rPr>
        <w:t>, i.e. app.</w:t>
      </w:r>
      <w:r>
        <w:rPr>
          <w:sz w:val="22"/>
          <w:szCs w:val="22"/>
        </w:rPr>
        <w:t xml:space="preserve"> </w:t>
      </w:r>
      <w:r w:rsidRPr="00F93E6F">
        <w:rPr>
          <w:sz w:val="22"/>
          <w:szCs w:val="22"/>
        </w:rPr>
        <w:t>25,000 company-year observations</w:t>
      </w:r>
      <w:r>
        <w:rPr>
          <w:sz w:val="22"/>
          <w:szCs w:val="22"/>
        </w:rPr>
        <w:t xml:space="preserve"> using adequate panel data analysis technique</w:t>
      </w:r>
      <w:r w:rsidRPr="00F93E6F">
        <w:rPr>
          <w:sz w:val="22"/>
          <w:szCs w:val="22"/>
        </w:rPr>
        <w:t>.</w:t>
      </w:r>
    </w:p>
    <w:p w:rsidR="00D5211A" w:rsidRPr="00D5211A" w:rsidRDefault="00D5211A" w:rsidP="00C956C2">
      <w:pPr>
        <w:jc w:val="center"/>
        <w:rPr>
          <w:b/>
          <w:bCs/>
        </w:rPr>
      </w:pPr>
    </w:p>
    <w:p w:rsidR="00DC1C9B" w:rsidRDefault="00DC1C9B" w:rsidP="00C956C2">
      <w:pPr>
        <w:jc w:val="both"/>
        <w:rPr>
          <w:i/>
          <w:iCs/>
          <w:lang w:val="en-GB"/>
        </w:rPr>
      </w:pPr>
      <w:r w:rsidRPr="00DC1C9B">
        <w:rPr>
          <w:b/>
          <w:bCs/>
          <w:lang w:val="en-GB"/>
        </w:rPr>
        <w:t xml:space="preserve">Keywords: </w:t>
      </w:r>
      <w:r w:rsidRPr="00DC1C9B">
        <w:rPr>
          <w:b/>
          <w:bCs/>
          <w:lang w:val="en-GB"/>
        </w:rPr>
        <w:tab/>
      </w:r>
      <w:r w:rsidR="00C10707" w:rsidRPr="00C10707">
        <w:rPr>
          <w:i/>
          <w:iCs/>
          <w:lang w:val="en-GB"/>
        </w:rPr>
        <w:t>panel analysis, human capital investments, return on equity, listing status, EU</w:t>
      </w:r>
    </w:p>
    <w:p w:rsidR="001760F5" w:rsidRDefault="001760F5" w:rsidP="00C956C2">
      <w:pPr>
        <w:jc w:val="both"/>
        <w:rPr>
          <w:i/>
          <w:iCs/>
          <w:lang w:val="en-GB"/>
        </w:rPr>
      </w:pPr>
    </w:p>
    <w:p w:rsidR="001760F5" w:rsidRPr="001760F5" w:rsidRDefault="001760F5" w:rsidP="001760F5">
      <w:pPr>
        <w:jc w:val="center"/>
        <w:rPr>
          <w:iCs/>
          <w:lang w:val="en-GB"/>
        </w:rPr>
      </w:pPr>
      <w:r>
        <w:rPr>
          <w:iCs/>
          <w:lang w:val="en-GB"/>
        </w:rPr>
        <w:t xml:space="preserve">Received: xx </w:t>
      </w:r>
      <w:proofErr w:type="spellStart"/>
      <w:r>
        <w:rPr>
          <w:iCs/>
          <w:lang w:val="en-GB"/>
        </w:rPr>
        <w:t>xx</w:t>
      </w:r>
      <w:proofErr w:type="spellEnd"/>
      <w:r>
        <w:rPr>
          <w:iCs/>
          <w:lang w:val="en-GB"/>
        </w:rPr>
        <w:t xml:space="preserve">, 201x; accepted: </w:t>
      </w:r>
      <w:proofErr w:type="spellStart"/>
      <w:r>
        <w:rPr>
          <w:iCs/>
          <w:lang w:val="en-GB"/>
        </w:rPr>
        <w:t>yy</w:t>
      </w:r>
      <w:proofErr w:type="spellEnd"/>
      <w:r>
        <w:rPr>
          <w:iCs/>
          <w:lang w:val="en-GB"/>
        </w:rPr>
        <w:t xml:space="preserve"> </w:t>
      </w:r>
      <w:proofErr w:type="spellStart"/>
      <w:r>
        <w:rPr>
          <w:iCs/>
          <w:lang w:val="en-GB"/>
        </w:rPr>
        <w:t>yy</w:t>
      </w:r>
      <w:proofErr w:type="spellEnd"/>
      <w:r>
        <w:rPr>
          <w:iCs/>
          <w:lang w:val="en-GB"/>
        </w:rPr>
        <w:t xml:space="preserve"> 201x; available online: </w:t>
      </w:r>
      <w:proofErr w:type="spellStart"/>
      <w:r>
        <w:rPr>
          <w:iCs/>
          <w:lang w:val="en-GB"/>
        </w:rPr>
        <w:t>zz</w:t>
      </w:r>
      <w:proofErr w:type="spellEnd"/>
      <w:r>
        <w:rPr>
          <w:iCs/>
          <w:lang w:val="en-GB"/>
        </w:rPr>
        <w:t xml:space="preserve"> </w:t>
      </w:r>
      <w:proofErr w:type="spellStart"/>
      <w:r>
        <w:rPr>
          <w:iCs/>
          <w:lang w:val="en-GB"/>
        </w:rPr>
        <w:t>zz</w:t>
      </w:r>
      <w:proofErr w:type="spellEnd"/>
      <w:r>
        <w:rPr>
          <w:iCs/>
          <w:lang w:val="en-GB"/>
        </w:rPr>
        <w:t>; 201x</w:t>
      </w:r>
    </w:p>
    <w:p w:rsidR="00CE6038" w:rsidRDefault="00CE6038" w:rsidP="00C956C2">
      <w:pPr>
        <w:pBdr>
          <w:bottom w:val="single" w:sz="6" w:space="1" w:color="auto"/>
        </w:pBdr>
        <w:jc w:val="both"/>
        <w:rPr>
          <w:b/>
          <w:bCs/>
          <w:lang w:val="en-GB"/>
        </w:rPr>
      </w:pPr>
    </w:p>
    <w:p w:rsidR="008460EB" w:rsidRDefault="008460EB" w:rsidP="008460EB">
      <w:pPr>
        <w:autoSpaceDE w:val="0"/>
        <w:autoSpaceDN w:val="0"/>
        <w:adjustRightInd w:val="0"/>
        <w:jc w:val="both"/>
        <w:rPr>
          <w:b/>
          <w:color w:val="FF0000"/>
          <w:sz w:val="22"/>
          <w:szCs w:val="22"/>
        </w:rPr>
      </w:pPr>
    </w:p>
    <w:p w:rsidR="008031CD" w:rsidRDefault="008031CD">
      <w:pPr>
        <w:jc w:val="both"/>
        <w:rPr>
          <w:lang w:val="en-GB"/>
        </w:rPr>
      </w:pPr>
    </w:p>
    <w:p w:rsidR="006A1580" w:rsidRDefault="006A1580" w:rsidP="006A1580">
      <w:pPr>
        <w:pStyle w:val="ListParagraph"/>
        <w:numPr>
          <w:ilvl w:val="0"/>
          <w:numId w:val="20"/>
        </w:numPr>
        <w:autoSpaceDE w:val="0"/>
        <w:autoSpaceDN w:val="0"/>
        <w:adjustRightInd w:val="0"/>
        <w:rPr>
          <w:b/>
          <w:sz w:val="28"/>
          <w:szCs w:val="28"/>
          <w:lang w:val="hr-HR" w:eastAsia="hr-HR"/>
        </w:rPr>
      </w:pPr>
      <w:proofErr w:type="spellStart"/>
      <w:r w:rsidRPr="006A1580">
        <w:rPr>
          <w:b/>
          <w:sz w:val="28"/>
          <w:szCs w:val="28"/>
          <w:lang w:val="hr-HR" w:eastAsia="hr-HR"/>
        </w:rPr>
        <w:t>Introduction</w:t>
      </w:r>
      <w:proofErr w:type="spellEnd"/>
    </w:p>
    <w:p w:rsidR="008031CD" w:rsidRPr="008031CD" w:rsidRDefault="008031CD" w:rsidP="008031CD">
      <w:pPr>
        <w:autoSpaceDE w:val="0"/>
        <w:autoSpaceDN w:val="0"/>
        <w:adjustRightInd w:val="0"/>
        <w:ind w:left="360"/>
        <w:rPr>
          <w:b/>
          <w:sz w:val="28"/>
          <w:szCs w:val="28"/>
          <w:lang w:val="hr-HR" w:eastAsia="hr-HR"/>
        </w:rPr>
      </w:pPr>
    </w:p>
    <w:p w:rsidR="00EF5637" w:rsidRDefault="008031CD" w:rsidP="00EF5637">
      <w:pPr>
        <w:autoSpaceDE w:val="0"/>
        <w:autoSpaceDN w:val="0"/>
        <w:adjustRightInd w:val="0"/>
        <w:spacing w:before="120"/>
        <w:jc w:val="both"/>
      </w:pPr>
      <w:r>
        <w:t>Every company performing its own business depends on all types of resources, such as: physical, financial, information and finally human resources</w:t>
      </w:r>
      <w:r w:rsidR="00626270">
        <w:t xml:space="preserve"> (HR)</w:t>
      </w:r>
      <w:r>
        <w:t>. The latter one represent the most important company’s resource</w:t>
      </w:r>
      <w:r w:rsidR="00F3090E">
        <w:t xml:space="preserve"> due to its unique characteristics and ability to create, manage and innovate all organizational process, i.e. becoming </w:t>
      </w:r>
      <w:r w:rsidR="00701520">
        <w:t xml:space="preserve">company’s </w:t>
      </w:r>
      <w:r w:rsidR="00F3090E">
        <w:t>crucial  capital.</w:t>
      </w:r>
      <w:r w:rsidR="005A196D">
        <w:t xml:space="preserve"> Human capital </w:t>
      </w:r>
      <w:r w:rsidR="001768D1">
        <w:t xml:space="preserve">(HC) </w:t>
      </w:r>
      <w:r w:rsidR="005A196D">
        <w:t xml:space="preserve">assumes a very important role in the process of economic growth. Taking into consideration the influence of </w:t>
      </w:r>
      <w:r w:rsidR="001768D1">
        <w:t>HC</w:t>
      </w:r>
      <w:r w:rsidR="005A196D">
        <w:t xml:space="preserve"> on company’s performance and economic growth, many experts, especially in the last decades have done researches investigating the </w:t>
      </w:r>
      <w:r w:rsidR="005A196D">
        <w:lastRenderedPageBreak/>
        <w:t>specified relations.</w:t>
      </w:r>
      <w:r w:rsidR="00EF5637">
        <w:t xml:space="preserve"> M</w:t>
      </w:r>
      <w:r w:rsidR="00EF5637" w:rsidRPr="00E23AB8">
        <w:t>any of those</w:t>
      </w:r>
      <w:r w:rsidR="00EF5637">
        <w:t xml:space="preserve"> </w:t>
      </w:r>
      <w:r w:rsidR="00EF5637" w:rsidRPr="00E23AB8">
        <w:t xml:space="preserve">were investigating the relationship between human capital investments (mostly measured through </w:t>
      </w:r>
      <w:r w:rsidR="00EF5637">
        <w:t>employee</w:t>
      </w:r>
      <w:r w:rsidR="00EF5637" w:rsidRPr="00E23AB8">
        <w:t xml:space="preserve"> </w:t>
      </w:r>
      <w:r w:rsidR="00CA263E">
        <w:t>expenditures</w:t>
      </w:r>
      <w:r w:rsidR="00EF5637">
        <w:t xml:space="preserve"> or </w:t>
      </w:r>
      <w:r w:rsidR="00EF5637" w:rsidRPr="00E23AB8">
        <w:t xml:space="preserve">educational </w:t>
      </w:r>
      <w:r w:rsidR="00EF5637">
        <w:t>and</w:t>
      </w:r>
      <w:r w:rsidR="00EF5637" w:rsidRPr="00E23AB8">
        <w:t xml:space="preserve"> training characteristics of employees) and </w:t>
      </w:r>
      <w:r w:rsidR="00EF5637">
        <w:t xml:space="preserve">companies’ </w:t>
      </w:r>
      <w:r w:rsidR="00EF5637" w:rsidRPr="00E23AB8">
        <w:t xml:space="preserve">performances (usually financial </w:t>
      </w:r>
      <w:r w:rsidR="00EF5637">
        <w:t>ones)</w:t>
      </w:r>
      <w:r w:rsidR="00EF5637" w:rsidRPr="00E23AB8">
        <w:t>.</w:t>
      </w:r>
    </w:p>
    <w:p w:rsidR="00EF5637" w:rsidRPr="00160F52" w:rsidRDefault="00EF5637" w:rsidP="00EF5637">
      <w:pPr>
        <w:autoSpaceDE w:val="0"/>
        <w:autoSpaceDN w:val="0"/>
        <w:adjustRightInd w:val="0"/>
        <w:spacing w:before="120"/>
        <w:jc w:val="both"/>
      </w:pPr>
      <w:r w:rsidRPr="00160F52">
        <w:t xml:space="preserve">Similarly, the main aim of this paper is to explore the relations between </w:t>
      </w:r>
      <w:r w:rsidR="00626270">
        <w:t>HC</w:t>
      </w:r>
      <w:r w:rsidRPr="00160F52">
        <w:t xml:space="preserve"> investments (measure through individual annual salary) and company’s profitability (measured through return on equity and profit margin ratios) in European Union</w:t>
      </w:r>
      <w:r w:rsidR="00626270">
        <w:t xml:space="preserve"> (EU)</w:t>
      </w:r>
      <w:r w:rsidRPr="00160F52">
        <w:t xml:space="preserve"> during the period of five years</w:t>
      </w:r>
      <w:r w:rsidR="001C0862" w:rsidRPr="00160F52">
        <w:t xml:space="preserve"> (2011-2015)</w:t>
      </w:r>
      <w:r w:rsidRPr="00160F52">
        <w:t xml:space="preserve">. </w:t>
      </w:r>
      <w:r w:rsidR="002F7B41" w:rsidRPr="00160F52">
        <w:t xml:space="preserve">The data for this research were obtained from Bureau Van </w:t>
      </w:r>
      <w:proofErr w:type="spellStart"/>
      <w:r w:rsidR="002F7B41" w:rsidRPr="00160F52">
        <w:t>Dijk</w:t>
      </w:r>
      <w:proofErr w:type="spellEnd"/>
      <w:r w:rsidR="002F7B41" w:rsidRPr="00160F52">
        <w:t xml:space="preserve"> Amadeus database </w:t>
      </w:r>
      <w:r w:rsidR="002F7B41" w:rsidRPr="00160F52">
        <w:rPr>
          <w:color w:val="000000"/>
          <w:lang w:val="en-GB"/>
        </w:rPr>
        <w:t>of comparable financial information for public and private companies across Europe</w:t>
      </w:r>
      <w:r w:rsidR="008511BB">
        <w:rPr>
          <w:color w:val="000000"/>
          <w:lang w:val="en-GB"/>
        </w:rPr>
        <w:t>.</w:t>
      </w:r>
      <w:r w:rsidR="002F7B41" w:rsidRPr="00160F52">
        <w:t xml:space="preserve"> </w:t>
      </w:r>
      <w:r w:rsidRPr="00160F52">
        <w:t xml:space="preserve">The research is based on information technology industry, where employees’ knowledge characterizes companies’ </w:t>
      </w:r>
      <w:r w:rsidR="00626270">
        <w:t xml:space="preserve">the </w:t>
      </w:r>
      <w:r w:rsidRPr="00160F52">
        <w:t>most valuable asset</w:t>
      </w:r>
      <w:r w:rsidR="00CB6015" w:rsidRPr="00160F52">
        <w:t>, with more than 25,000 company-year observations</w:t>
      </w:r>
      <w:r w:rsidRPr="00160F52">
        <w:t xml:space="preserve">. Thus, it is assumed that those entities will have great proportion of intellectual capital that will be capitalized through trademarks. Furthermore, this paper analyses whether the level of </w:t>
      </w:r>
      <w:r w:rsidR="001768D1">
        <w:t>HC</w:t>
      </w:r>
      <w:r w:rsidRPr="00160F52">
        <w:t xml:space="preserve"> investments significantly differ with regard to company size and listing status.</w:t>
      </w:r>
      <w:r w:rsidR="00CB6015" w:rsidRPr="00160F52">
        <w:t xml:space="preserve"> </w:t>
      </w:r>
      <w:r w:rsidR="001C0862" w:rsidRPr="00160F52">
        <w:t xml:space="preserve">The authors use panel data analysis in order to test </w:t>
      </w:r>
      <w:r w:rsidR="008511BB">
        <w:t xml:space="preserve">stated </w:t>
      </w:r>
      <w:r w:rsidR="001C0862" w:rsidRPr="00160F52">
        <w:t xml:space="preserve">hypothesis. </w:t>
      </w:r>
    </w:p>
    <w:p w:rsidR="006A1580" w:rsidRDefault="006A1580" w:rsidP="00F3090E">
      <w:pPr>
        <w:pStyle w:val="ListParagraph"/>
        <w:autoSpaceDE w:val="0"/>
        <w:autoSpaceDN w:val="0"/>
        <w:adjustRightInd w:val="0"/>
        <w:ind w:left="0"/>
        <w:jc w:val="both"/>
      </w:pPr>
    </w:p>
    <w:p w:rsidR="006A1580" w:rsidRDefault="00302D2C" w:rsidP="006A1580">
      <w:pPr>
        <w:pStyle w:val="ListParagraph"/>
        <w:numPr>
          <w:ilvl w:val="0"/>
          <w:numId w:val="20"/>
        </w:numPr>
        <w:autoSpaceDE w:val="0"/>
        <w:autoSpaceDN w:val="0"/>
        <w:adjustRightInd w:val="0"/>
        <w:rPr>
          <w:b/>
          <w:sz w:val="28"/>
          <w:szCs w:val="28"/>
          <w:lang w:val="hr-HR" w:eastAsia="hr-HR"/>
        </w:rPr>
      </w:pPr>
      <w:r w:rsidRPr="004D40BA">
        <w:rPr>
          <w:b/>
          <w:sz w:val="28"/>
          <w:szCs w:val="28"/>
          <w:lang w:eastAsia="hr-HR"/>
        </w:rPr>
        <w:t xml:space="preserve">Theoretical </w:t>
      </w:r>
      <w:r w:rsidR="004D40BA" w:rsidRPr="004D40BA">
        <w:rPr>
          <w:b/>
          <w:sz w:val="28"/>
          <w:szCs w:val="28"/>
          <w:lang w:eastAsia="hr-HR"/>
        </w:rPr>
        <w:t>Background</w:t>
      </w:r>
    </w:p>
    <w:p w:rsidR="008031CD" w:rsidRDefault="008031CD" w:rsidP="008031CD">
      <w:pPr>
        <w:pStyle w:val="ListParagraph"/>
        <w:autoSpaceDE w:val="0"/>
        <w:autoSpaceDN w:val="0"/>
        <w:adjustRightInd w:val="0"/>
        <w:ind w:left="720"/>
        <w:rPr>
          <w:b/>
          <w:sz w:val="28"/>
          <w:szCs w:val="28"/>
          <w:lang w:val="hr-HR" w:eastAsia="hr-HR"/>
        </w:rPr>
      </w:pPr>
    </w:p>
    <w:p w:rsidR="00F659CF" w:rsidRDefault="00F659CF" w:rsidP="00F659CF">
      <w:pPr>
        <w:pStyle w:val="ListParagraph"/>
        <w:numPr>
          <w:ilvl w:val="1"/>
          <w:numId w:val="20"/>
        </w:numPr>
        <w:autoSpaceDE w:val="0"/>
        <w:autoSpaceDN w:val="0"/>
        <w:adjustRightInd w:val="0"/>
        <w:jc w:val="both"/>
        <w:rPr>
          <w:b/>
        </w:rPr>
      </w:pPr>
      <w:r>
        <w:rPr>
          <w:b/>
        </w:rPr>
        <w:t>Definition of human capital</w:t>
      </w:r>
    </w:p>
    <w:p w:rsidR="00F659CF" w:rsidRPr="00F659CF" w:rsidRDefault="00F659CF" w:rsidP="00F659CF">
      <w:pPr>
        <w:pStyle w:val="ListParagraph"/>
        <w:rPr>
          <w:b/>
          <w:sz w:val="28"/>
          <w:szCs w:val="28"/>
          <w:lang w:val="hr-HR" w:eastAsia="hr-HR"/>
        </w:rPr>
      </w:pPr>
    </w:p>
    <w:p w:rsidR="00F659CF" w:rsidRDefault="00F3090E" w:rsidP="00F659CF">
      <w:pPr>
        <w:autoSpaceDE w:val="0"/>
        <w:autoSpaceDN w:val="0"/>
        <w:adjustRightInd w:val="0"/>
        <w:spacing w:before="120"/>
        <w:jc w:val="both"/>
      </w:pPr>
      <w:r>
        <w:t xml:space="preserve">Human resources </w:t>
      </w:r>
      <w:r w:rsidR="00F659CF">
        <w:t>represent the most important company</w:t>
      </w:r>
      <w:r w:rsidR="00177084">
        <w:t>’s</w:t>
      </w:r>
      <w:r w:rsidR="00326DD5">
        <w:t xml:space="preserve"> resource</w:t>
      </w:r>
      <w:r w:rsidR="00177084">
        <w:t>s</w:t>
      </w:r>
      <w:r w:rsidR="00326DD5">
        <w:t>, knowing the fact</w:t>
      </w:r>
      <w:r w:rsidR="00F659CF">
        <w:t xml:space="preserve"> </w:t>
      </w:r>
      <w:r w:rsidR="00326DD5">
        <w:t>that</w:t>
      </w:r>
      <w:r w:rsidR="00326DD5" w:rsidRPr="00326DD5">
        <w:t xml:space="preserve"> </w:t>
      </w:r>
      <w:r w:rsidR="00177084">
        <w:t>those are</w:t>
      </w:r>
      <w:r w:rsidR="00326DD5" w:rsidRPr="00326DD5">
        <w:t xml:space="preserve"> valuable, exceptional and very difficult to imitate</w:t>
      </w:r>
      <w:r w:rsidR="00326DD5">
        <w:t>,</w:t>
      </w:r>
      <w:r w:rsidR="00326DD5" w:rsidRPr="00326DD5">
        <w:t xml:space="preserve"> according to </w:t>
      </w:r>
      <w:r w:rsidR="00177084">
        <w:t>their</w:t>
      </w:r>
      <w:r w:rsidR="00326DD5" w:rsidRPr="00326DD5">
        <w:t xml:space="preserve"> specificities </w:t>
      </w:r>
      <w:r w:rsidR="00177084">
        <w:t xml:space="preserve">such </w:t>
      </w:r>
      <w:r w:rsidR="00326DD5" w:rsidRPr="00326DD5">
        <w:t xml:space="preserve">as knowledge, special experience, skills, abilities or emotional intelligence </w:t>
      </w:r>
      <w:r w:rsidR="00910581" w:rsidRPr="008E7597">
        <w:rPr>
          <w:lang w:val="en-GB" w:eastAsia="hr-HR"/>
        </w:rPr>
        <w:t>[5].</w:t>
      </w:r>
      <w:r w:rsidR="00910581" w:rsidRPr="008E7597">
        <w:t xml:space="preserve"> </w:t>
      </w:r>
      <w:r w:rsidR="00177084" w:rsidRPr="008E7597">
        <w:t xml:space="preserve">Furthermore, its importance is evidenced through </w:t>
      </w:r>
      <w:r w:rsidR="00F659CF" w:rsidRPr="008E7597">
        <w:t xml:space="preserve">managing and directing all other </w:t>
      </w:r>
      <w:r w:rsidR="00177084" w:rsidRPr="008E7597">
        <w:t>groups of</w:t>
      </w:r>
      <w:r w:rsidR="00177084">
        <w:t xml:space="preserve"> </w:t>
      </w:r>
      <w:r w:rsidR="00F659CF">
        <w:t xml:space="preserve">resources and </w:t>
      </w:r>
      <w:r w:rsidR="00177084">
        <w:t xml:space="preserve">finally creating </w:t>
      </w:r>
      <w:r w:rsidR="00F659CF">
        <w:t>company’s competitive advantage, innovating and modernizing organizational process</w:t>
      </w:r>
      <w:r w:rsidR="00376558">
        <w:t xml:space="preserve">, reinforcing overall organizational success </w:t>
      </w:r>
      <w:r w:rsidR="00F659CF">
        <w:t>or just becoming company’s the most important capital</w:t>
      </w:r>
      <w:r w:rsidR="00326DD5">
        <w:t>, human capital</w:t>
      </w:r>
      <w:r w:rsidR="00F659CF">
        <w:t xml:space="preserve">. </w:t>
      </w:r>
    </w:p>
    <w:p w:rsidR="00F659CF" w:rsidRDefault="00326DD5" w:rsidP="00F659CF">
      <w:pPr>
        <w:autoSpaceDE w:val="0"/>
        <w:autoSpaceDN w:val="0"/>
        <w:adjustRightInd w:val="0"/>
        <w:spacing w:before="120"/>
        <w:jc w:val="both"/>
      </w:pPr>
      <w:r>
        <w:t xml:space="preserve">According to different authors </w:t>
      </w:r>
      <w:r w:rsidR="008E7597">
        <w:t>HC</w:t>
      </w:r>
      <w:r>
        <w:t xml:space="preserve"> includes employees with a set of individual and collective knowledge, skills, abilities, attitudes, possibilities, behavior and emotions. </w:t>
      </w:r>
      <w:r w:rsidR="00F3090E">
        <w:t>Also,</w:t>
      </w:r>
      <w:r>
        <w:t xml:space="preserve"> it includes the know-how, capabilities</w:t>
      </w:r>
      <w:r w:rsidR="00F3090E">
        <w:t xml:space="preserve"> and</w:t>
      </w:r>
      <w:r>
        <w:t xml:space="preserve"> expertise of the individual</w:t>
      </w:r>
      <w:r w:rsidR="00F3090E">
        <w:t>s</w:t>
      </w:r>
      <w:r>
        <w:t xml:space="preserve"> of an organization </w:t>
      </w:r>
      <w:r w:rsidR="00910581" w:rsidRPr="0026554C">
        <w:rPr>
          <w:lang w:val="en-GB" w:eastAsia="hr-HR"/>
        </w:rPr>
        <w:t>[</w:t>
      </w:r>
      <w:r w:rsidR="00641C5E">
        <w:rPr>
          <w:lang w:val="en-GB" w:eastAsia="hr-HR"/>
        </w:rPr>
        <w:t>10</w:t>
      </w:r>
      <w:r w:rsidR="007C33B3">
        <w:rPr>
          <w:lang w:val="en-GB" w:eastAsia="hr-HR"/>
        </w:rPr>
        <w:t>], [1</w:t>
      </w:r>
      <w:r w:rsidR="00641C5E">
        <w:rPr>
          <w:lang w:val="en-GB" w:eastAsia="hr-HR"/>
        </w:rPr>
        <w:t>1</w:t>
      </w:r>
      <w:r w:rsidR="007C33B3">
        <w:rPr>
          <w:lang w:val="en-GB" w:eastAsia="hr-HR"/>
        </w:rPr>
        <w:t>]</w:t>
      </w:r>
      <w:r w:rsidR="00910581">
        <w:rPr>
          <w:lang w:val="en-GB" w:eastAsia="hr-HR"/>
        </w:rPr>
        <w:t>,</w:t>
      </w:r>
      <w:r w:rsidR="007C33B3">
        <w:rPr>
          <w:lang w:val="en-GB" w:eastAsia="hr-HR"/>
        </w:rPr>
        <w:t xml:space="preserve"> </w:t>
      </w:r>
      <w:r w:rsidR="00910581">
        <w:rPr>
          <w:lang w:val="en-GB" w:eastAsia="hr-HR"/>
        </w:rPr>
        <w:t>[1</w:t>
      </w:r>
      <w:r w:rsidR="00641C5E">
        <w:rPr>
          <w:lang w:val="en-GB" w:eastAsia="hr-HR"/>
        </w:rPr>
        <w:t>6</w:t>
      </w:r>
      <w:r w:rsidR="00910581" w:rsidRPr="0026554C">
        <w:rPr>
          <w:lang w:val="en-GB" w:eastAsia="hr-HR"/>
        </w:rPr>
        <w:t>].</w:t>
      </w:r>
      <w:r w:rsidR="00376558">
        <w:t xml:space="preserve"> </w:t>
      </w:r>
      <w:r w:rsidR="008E7597">
        <w:t>HC</w:t>
      </w:r>
      <w:r>
        <w:t xml:space="preserve"> can be observed from </w:t>
      </w:r>
      <w:r w:rsidR="008E7597">
        <w:t xml:space="preserve">the </w:t>
      </w:r>
      <w:r>
        <w:t xml:space="preserve">social, but </w:t>
      </w:r>
      <w:r w:rsidR="008E7597">
        <w:t>also</w:t>
      </w:r>
      <w:r>
        <w:t xml:space="preserve"> from the economical aspect for each company.</w:t>
      </w:r>
      <w:r w:rsidR="00376558">
        <w:t xml:space="preserve"> The overall definition of </w:t>
      </w:r>
      <w:r w:rsidR="008E7597">
        <w:t>HC</w:t>
      </w:r>
      <w:r w:rsidR="00376558">
        <w:t xml:space="preserve"> can be summarized as it is the result of investments and accumulation of education, skills, abilities, motivation, energy or cultural </w:t>
      </w:r>
      <w:r w:rsidR="00BB7D27">
        <w:t>development which create group of people used in the sphere of public reproduction, promot</w:t>
      </w:r>
      <w:r w:rsidR="00404688">
        <w:t>ing</w:t>
      </w:r>
      <w:r w:rsidR="00BB7D27">
        <w:t xml:space="preserve"> economic growth and influenc</w:t>
      </w:r>
      <w:r w:rsidR="00404688">
        <w:t>ing</w:t>
      </w:r>
      <w:r w:rsidR="00BB7D27">
        <w:t xml:space="preserve"> the size of income of their owner </w:t>
      </w:r>
      <w:r w:rsidR="00910581" w:rsidRPr="0026554C">
        <w:rPr>
          <w:lang w:val="en-GB" w:eastAsia="hr-HR"/>
        </w:rPr>
        <w:t>[</w:t>
      </w:r>
      <w:r w:rsidR="00910581">
        <w:rPr>
          <w:lang w:val="en-GB" w:eastAsia="hr-HR"/>
        </w:rPr>
        <w:t>1</w:t>
      </w:r>
      <w:r w:rsidR="00641C5E">
        <w:rPr>
          <w:lang w:val="en-GB" w:eastAsia="hr-HR"/>
        </w:rPr>
        <w:t>9</w:t>
      </w:r>
      <w:r w:rsidR="00910581" w:rsidRPr="0026554C">
        <w:rPr>
          <w:lang w:val="en-GB" w:eastAsia="hr-HR"/>
        </w:rPr>
        <w:t>].</w:t>
      </w:r>
    </w:p>
    <w:p w:rsidR="00F659CF" w:rsidRDefault="00F659CF" w:rsidP="00F659CF">
      <w:pPr>
        <w:pStyle w:val="ListParagraph"/>
        <w:autoSpaceDE w:val="0"/>
        <w:autoSpaceDN w:val="0"/>
        <w:adjustRightInd w:val="0"/>
        <w:ind w:left="720"/>
        <w:rPr>
          <w:b/>
          <w:sz w:val="28"/>
          <w:szCs w:val="28"/>
          <w:lang w:val="hr-HR" w:eastAsia="hr-HR"/>
        </w:rPr>
      </w:pPr>
    </w:p>
    <w:p w:rsidR="00E23AB8" w:rsidRDefault="00E23AB8" w:rsidP="00E23AB8">
      <w:pPr>
        <w:pStyle w:val="ListParagraph"/>
        <w:numPr>
          <w:ilvl w:val="1"/>
          <w:numId w:val="20"/>
        </w:numPr>
        <w:autoSpaceDE w:val="0"/>
        <w:autoSpaceDN w:val="0"/>
        <w:adjustRightInd w:val="0"/>
        <w:jc w:val="both"/>
        <w:rPr>
          <w:b/>
        </w:rPr>
      </w:pPr>
      <w:r>
        <w:rPr>
          <w:b/>
        </w:rPr>
        <w:t>Previous research review</w:t>
      </w:r>
    </w:p>
    <w:p w:rsidR="00E23AB8" w:rsidRDefault="00E23AB8" w:rsidP="00E23AB8">
      <w:pPr>
        <w:pStyle w:val="ListParagraph"/>
        <w:autoSpaceDE w:val="0"/>
        <w:autoSpaceDN w:val="0"/>
        <w:adjustRightInd w:val="0"/>
        <w:ind w:left="720"/>
        <w:jc w:val="both"/>
        <w:rPr>
          <w:b/>
        </w:rPr>
      </w:pPr>
    </w:p>
    <w:p w:rsidR="001725B7" w:rsidRDefault="001725B7" w:rsidP="00E23AB8">
      <w:pPr>
        <w:autoSpaceDE w:val="0"/>
        <w:autoSpaceDN w:val="0"/>
        <w:adjustRightInd w:val="0"/>
        <w:spacing w:before="120"/>
        <w:jc w:val="both"/>
      </w:pPr>
      <w:r>
        <w:t xml:space="preserve">Some </w:t>
      </w:r>
      <w:r w:rsidR="00CA263E">
        <w:t xml:space="preserve">of the previous </w:t>
      </w:r>
      <w:r>
        <w:t xml:space="preserve">researches have been conducted investigating the importance of </w:t>
      </w:r>
      <w:r w:rsidR="001768D1">
        <w:t>HC</w:t>
      </w:r>
      <w:r>
        <w:t xml:space="preserve"> between high technology oriented companies and those traditional ones. One of </w:t>
      </w:r>
      <w:r w:rsidR="00CA263E">
        <w:t>them</w:t>
      </w:r>
      <w:r>
        <w:t xml:space="preserve"> </w:t>
      </w:r>
      <w:r w:rsidRPr="001725B7">
        <w:t xml:space="preserve">confirmed that high technology </w:t>
      </w:r>
      <w:r>
        <w:t>companies</w:t>
      </w:r>
      <w:r w:rsidRPr="001725B7">
        <w:t xml:space="preserve"> had significantly higher level of </w:t>
      </w:r>
      <w:r>
        <w:t xml:space="preserve">all components of </w:t>
      </w:r>
      <w:r w:rsidRPr="001725B7">
        <w:t xml:space="preserve">intellectual capital </w:t>
      </w:r>
      <w:r>
        <w:t>(</w:t>
      </w:r>
      <w:r w:rsidRPr="001725B7">
        <w:t>customer, structural and human capital) than traditional companies</w:t>
      </w:r>
      <w:r>
        <w:t xml:space="preserve"> </w:t>
      </w:r>
      <w:r w:rsidR="00910581" w:rsidRPr="0026554C">
        <w:rPr>
          <w:lang w:val="en-GB" w:eastAsia="hr-HR"/>
        </w:rPr>
        <w:t>[</w:t>
      </w:r>
      <w:r w:rsidR="00910581">
        <w:rPr>
          <w:lang w:val="en-GB" w:eastAsia="hr-HR"/>
        </w:rPr>
        <w:t>1</w:t>
      </w:r>
      <w:r w:rsidR="008D329E">
        <w:rPr>
          <w:lang w:val="en-GB" w:eastAsia="hr-HR"/>
        </w:rPr>
        <w:t>6</w:t>
      </w:r>
      <w:r w:rsidR="00910581" w:rsidRPr="0026554C">
        <w:rPr>
          <w:lang w:val="en-GB" w:eastAsia="hr-HR"/>
        </w:rPr>
        <w:t>].</w:t>
      </w:r>
      <w:r w:rsidR="00910581" w:rsidRPr="00CA263E">
        <w:rPr>
          <w:highlight w:val="yellow"/>
        </w:rPr>
        <w:t xml:space="preserve"> </w:t>
      </w:r>
      <w:r>
        <w:t>Similarly</w:t>
      </w:r>
      <w:r w:rsidRPr="001725B7">
        <w:t xml:space="preserve">, </w:t>
      </w:r>
      <w:r w:rsidRPr="00910581">
        <w:t>[</w:t>
      </w:r>
      <w:r w:rsidR="008D329E">
        <w:t>10</w:t>
      </w:r>
      <w:r w:rsidRPr="00910581">
        <w:t>]</w:t>
      </w:r>
      <w:r w:rsidRPr="001725B7">
        <w:t xml:space="preserve"> demonstrated that </w:t>
      </w:r>
      <w:r w:rsidR="00EC736E">
        <w:t>HC</w:t>
      </w:r>
      <w:r w:rsidRPr="001725B7">
        <w:t xml:space="preserve"> appears as the most influential component within high technology companies. </w:t>
      </w:r>
      <w:r w:rsidR="00526C1C">
        <w:t>The authors</w:t>
      </w:r>
      <w:r w:rsidRPr="001725B7">
        <w:t xml:space="preserve"> perceived </w:t>
      </w:r>
      <w:r w:rsidR="00FC2D64">
        <w:t>HC</w:t>
      </w:r>
      <w:r w:rsidRPr="001725B7">
        <w:t xml:space="preserve"> as a sum of employees’ experience, creativity and teamwork. Observing this research, items related to </w:t>
      </w:r>
      <w:r w:rsidR="00526C1C">
        <w:t>HC</w:t>
      </w:r>
      <w:r w:rsidRPr="001725B7">
        <w:t xml:space="preserve"> showed higher means than others elements of intellectual capital, which was explained by the fact that companies operating in the chosen industry were highly focused on having strong </w:t>
      </w:r>
      <w:r w:rsidR="00133048">
        <w:t>HC</w:t>
      </w:r>
      <w:r w:rsidRPr="001725B7">
        <w:t>.</w:t>
      </w:r>
    </w:p>
    <w:p w:rsidR="0059524A" w:rsidRDefault="007B77AC" w:rsidP="00E23AB8">
      <w:pPr>
        <w:autoSpaceDE w:val="0"/>
        <w:autoSpaceDN w:val="0"/>
        <w:adjustRightInd w:val="0"/>
        <w:spacing w:before="120"/>
        <w:jc w:val="both"/>
      </w:pPr>
      <w:r>
        <w:lastRenderedPageBreak/>
        <w:t xml:space="preserve">Furthermore, many researchers were oriented towards investigating relationship between </w:t>
      </w:r>
      <w:r w:rsidR="0070225C">
        <w:t>HC</w:t>
      </w:r>
      <w:r>
        <w:t xml:space="preserve"> investments and companies’ performance</w:t>
      </w:r>
      <w:r w:rsidR="00CA263E">
        <w:t>s</w:t>
      </w:r>
      <w:r>
        <w:t xml:space="preserve">, </w:t>
      </w:r>
      <w:r w:rsidR="00A5639F">
        <w:t xml:space="preserve">usually </w:t>
      </w:r>
      <w:r>
        <w:t xml:space="preserve">profitability. </w:t>
      </w:r>
      <w:r w:rsidR="006706F0">
        <w:t>Different authors usually calculate</w:t>
      </w:r>
      <w:r w:rsidR="0070225C">
        <w:t>d</w:t>
      </w:r>
      <w:r w:rsidR="006706F0">
        <w:t xml:space="preserve"> </w:t>
      </w:r>
      <w:r w:rsidR="001768D1">
        <w:t>HC</w:t>
      </w:r>
      <w:r>
        <w:t xml:space="preserve"> investment</w:t>
      </w:r>
      <w:r w:rsidR="006706F0">
        <w:t>s</w:t>
      </w:r>
      <w:r>
        <w:t xml:space="preserve"> through </w:t>
      </w:r>
      <w:r w:rsidR="0070225C">
        <w:t>HR</w:t>
      </w:r>
      <w:r>
        <w:t xml:space="preserve"> expenditures, such as salaries or training and developmental costs</w:t>
      </w:r>
      <w:r w:rsidR="006706F0">
        <w:t xml:space="preserve">, but also </w:t>
      </w:r>
      <w:r w:rsidR="0055655A">
        <w:t xml:space="preserve">some use </w:t>
      </w:r>
      <w:r w:rsidR="006706F0">
        <w:t>other</w:t>
      </w:r>
      <w:r w:rsidR="0055655A">
        <w:t xml:space="preserve"> </w:t>
      </w:r>
      <w:r w:rsidR="0070225C">
        <w:t>HC</w:t>
      </w:r>
      <w:r w:rsidR="006706F0">
        <w:t xml:space="preserve"> aspects. </w:t>
      </w:r>
      <w:r w:rsidR="004E4383" w:rsidRPr="004E4383">
        <w:t xml:space="preserve">An interested research was conducted in Norway where authors provided regression analysis in order to test whether or not companies’ specific variables affect individual </w:t>
      </w:r>
      <w:r w:rsidR="00E30844">
        <w:t>wages</w:t>
      </w:r>
      <w:r w:rsidR="004E4383" w:rsidRPr="004E4383">
        <w:t xml:space="preserve"> </w:t>
      </w:r>
      <w:r w:rsidR="008E3E76" w:rsidRPr="0026554C">
        <w:rPr>
          <w:lang w:val="en-GB" w:eastAsia="hr-HR"/>
        </w:rPr>
        <w:t>[</w:t>
      </w:r>
      <w:r w:rsidR="008E3E76">
        <w:rPr>
          <w:lang w:val="en-GB" w:eastAsia="hr-HR"/>
        </w:rPr>
        <w:t>1</w:t>
      </w:r>
      <w:r w:rsidR="008D329E">
        <w:rPr>
          <w:lang w:val="en-GB" w:eastAsia="hr-HR"/>
        </w:rPr>
        <w:t>2</w:t>
      </w:r>
      <w:r w:rsidR="008E3E76" w:rsidRPr="008E3E76">
        <w:rPr>
          <w:lang w:val="en-GB" w:eastAsia="hr-HR"/>
        </w:rPr>
        <w:t>].</w:t>
      </w:r>
      <w:r w:rsidR="008E3E76" w:rsidRPr="008E3E76">
        <w:t xml:space="preserve"> </w:t>
      </w:r>
      <w:r w:rsidR="004E4383" w:rsidRPr="004E4383">
        <w:t xml:space="preserve">The dependent variable represented hourly </w:t>
      </w:r>
      <w:r w:rsidR="00E30844">
        <w:t>wage</w:t>
      </w:r>
      <w:r w:rsidR="004E4383" w:rsidRPr="004E4383">
        <w:t xml:space="preserve"> rate, estimated from monthly </w:t>
      </w:r>
      <w:r w:rsidR="00E30844">
        <w:t>wages</w:t>
      </w:r>
      <w:r w:rsidR="004E4383" w:rsidRPr="004E4383">
        <w:t xml:space="preserve"> divided by working hours. On the other hand, there was used set of different independent variables (including different social variables besides unemployment rate). A key issue of this paper was to test whether or not company size and profitability affect </w:t>
      </w:r>
      <w:r w:rsidR="00E30844">
        <w:t>wages</w:t>
      </w:r>
      <w:r w:rsidR="004E4383" w:rsidRPr="004E4383">
        <w:t xml:space="preserve">. The final results implied positive effects of companies’ specific profitability and company size. </w:t>
      </w:r>
    </w:p>
    <w:p w:rsidR="00A8451B" w:rsidRDefault="0059524A" w:rsidP="00E23AB8">
      <w:pPr>
        <w:autoSpaceDE w:val="0"/>
        <w:autoSpaceDN w:val="0"/>
        <w:adjustRightInd w:val="0"/>
        <w:spacing w:before="120"/>
        <w:jc w:val="both"/>
      </w:pPr>
      <w:r>
        <w:t>Some</w:t>
      </w:r>
      <w:r w:rsidR="00781D00">
        <w:t xml:space="preserve"> other aspect</w:t>
      </w:r>
      <w:r>
        <w:t>s</w:t>
      </w:r>
      <w:r w:rsidR="00781D00">
        <w:t xml:space="preserve"> of </w:t>
      </w:r>
      <w:r w:rsidR="006D5421">
        <w:t>HC</w:t>
      </w:r>
      <w:r w:rsidR="00781D00">
        <w:t xml:space="preserve"> measurement ha</w:t>
      </w:r>
      <w:r>
        <w:t>ve</w:t>
      </w:r>
      <w:r w:rsidR="00781D00">
        <w:t xml:space="preserve"> been </w:t>
      </w:r>
      <w:r>
        <w:t>noticed within following researches.</w:t>
      </w:r>
      <w:r w:rsidR="00781D00">
        <w:t xml:space="preserve"> </w:t>
      </w:r>
      <w:r>
        <w:t xml:space="preserve">The American research </w:t>
      </w:r>
      <w:r w:rsidR="00152EEF">
        <w:t xml:space="preserve">examined relationship between </w:t>
      </w:r>
      <w:r w:rsidR="006D5421">
        <w:t>HC</w:t>
      </w:r>
      <w:r w:rsidR="00152EEF">
        <w:t xml:space="preserve"> and companies’ </w:t>
      </w:r>
      <w:r w:rsidR="00232A3D">
        <w:t xml:space="preserve">profitability and growth of small </w:t>
      </w:r>
      <w:r w:rsidR="00305ACA">
        <w:t xml:space="preserve">(women and men owned) </w:t>
      </w:r>
      <w:r w:rsidR="00232A3D">
        <w:t xml:space="preserve">companies </w:t>
      </w:r>
      <w:r w:rsidR="00152EEF">
        <w:t xml:space="preserve">in the retail and service sector </w:t>
      </w:r>
      <w:r w:rsidR="008E3E76" w:rsidRPr="0026554C">
        <w:rPr>
          <w:lang w:val="en-GB" w:eastAsia="hr-HR"/>
        </w:rPr>
        <w:t>[</w:t>
      </w:r>
      <w:r w:rsidR="008D329E">
        <w:rPr>
          <w:lang w:val="en-GB" w:eastAsia="hr-HR"/>
        </w:rPr>
        <w:t>9</w:t>
      </w:r>
      <w:r w:rsidR="008E3E76" w:rsidRPr="0026554C">
        <w:rPr>
          <w:lang w:val="en-GB" w:eastAsia="hr-HR"/>
        </w:rPr>
        <w:t>].</w:t>
      </w:r>
      <w:r w:rsidR="008E3E76">
        <w:t xml:space="preserve"> </w:t>
      </w:r>
      <w:r>
        <w:t>They</w:t>
      </w:r>
      <w:r w:rsidR="005A0B17">
        <w:t xml:space="preserve"> created few models where r</w:t>
      </w:r>
      <w:r w:rsidR="00152EEF">
        <w:t xml:space="preserve">eturn on sales </w:t>
      </w:r>
      <w:r w:rsidR="005A0B17">
        <w:t xml:space="preserve">and growth rate </w:t>
      </w:r>
      <w:r w:rsidR="0051072B">
        <w:t>(</w:t>
      </w:r>
      <w:r w:rsidR="005A0B17">
        <w:t>in sales)</w:t>
      </w:r>
      <w:r w:rsidR="00152EEF">
        <w:t xml:space="preserve"> </w:t>
      </w:r>
      <w:r w:rsidR="005A0B17">
        <w:t>where chosen as</w:t>
      </w:r>
      <w:r w:rsidR="00152EEF">
        <w:t xml:space="preserve"> the dependent variable</w:t>
      </w:r>
      <w:r w:rsidR="005A0B17">
        <w:t>s</w:t>
      </w:r>
      <w:r w:rsidR="00152EEF">
        <w:t xml:space="preserve">, while independent variables represented companies’ or owner characteristics that could be expected to contribute to </w:t>
      </w:r>
      <w:r w:rsidR="00943AE8">
        <w:t>HC</w:t>
      </w:r>
      <w:r w:rsidR="00152EEF">
        <w:t xml:space="preserve">. Those included: measure of education, age, experience, the presence of partners and family history that includes experience with business ownership. </w:t>
      </w:r>
      <w:r w:rsidR="00CF482C">
        <w:t>M</w:t>
      </w:r>
      <w:r w:rsidR="00574CB6">
        <w:t xml:space="preserve">ultivariate </w:t>
      </w:r>
      <w:r w:rsidR="00CF482C">
        <w:t xml:space="preserve">(logistic regression) </w:t>
      </w:r>
      <w:r w:rsidR="00574CB6">
        <w:t xml:space="preserve">analysis </w:t>
      </w:r>
      <w:r w:rsidR="00CF482C">
        <w:t>was provided</w:t>
      </w:r>
      <w:r w:rsidR="00232A3D">
        <w:t xml:space="preserve"> </w:t>
      </w:r>
      <w:r w:rsidR="00574CB6">
        <w:t xml:space="preserve">examining the simultaneous impact of multiple independent variables on a dependent variable, increasing the likelihood that relevant variables will be included. </w:t>
      </w:r>
      <w:r w:rsidR="00822728">
        <w:t xml:space="preserve">Results indicated that </w:t>
      </w:r>
      <w:r w:rsidR="00E956A1">
        <w:t>HC</w:t>
      </w:r>
      <w:r w:rsidR="00822728">
        <w:t xml:space="preserve"> variables, including education and experience, had positive impact of the profitability of women owned companies. </w:t>
      </w:r>
      <w:r>
        <w:t xml:space="preserve">The other research </w:t>
      </w:r>
      <w:r w:rsidR="008E3E76" w:rsidRPr="0026554C">
        <w:rPr>
          <w:lang w:val="en-GB" w:eastAsia="hr-HR"/>
        </w:rPr>
        <w:t>[</w:t>
      </w:r>
      <w:r w:rsidR="008E3E76">
        <w:rPr>
          <w:lang w:val="en-GB" w:eastAsia="hr-HR"/>
        </w:rPr>
        <w:t>1</w:t>
      </w:r>
      <w:r w:rsidR="008D329E">
        <w:rPr>
          <w:lang w:val="en-GB" w:eastAsia="hr-HR"/>
        </w:rPr>
        <w:t>3</w:t>
      </w:r>
      <w:r w:rsidR="008E3E76">
        <w:rPr>
          <w:lang w:val="en-GB" w:eastAsia="hr-HR"/>
        </w:rPr>
        <w:t xml:space="preserve">] </w:t>
      </w:r>
      <w:r w:rsidR="006706F0" w:rsidRPr="001B699A">
        <w:t xml:space="preserve">demonstrated relations between </w:t>
      </w:r>
      <w:r w:rsidR="00E956A1">
        <w:t>HC</w:t>
      </w:r>
      <w:r w:rsidR="006706F0" w:rsidRPr="001B699A">
        <w:t xml:space="preserve"> losses (measured through voluntary turnover rates) and organizational financial performances (sales per employee). Their research has revealed that </w:t>
      </w:r>
      <w:r w:rsidR="00E956A1">
        <w:t>HC</w:t>
      </w:r>
      <w:r w:rsidR="006706F0" w:rsidRPr="001B699A">
        <w:t xml:space="preserve"> losses have an attenuated negative relationship with organizational performance when </w:t>
      </w:r>
      <w:r w:rsidR="00E956A1">
        <w:t>HR</w:t>
      </w:r>
      <w:r w:rsidR="006706F0" w:rsidRPr="001B699A">
        <w:t xml:space="preserve"> investments are high. When </w:t>
      </w:r>
      <w:r w:rsidR="00DD7395">
        <w:t>those</w:t>
      </w:r>
      <w:r w:rsidR="006706F0" w:rsidRPr="001B699A">
        <w:t xml:space="preserve"> are low, however, </w:t>
      </w:r>
      <w:r w:rsidR="00E956A1">
        <w:t>HC</w:t>
      </w:r>
      <w:r w:rsidR="006706F0" w:rsidRPr="001B699A">
        <w:t xml:space="preserve"> losses and organizational performances are not significantly related.</w:t>
      </w:r>
      <w:r w:rsidR="006706F0" w:rsidRPr="006706F0">
        <w:t xml:space="preserve"> </w:t>
      </w:r>
    </w:p>
    <w:p w:rsidR="006E35E3" w:rsidRDefault="00B31735" w:rsidP="00E23AB8">
      <w:pPr>
        <w:autoSpaceDE w:val="0"/>
        <w:autoSpaceDN w:val="0"/>
        <w:adjustRightInd w:val="0"/>
        <w:spacing w:before="120"/>
        <w:jc w:val="both"/>
      </w:pPr>
      <w:r>
        <w:t>The latest</w:t>
      </w:r>
      <w:r w:rsidR="006C00E3">
        <w:t xml:space="preserve"> researches were very intrigued </w:t>
      </w:r>
      <w:r w:rsidR="00BB37F9">
        <w:t>in</w:t>
      </w:r>
      <w:r w:rsidR="006C00E3">
        <w:t xml:space="preserve"> reveal</w:t>
      </w:r>
      <w:r w:rsidR="00BB37F9">
        <w:t>ing</w:t>
      </w:r>
      <w:r w:rsidR="006C00E3">
        <w:t xml:space="preserve"> </w:t>
      </w:r>
      <w:r w:rsidR="00BB37F9">
        <w:t xml:space="preserve">the </w:t>
      </w:r>
      <w:r w:rsidR="006C00E3">
        <w:t xml:space="preserve">relationship between </w:t>
      </w:r>
      <w:r w:rsidR="00943AE8">
        <w:t>HC</w:t>
      </w:r>
      <w:r w:rsidR="006C00E3">
        <w:t xml:space="preserve"> and </w:t>
      </w:r>
      <w:r w:rsidR="002C3CDC">
        <w:t>profitability</w:t>
      </w:r>
      <w:r w:rsidR="006C00E3">
        <w:t>.</w:t>
      </w:r>
      <w:r w:rsidR="002C3CDC">
        <w:t xml:space="preserve"> </w:t>
      </w:r>
      <w:r w:rsidR="00DA773E">
        <w:t>One</w:t>
      </w:r>
      <w:r w:rsidR="00BB37F9">
        <w:t xml:space="preserve"> was conducted within Nigerian banks where </w:t>
      </w:r>
      <w:r w:rsidR="0049318A">
        <w:t>researchers</w:t>
      </w:r>
      <w:r w:rsidR="00994E32">
        <w:t xml:space="preserve"> </w:t>
      </w:r>
      <w:r w:rsidR="002C3CDC">
        <w:t>used profitability values (net profit margin, capital employed and earnings per share) as dependent variable</w:t>
      </w:r>
      <w:r>
        <w:t>s</w:t>
      </w:r>
      <w:r w:rsidR="002C3CDC">
        <w:t xml:space="preserve"> and expenditure of staff cost a</w:t>
      </w:r>
      <w:r w:rsidR="00C12664">
        <w:t>s</w:t>
      </w:r>
      <w:r w:rsidR="002C3CDC">
        <w:t xml:space="preserve"> </w:t>
      </w:r>
      <w:r w:rsidR="00956477">
        <w:t>in</w:t>
      </w:r>
      <w:r w:rsidR="002C3CDC">
        <w:t>dependent variable</w:t>
      </w:r>
      <w:r w:rsidR="00BB37F9">
        <w:t xml:space="preserve"> </w:t>
      </w:r>
      <w:r w:rsidR="00BB37F9">
        <w:rPr>
          <w:lang w:val="en-GB" w:eastAsia="hr-HR"/>
        </w:rPr>
        <w:t>[1]</w:t>
      </w:r>
      <w:r w:rsidR="002C3CDC">
        <w:t xml:space="preserve">. </w:t>
      </w:r>
      <w:r w:rsidR="00994E32">
        <w:t>Based on regression results, the study revealed that staff cost significantly affects earnings per share and there is positive relationship, also as net profit margin and return on capital.</w:t>
      </w:r>
      <w:r w:rsidR="00047156">
        <w:t xml:space="preserve"> Another research </w:t>
      </w:r>
      <w:r w:rsidR="00FC1780">
        <w:t xml:space="preserve">investigated </w:t>
      </w:r>
      <w:r w:rsidR="00047156">
        <w:t>relationship o</w:t>
      </w:r>
      <w:r w:rsidR="00C12664">
        <w:t>f</w:t>
      </w:r>
      <w:r w:rsidR="00047156">
        <w:t xml:space="preserve"> </w:t>
      </w:r>
      <w:r>
        <w:t>HC</w:t>
      </w:r>
      <w:r w:rsidR="00047156">
        <w:t xml:space="preserve"> </w:t>
      </w:r>
      <w:r w:rsidR="00C12664">
        <w:t xml:space="preserve">investments </w:t>
      </w:r>
      <w:r w:rsidR="00047156">
        <w:t xml:space="preserve">and companies’ profitability </w:t>
      </w:r>
      <w:r w:rsidR="00EC72F0">
        <w:t xml:space="preserve">as well as </w:t>
      </w:r>
      <w:r w:rsidR="00047156">
        <w:t xml:space="preserve">companies’ characteristics </w:t>
      </w:r>
      <w:r w:rsidR="0049318A">
        <w:rPr>
          <w:lang w:val="en-GB" w:eastAsia="hr-HR"/>
        </w:rPr>
        <w:t>[2].</w:t>
      </w:r>
      <w:r w:rsidR="00047156">
        <w:t xml:space="preserve"> </w:t>
      </w:r>
      <w:r>
        <w:t>HC</w:t>
      </w:r>
      <w:r w:rsidR="00B678E0">
        <w:t xml:space="preserve"> </w:t>
      </w:r>
      <w:r w:rsidR="00EC72F0">
        <w:t xml:space="preserve">investments </w:t>
      </w:r>
      <w:r w:rsidR="00B678E0">
        <w:t>represented dependent variable (measured through annual salary), while profit margin and return on equity were chosen a</w:t>
      </w:r>
      <w:r w:rsidR="00EC72F0">
        <w:t>s</w:t>
      </w:r>
      <w:r w:rsidR="00B678E0">
        <w:t xml:space="preserve"> independent variables</w:t>
      </w:r>
      <w:r w:rsidR="00EC72F0">
        <w:t>,</w:t>
      </w:r>
      <w:r w:rsidR="00B678E0">
        <w:t xml:space="preserve"> </w:t>
      </w:r>
      <w:r w:rsidR="0025251F">
        <w:t xml:space="preserve">as well as </w:t>
      </w:r>
      <w:r w:rsidR="00B678E0">
        <w:t xml:space="preserve">companies’ size, companies’ </w:t>
      </w:r>
      <w:r w:rsidR="00BF1B4D">
        <w:t>listing status</w:t>
      </w:r>
      <w:r w:rsidR="00B678E0">
        <w:t xml:space="preserve"> and number of trademarks (</w:t>
      </w:r>
      <w:r w:rsidR="0025251F">
        <w:t>companies’ characteristics).</w:t>
      </w:r>
      <w:r w:rsidR="004D13F8">
        <w:t xml:space="preserve"> Verification of empirical evidence was provided through the sample of more than 12</w:t>
      </w:r>
      <w:r w:rsidR="00DD74D6">
        <w:t>,</w:t>
      </w:r>
      <w:r w:rsidR="004D13F8">
        <w:t xml:space="preserve">000 </w:t>
      </w:r>
      <w:r w:rsidR="00DD74D6">
        <w:t>EU</w:t>
      </w:r>
      <w:r w:rsidR="004D13F8">
        <w:t xml:space="preserve"> companies within informational technology industry.</w:t>
      </w:r>
      <w:r w:rsidR="0062034B">
        <w:t xml:space="preserve"> In order to test specified relationship, the authors provided regression analysis. The findings confirmed </w:t>
      </w:r>
      <w:r w:rsidR="00026580">
        <w:t xml:space="preserve">the importance of </w:t>
      </w:r>
      <w:r w:rsidR="00DD74D6">
        <w:t>HC</w:t>
      </w:r>
      <w:r w:rsidR="00026580">
        <w:t xml:space="preserve"> investments whereas the knowledge</w:t>
      </w:r>
      <w:r w:rsidR="00CE7DE1">
        <w:t xml:space="preserve"> is the most valuable asset capitalized through trademarks. Also, findings confirmed differences in the level of </w:t>
      </w:r>
      <w:r w:rsidR="00DD74D6">
        <w:t>HC</w:t>
      </w:r>
      <w:r w:rsidR="00CE7DE1">
        <w:t xml:space="preserve"> investment with regard to company size and listing status. Finally, the results showed that companies which investing in </w:t>
      </w:r>
      <w:r w:rsidR="00DD74D6">
        <w:t>HC</w:t>
      </w:r>
      <w:r w:rsidR="00CE7DE1">
        <w:t xml:space="preserve"> do not obtain better financial results than those with insufficient investments. </w:t>
      </w:r>
    </w:p>
    <w:p w:rsidR="006C00E3" w:rsidRDefault="007A7C19" w:rsidP="00E23AB8">
      <w:pPr>
        <w:autoSpaceDE w:val="0"/>
        <w:autoSpaceDN w:val="0"/>
        <w:adjustRightInd w:val="0"/>
        <w:spacing w:before="120"/>
        <w:jc w:val="both"/>
      </w:pPr>
      <w:r>
        <w:t>On the other hand, p</w:t>
      </w:r>
      <w:r w:rsidR="006E35E3" w:rsidRPr="006E35E3">
        <w:t xml:space="preserve">apers that are dealing with </w:t>
      </w:r>
      <w:r w:rsidR="00943AE8">
        <w:t>HC</w:t>
      </w:r>
      <w:r w:rsidR="006E35E3" w:rsidRPr="006E35E3">
        <w:t xml:space="preserve"> and other companies’ attributes (beside size), such as companies’ listing status and number of trademarks are particularly rare. Selected paper combines </w:t>
      </w:r>
      <w:r w:rsidR="00943AE8">
        <w:t>HC</w:t>
      </w:r>
      <w:r w:rsidR="006E35E3" w:rsidRPr="006E35E3">
        <w:t xml:space="preserve"> theory with work on initial public offering (IPOs) related to sources of financial capital of recent, publicly traded biopharmaceutical companies </w:t>
      </w:r>
      <w:r w:rsidR="00865527">
        <w:rPr>
          <w:lang w:val="en-GB" w:eastAsia="hr-HR"/>
        </w:rPr>
        <w:t>[20].</w:t>
      </w:r>
      <w:r w:rsidR="00865527">
        <w:t xml:space="preserve"> </w:t>
      </w:r>
      <w:r w:rsidR="006E35E3" w:rsidRPr="006E35E3">
        <w:t>The results show</w:t>
      </w:r>
      <w:r w:rsidR="00EC72F0">
        <w:t>ed</w:t>
      </w:r>
      <w:r w:rsidR="006E35E3" w:rsidRPr="006E35E3">
        <w:t xml:space="preserve"> that to a limited extent companies having CEOs with more or better </w:t>
      </w:r>
      <w:r w:rsidR="000701F6">
        <w:t>HC</w:t>
      </w:r>
      <w:r w:rsidR="006E35E3" w:rsidRPr="006E35E3">
        <w:t xml:space="preserve"> and </w:t>
      </w:r>
      <w:r w:rsidR="006E35E3" w:rsidRPr="006E35E3">
        <w:lastRenderedPageBreak/>
        <w:t xml:space="preserve">strategic alliance partners </w:t>
      </w:r>
      <w:r w:rsidR="00EC72F0">
        <w:t>were</w:t>
      </w:r>
      <w:r w:rsidR="006E35E3" w:rsidRPr="006E35E3">
        <w:t xml:space="preserve"> associated with biopharmaceutical IPO’s de-listing. The purpose of the next paper was to link empirically the value of intellectual capital and intellectual property to firm performance </w:t>
      </w:r>
      <w:r w:rsidR="00865527">
        <w:rPr>
          <w:lang w:val="en-GB" w:eastAsia="hr-HR"/>
        </w:rPr>
        <w:t>[7].</w:t>
      </w:r>
      <w:r w:rsidR="006E35E3" w:rsidRPr="006E35E3">
        <w:t xml:space="preserve"> The survey was conducted within German pharmaceutical companies</w:t>
      </w:r>
      <w:r w:rsidR="00C54879">
        <w:t xml:space="preserve"> (HC intensive industry)</w:t>
      </w:r>
      <w:r w:rsidR="006E35E3" w:rsidRPr="006E35E3">
        <w:t xml:space="preserve"> and it was used to conduct regression analysis focusing on correlation between human, structural and relational capital, intellectual property and firm performance. Observed results point</w:t>
      </w:r>
      <w:r w:rsidR="00EC72F0">
        <w:t>ed</w:t>
      </w:r>
      <w:r w:rsidR="006E35E3" w:rsidRPr="006E35E3">
        <w:t xml:space="preserve"> out, that including intellectual property in model linking capital to company performances enhanc</w:t>
      </w:r>
      <w:r w:rsidR="00EC72F0">
        <w:t>ed</w:t>
      </w:r>
      <w:r w:rsidR="006E35E3" w:rsidRPr="006E35E3">
        <w:t xml:space="preserve"> the statistical validity of such models and their relevance for management. Finally, </w:t>
      </w:r>
      <w:r w:rsidR="00865527">
        <w:rPr>
          <w:lang w:val="en-GB" w:eastAsia="hr-HR"/>
        </w:rPr>
        <w:t>[5]</w:t>
      </w:r>
      <w:r w:rsidR="006E35E3" w:rsidRPr="006E35E3">
        <w:t xml:space="preserve"> confirmed statistically significant difference in performance of Croatian companies when </w:t>
      </w:r>
      <w:r w:rsidR="00C54879">
        <w:t>HC</w:t>
      </w:r>
      <w:r w:rsidR="006E35E3" w:rsidRPr="006E35E3">
        <w:t xml:space="preserve"> expenditures are capitalized in balance sheet in </w:t>
      </w:r>
      <w:r w:rsidR="00C54879">
        <w:t xml:space="preserve">the </w:t>
      </w:r>
      <w:r w:rsidR="006E35E3" w:rsidRPr="006E35E3">
        <w:t xml:space="preserve">form of trademark.    </w:t>
      </w:r>
      <w:r w:rsidR="00CE7DE1">
        <w:t xml:space="preserve"> </w:t>
      </w:r>
      <w:r w:rsidR="00026580">
        <w:t xml:space="preserve"> </w:t>
      </w:r>
      <w:r w:rsidR="0062034B">
        <w:t xml:space="preserve"> </w:t>
      </w:r>
      <w:r w:rsidR="004D13F8">
        <w:t xml:space="preserve"> </w:t>
      </w:r>
      <w:r w:rsidR="002C3CDC">
        <w:t xml:space="preserve"> </w:t>
      </w:r>
    </w:p>
    <w:p w:rsidR="00E23AB8" w:rsidRDefault="00E23AB8" w:rsidP="00E23AB8">
      <w:pPr>
        <w:pStyle w:val="ListParagraph"/>
        <w:autoSpaceDE w:val="0"/>
        <w:autoSpaceDN w:val="0"/>
        <w:adjustRightInd w:val="0"/>
        <w:ind w:left="720"/>
        <w:jc w:val="both"/>
        <w:rPr>
          <w:b/>
        </w:rPr>
      </w:pPr>
    </w:p>
    <w:p w:rsidR="006A1580" w:rsidRPr="006A1580" w:rsidRDefault="00207B40" w:rsidP="00E23AB8">
      <w:pPr>
        <w:pStyle w:val="ListParagraph"/>
        <w:numPr>
          <w:ilvl w:val="0"/>
          <w:numId w:val="20"/>
        </w:numPr>
        <w:autoSpaceDE w:val="0"/>
        <w:autoSpaceDN w:val="0"/>
        <w:adjustRightInd w:val="0"/>
        <w:rPr>
          <w:b/>
          <w:sz w:val="28"/>
          <w:szCs w:val="28"/>
          <w:lang w:val="hr-HR" w:eastAsia="hr-HR"/>
        </w:rPr>
      </w:pPr>
      <w:r w:rsidRPr="00CB2C4C">
        <w:rPr>
          <w:b/>
          <w:sz w:val="28"/>
          <w:szCs w:val="28"/>
          <w:lang w:eastAsia="hr-HR"/>
        </w:rPr>
        <w:t>Empirical Research</w:t>
      </w:r>
    </w:p>
    <w:p w:rsidR="006A1580" w:rsidRDefault="006A1580" w:rsidP="006A1580">
      <w:pPr>
        <w:autoSpaceDE w:val="0"/>
        <w:autoSpaceDN w:val="0"/>
        <w:adjustRightInd w:val="0"/>
        <w:rPr>
          <w:sz w:val="22"/>
          <w:szCs w:val="22"/>
          <w:lang w:val="hr-HR" w:eastAsia="hr-HR"/>
        </w:rPr>
      </w:pPr>
    </w:p>
    <w:p w:rsidR="00796187" w:rsidRDefault="0064778B" w:rsidP="00796187">
      <w:pPr>
        <w:autoSpaceDE w:val="0"/>
        <w:autoSpaceDN w:val="0"/>
        <w:adjustRightInd w:val="0"/>
        <w:jc w:val="both"/>
      </w:pPr>
      <w:r>
        <w:t>Research hypothes</w:t>
      </w:r>
      <w:r w:rsidR="00E56B89">
        <w:t>e</w:t>
      </w:r>
      <w:r>
        <w:t>s impl</w:t>
      </w:r>
      <w:r w:rsidR="00E56B89">
        <w:t>y</w:t>
      </w:r>
      <w:r w:rsidR="00796187">
        <w:t xml:space="preserve"> that </w:t>
      </w:r>
      <w:r w:rsidRPr="0064778B">
        <w:t>companies which are more profitable will have higher cost of employee (</w:t>
      </w:r>
      <w:r>
        <w:t xml:space="preserve">i.e. </w:t>
      </w:r>
      <w:r w:rsidR="00A74BDB">
        <w:t>HC</w:t>
      </w:r>
      <w:r>
        <w:t xml:space="preserve"> investment</w:t>
      </w:r>
      <w:r w:rsidRPr="0064778B">
        <w:t xml:space="preserve"> </w:t>
      </w:r>
      <w:r w:rsidR="00796187">
        <w:t>in a way of bonuses or extra salaries to employees)</w:t>
      </w:r>
      <w:r w:rsidR="00E56B89">
        <w:t xml:space="preserve"> as well as </w:t>
      </w:r>
      <w:r>
        <w:t xml:space="preserve">that </w:t>
      </w:r>
      <w:r w:rsidR="003469DF">
        <w:t xml:space="preserve">company’s </w:t>
      </w:r>
      <w:r w:rsidR="00796187">
        <w:t xml:space="preserve">size, </w:t>
      </w:r>
      <w:r w:rsidR="003469DF">
        <w:t>its</w:t>
      </w:r>
      <w:r w:rsidR="00E56B89">
        <w:t>’</w:t>
      </w:r>
      <w:r w:rsidR="003469DF">
        <w:t xml:space="preserve"> </w:t>
      </w:r>
      <w:r w:rsidR="00796187">
        <w:t>listing status and existence of intellectual property</w:t>
      </w:r>
      <w:r w:rsidR="00C974B7">
        <w:t xml:space="preserve"> will impact </w:t>
      </w:r>
      <w:r w:rsidR="003469DF">
        <w:t xml:space="preserve">the level of </w:t>
      </w:r>
      <w:r w:rsidR="00943AE8">
        <w:t>HC</w:t>
      </w:r>
      <w:r w:rsidR="003469DF">
        <w:t xml:space="preserve"> investments</w:t>
      </w:r>
      <w:r w:rsidR="00E56B89">
        <w:t>. The</w:t>
      </w:r>
      <w:r w:rsidR="00C974B7">
        <w:t>s</w:t>
      </w:r>
      <w:r w:rsidR="00E56B89">
        <w:t>e</w:t>
      </w:r>
      <w:r w:rsidR="00C974B7">
        <w:t xml:space="preserve"> hypotheses are</w:t>
      </w:r>
      <w:r w:rsidR="00796187">
        <w:t xml:space="preserve"> based on </w:t>
      </w:r>
      <w:r w:rsidR="005A3D2F">
        <w:t xml:space="preserve">the </w:t>
      </w:r>
      <w:r w:rsidR="00796187">
        <w:t>following assumptions:</w:t>
      </w:r>
    </w:p>
    <w:p w:rsidR="00796187" w:rsidRDefault="00C974B7" w:rsidP="00302D2C">
      <w:pPr>
        <w:pStyle w:val="ListParagraph"/>
        <w:numPr>
          <w:ilvl w:val="0"/>
          <w:numId w:val="21"/>
        </w:numPr>
        <w:autoSpaceDE w:val="0"/>
        <w:autoSpaceDN w:val="0"/>
        <w:adjustRightInd w:val="0"/>
        <w:jc w:val="both"/>
      </w:pPr>
      <w:r>
        <w:t xml:space="preserve">Profitable companies </w:t>
      </w:r>
      <w:r w:rsidR="00E56B89">
        <w:t>are</w:t>
      </w:r>
      <w:r>
        <w:t xml:space="preserve"> more willing to invest</w:t>
      </w:r>
      <w:r w:rsidR="00796187">
        <w:t xml:space="preserve"> in </w:t>
      </w:r>
      <w:r w:rsidR="005A3D2F">
        <w:t>HR</w:t>
      </w:r>
      <w:r w:rsidR="00796187">
        <w:t xml:space="preserve"> than </w:t>
      </w:r>
      <w:r>
        <w:t>those</w:t>
      </w:r>
      <w:r w:rsidR="00796187">
        <w:t xml:space="preserve"> with </w:t>
      </w:r>
      <w:r>
        <w:t>poor financial results</w:t>
      </w:r>
      <w:r w:rsidR="00796187">
        <w:t>.</w:t>
      </w:r>
    </w:p>
    <w:p w:rsidR="00E56B89" w:rsidRDefault="00796187" w:rsidP="00302D2C">
      <w:pPr>
        <w:pStyle w:val="ListParagraph"/>
        <w:numPr>
          <w:ilvl w:val="0"/>
          <w:numId w:val="21"/>
        </w:numPr>
        <w:autoSpaceDE w:val="0"/>
        <w:autoSpaceDN w:val="0"/>
        <w:adjustRightInd w:val="0"/>
        <w:jc w:val="both"/>
      </w:pPr>
      <w:r>
        <w:t>L</w:t>
      </w:r>
      <w:r w:rsidR="00E56B89">
        <w:t xml:space="preserve">arger companies have more funds, sources and possibilities to invest in </w:t>
      </w:r>
      <w:r w:rsidR="005A3D2F">
        <w:t>HR</w:t>
      </w:r>
      <w:r w:rsidR="00E56B89">
        <w:t xml:space="preserve"> than smaller ones. </w:t>
      </w:r>
    </w:p>
    <w:p w:rsidR="00E56B89" w:rsidRDefault="00E56B89" w:rsidP="00302D2C">
      <w:pPr>
        <w:pStyle w:val="ListParagraph"/>
        <w:numPr>
          <w:ilvl w:val="0"/>
          <w:numId w:val="21"/>
        </w:numPr>
        <w:autoSpaceDE w:val="0"/>
        <w:autoSpaceDN w:val="0"/>
        <w:adjustRightInd w:val="0"/>
        <w:jc w:val="both"/>
      </w:pPr>
      <w:r>
        <w:t xml:space="preserve">In </w:t>
      </w:r>
      <w:r w:rsidR="00A74BDB">
        <w:t>HC</w:t>
      </w:r>
      <w:r>
        <w:t xml:space="preserve"> intensive industry employees’ knowledge is the most valuable asset which is capitalized in company’s asset through the trademarks.</w:t>
      </w:r>
    </w:p>
    <w:p w:rsidR="00796187" w:rsidRDefault="00796187" w:rsidP="00302D2C">
      <w:pPr>
        <w:pStyle w:val="ListParagraph"/>
        <w:numPr>
          <w:ilvl w:val="0"/>
          <w:numId w:val="21"/>
        </w:numPr>
        <w:autoSpaceDE w:val="0"/>
        <w:autoSpaceDN w:val="0"/>
        <w:adjustRightInd w:val="0"/>
        <w:jc w:val="both"/>
      </w:pPr>
      <w:r>
        <w:t xml:space="preserve">Level of </w:t>
      </w:r>
      <w:r w:rsidR="00A74BDB">
        <w:t>HC</w:t>
      </w:r>
      <w:r>
        <w:t xml:space="preserve"> investments significantly differ with regard to listing status of the company.</w:t>
      </w:r>
    </w:p>
    <w:p w:rsidR="00381ECA" w:rsidRDefault="00381ECA" w:rsidP="00381ECA">
      <w:pPr>
        <w:pStyle w:val="ListParagraph"/>
        <w:autoSpaceDE w:val="0"/>
        <w:autoSpaceDN w:val="0"/>
        <w:adjustRightInd w:val="0"/>
        <w:ind w:left="720"/>
        <w:jc w:val="both"/>
      </w:pPr>
    </w:p>
    <w:p w:rsidR="00C974B7" w:rsidRDefault="00C974B7" w:rsidP="00796187">
      <w:pPr>
        <w:autoSpaceDE w:val="0"/>
        <w:autoSpaceDN w:val="0"/>
        <w:adjustRightInd w:val="0"/>
        <w:jc w:val="both"/>
      </w:pPr>
    </w:p>
    <w:p w:rsidR="00796187" w:rsidRDefault="00796187" w:rsidP="00E23AB8">
      <w:pPr>
        <w:pStyle w:val="ListParagraph"/>
        <w:numPr>
          <w:ilvl w:val="1"/>
          <w:numId w:val="20"/>
        </w:numPr>
        <w:autoSpaceDE w:val="0"/>
        <w:autoSpaceDN w:val="0"/>
        <w:adjustRightInd w:val="0"/>
        <w:jc w:val="both"/>
        <w:rPr>
          <w:b/>
        </w:rPr>
      </w:pPr>
      <w:r w:rsidRPr="00302D2C">
        <w:rPr>
          <w:b/>
        </w:rPr>
        <w:t>Sample Selection</w:t>
      </w:r>
    </w:p>
    <w:p w:rsidR="00302D2C" w:rsidRPr="00302D2C" w:rsidRDefault="00302D2C" w:rsidP="00302D2C">
      <w:pPr>
        <w:pStyle w:val="ListParagraph"/>
        <w:autoSpaceDE w:val="0"/>
        <w:autoSpaceDN w:val="0"/>
        <w:adjustRightInd w:val="0"/>
        <w:ind w:left="720"/>
        <w:jc w:val="both"/>
        <w:rPr>
          <w:b/>
        </w:rPr>
      </w:pPr>
    </w:p>
    <w:p w:rsidR="008D44C7" w:rsidRDefault="00796187" w:rsidP="008D44C7">
      <w:pPr>
        <w:autoSpaceDE w:val="0"/>
        <w:autoSpaceDN w:val="0"/>
        <w:adjustRightInd w:val="0"/>
        <w:jc w:val="both"/>
      </w:pPr>
      <w:r>
        <w:t xml:space="preserve">The data for this research were obtained from Bureau Van </w:t>
      </w:r>
      <w:proofErr w:type="spellStart"/>
      <w:r>
        <w:t>Dijk</w:t>
      </w:r>
      <w:proofErr w:type="spellEnd"/>
      <w:r>
        <w:t xml:space="preserve"> Amadeus database </w:t>
      </w:r>
      <w:r w:rsidR="00302D2C">
        <w:rPr>
          <w:color w:val="000000"/>
          <w:lang w:val="en-GB"/>
        </w:rPr>
        <w:t xml:space="preserve">of </w:t>
      </w:r>
      <w:r w:rsidR="00C974B7" w:rsidRPr="0073052E">
        <w:rPr>
          <w:color w:val="000000"/>
          <w:lang w:val="en-GB"/>
        </w:rPr>
        <w:t>comparable financial information for public and private companies across Europe</w:t>
      </w:r>
      <w:r w:rsidR="00C974B7" w:rsidRPr="00C41AE2">
        <w:rPr>
          <w:color w:val="000000"/>
          <w:lang w:val="en-GB"/>
        </w:rPr>
        <w:t xml:space="preserve"> </w:t>
      </w:r>
      <w:r w:rsidR="00C974B7" w:rsidRPr="00456132">
        <w:rPr>
          <w:color w:val="000000"/>
          <w:lang w:val="en-GB"/>
        </w:rPr>
        <w:t>[</w:t>
      </w:r>
      <w:r w:rsidR="00456132" w:rsidRPr="00456132">
        <w:rPr>
          <w:color w:val="000000"/>
          <w:lang w:val="en-GB"/>
        </w:rPr>
        <w:t>8</w:t>
      </w:r>
      <w:r w:rsidR="00C974B7" w:rsidRPr="00456132">
        <w:rPr>
          <w:color w:val="000000"/>
          <w:lang w:val="en-GB"/>
        </w:rPr>
        <w:t>]</w:t>
      </w:r>
      <w:r w:rsidRPr="00456132">
        <w:t>.</w:t>
      </w:r>
      <w:r>
        <w:t xml:space="preserve"> </w:t>
      </w:r>
      <w:r w:rsidR="008D44C7">
        <w:t>Table 1 represents d</w:t>
      </w:r>
      <w:r w:rsidR="008D44C7" w:rsidRPr="0047712B">
        <w:t>etail structure of selected sample by 2</w:t>
      </w:r>
      <w:r w:rsidR="008D44C7">
        <w:t>2</w:t>
      </w:r>
      <w:r w:rsidR="008D44C7" w:rsidRPr="0047712B">
        <w:t xml:space="preserve"> </w:t>
      </w:r>
      <w:r w:rsidR="008D44C7">
        <w:t>EU countries.</w:t>
      </w:r>
    </w:p>
    <w:p w:rsidR="00F80859" w:rsidRPr="00C866A5" w:rsidRDefault="00F80859" w:rsidP="00302D2C">
      <w:pPr>
        <w:autoSpaceDE w:val="0"/>
        <w:autoSpaceDN w:val="0"/>
        <w:adjustRightInd w:val="0"/>
        <w:jc w:val="both"/>
      </w:pP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439"/>
        <w:gridCol w:w="1342"/>
        <w:gridCol w:w="1591"/>
        <w:gridCol w:w="1439"/>
        <w:gridCol w:w="1342"/>
      </w:tblGrid>
      <w:tr w:rsidR="004D378D" w:rsidRPr="00302D2C" w:rsidTr="009615B3">
        <w:tc>
          <w:tcPr>
            <w:tcW w:w="1008" w:type="pct"/>
            <w:vAlign w:val="center"/>
          </w:tcPr>
          <w:p w:rsidR="004D378D" w:rsidRPr="00302D2C" w:rsidRDefault="004D378D" w:rsidP="009615B3">
            <w:pPr>
              <w:pStyle w:val="Tableheading"/>
              <w:rPr>
                <w:rFonts w:ascii="Times New Roman" w:hAnsi="Times New Roman"/>
                <w:sz w:val="22"/>
              </w:rPr>
            </w:pPr>
            <w:r w:rsidRPr="00302D2C">
              <w:rPr>
                <w:rFonts w:ascii="Times New Roman" w:hAnsi="Times New Roman"/>
                <w:sz w:val="22"/>
              </w:rPr>
              <w:t>EU countries*</w:t>
            </w:r>
          </w:p>
        </w:tc>
        <w:tc>
          <w:tcPr>
            <w:tcW w:w="803" w:type="pct"/>
            <w:vAlign w:val="center"/>
          </w:tcPr>
          <w:p w:rsidR="004D378D" w:rsidRDefault="004D378D" w:rsidP="009615B3">
            <w:pPr>
              <w:pStyle w:val="Tableheading"/>
              <w:rPr>
                <w:rFonts w:ascii="Times New Roman" w:hAnsi="Times New Roman"/>
                <w:sz w:val="22"/>
              </w:rPr>
            </w:pPr>
            <w:r>
              <w:rPr>
                <w:rFonts w:ascii="Times New Roman" w:hAnsi="Times New Roman"/>
                <w:sz w:val="22"/>
              </w:rPr>
              <w:t>Number of</w:t>
            </w:r>
          </w:p>
          <w:p w:rsidR="004D378D" w:rsidRPr="00302D2C" w:rsidRDefault="004D378D" w:rsidP="009615B3">
            <w:pPr>
              <w:pStyle w:val="Tableheading"/>
              <w:rPr>
                <w:rFonts w:ascii="Times New Roman" w:hAnsi="Times New Roman"/>
                <w:sz w:val="22"/>
              </w:rPr>
            </w:pPr>
            <w:r w:rsidRPr="00302D2C">
              <w:rPr>
                <w:rFonts w:ascii="Times New Roman" w:hAnsi="Times New Roman"/>
                <w:sz w:val="22"/>
              </w:rPr>
              <w:t>observations</w:t>
            </w:r>
          </w:p>
        </w:tc>
        <w:tc>
          <w:tcPr>
            <w:tcW w:w="749" w:type="pct"/>
            <w:vAlign w:val="center"/>
          </w:tcPr>
          <w:p w:rsidR="004D378D" w:rsidRDefault="004D378D" w:rsidP="009615B3">
            <w:pPr>
              <w:pStyle w:val="Tableheading"/>
              <w:rPr>
                <w:rFonts w:ascii="Times New Roman" w:hAnsi="Times New Roman"/>
                <w:sz w:val="22"/>
              </w:rPr>
            </w:pPr>
            <w:r w:rsidRPr="00302D2C">
              <w:rPr>
                <w:rFonts w:ascii="Times New Roman" w:hAnsi="Times New Roman"/>
                <w:sz w:val="22"/>
              </w:rPr>
              <w:t xml:space="preserve">Percent (% </w:t>
            </w:r>
          </w:p>
          <w:p w:rsidR="004D378D" w:rsidRPr="00302D2C" w:rsidRDefault="004D378D" w:rsidP="009615B3">
            <w:pPr>
              <w:pStyle w:val="Tableheading"/>
              <w:rPr>
                <w:rFonts w:ascii="Times New Roman" w:hAnsi="Times New Roman"/>
                <w:sz w:val="22"/>
              </w:rPr>
            </w:pPr>
            <w:r w:rsidRPr="00302D2C">
              <w:rPr>
                <w:rFonts w:ascii="Times New Roman" w:hAnsi="Times New Roman"/>
                <w:sz w:val="22"/>
              </w:rPr>
              <w:t>of total)</w:t>
            </w:r>
          </w:p>
        </w:tc>
        <w:tc>
          <w:tcPr>
            <w:tcW w:w="888" w:type="pct"/>
            <w:vAlign w:val="center"/>
          </w:tcPr>
          <w:p w:rsidR="004D378D" w:rsidRPr="00302D2C" w:rsidRDefault="004D378D" w:rsidP="009615B3">
            <w:pPr>
              <w:pStyle w:val="Tableheading"/>
              <w:rPr>
                <w:rFonts w:ascii="Times New Roman" w:hAnsi="Times New Roman"/>
                <w:sz w:val="22"/>
              </w:rPr>
            </w:pPr>
            <w:r w:rsidRPr="00302D2C">
              <w:rPr>
                <w:rFonts w:ascii="Times New Roman" w:hAnsi="Times New Roman"/>
                <w:sz w:val="22"/>
              </w:rPr>
              <w:t>EU countries*</w:t>
            </w:r>
          </w:p>
        </w:tc>
        <w:tc>
          <w:tcPr>
            <w:tcW w:w="803" w:type="pct"/>
            <w:vAlign w:val="center"/>
          </w:tcPr>
          <w:p w:rsidR="004D378D" w:rsidRDefault="004D378D" w:rsidP="009615B3">
            <w:pPr>
              <w:pStyle w:val="Tableheading"/>
              <w:rPr>
                <w:rFonts w:ascii="Times New Roman" w:hAnsi="Times New Roman"/>
                <w:sz w:val="22"/>
              </w:rPr>
            </w:pPr>
            <w:r w:rsidRPr="00302D2C">
              <w:rPr>
                <w:rFonts w:ascii="Times New Roman" w:hAnsi="Times New Roman"/>
                <w:sz w:val="22"/>
              </w:rPr>
              <w:t xml:space="preserve">Number of </w:t>
            </w:r>
          </w:p>
          <w:p w:rsidR="004D378D" w:rsidRPr="00302D2C" w:rsidRDefault="004D378D" w:rsidP="009615B3">
            <w:pPr>
              <w:pStyle w:val="Tableheading"/>
              <w:rPr>
                <w:rFonts w:ascii="Times New Roman" w:hAnsi="Times New Roman"/>
                <w:sz w:val="22"/>
              </w:rPr>
            </w:pPr>
            <w:r w:rsidRPr="00302D2C">
              <w:rPr>
                <w:rFonts w:ascii="Times New Roman" w:hAnsi="Times New Roman"/>
                <w:sz w:val="22"/>
              </w:rPr>
              <w:t>observations</w:t>
            </w:r>
          </w:p>
        </w:tc>
        <w:tc>
          <w:tcPr>
            <w:tcW w:w="749" w:type="pct"/>
            <w:vAlign w:val="center"/>
          </w:tcPr>
          <w:p w:rsidR="004D378D" w:rsidRDefault="004D378D" w:rsidP="009615B3">
            <w:pPr>
              <w:pStyle w:val="Tableheading"/>
              <w:rPr>
                <w:rFonts w:ascii="Times New Roman" w:hAnsi="Times New Roman"/>
                <w:sz w:val="22"/>
              </w:rPr>
            </w:pPr>
            <w:r w:rsidRPr="00302D2C">
              <w:rPr>
                <w:rFonts w:ascii="Times New Roman" w:hAnsi="Times New Roman"/>
                <w:sz w:val="22"/>
              </w:rPr>
              <w:t xml:space="preserve">Percent (% </w:t>
            </w:r>
          </w:p>
          <w:p w:rsidR="004D378D" w:rsidRPr="00302D2C" w:rsidRDefault="004D378D" w:rsidP="009615B3">
            <w:pPr>
              <w:pStyle w:val="Tableheading"/>
              <w:rPr>
                <w:rFonts w:ascii="Times New Roman" w:hAnsi="Times New Roman"/>
                <w:sz w:val="22"/>
              </w:rPr>
            </w:pPr>
            <w:r w:rsidRPr="00302D2C">
              <w:rPr>
                <w:rFonts w:ascii="Times New Roman" w:hAnsi="Times New Roman"/>
                <w:sz w:val="22"/>
              </w:rPr>
              <w:t>of total)</w:t>
            </w:r>
          </w:p>
        </w:tc>
      </w:tr>
      <w:tr w:rsidR="004D378D" w:rsidRPr="00302D2C" w:rsidTr="009615B3">
        <w:tc>
          <w:tcPr>
            <w:tcW w:w="1008" w:type="pct"/>
          </w:tcPr>
          <w:p w:rsidR="004D378D" w:rsidRPr="00302D2C" w:rsidRDefault="004D378D" w:rsidP="009615B3">
            <w:pPr>
              <w:pStyle w:val="Tabletext"/>
              <w:jc w:val="left"/>
              <w:rPr>
                <w:sz w:val="22"/>
                <w:szCs w:val="22"/>
              </w:rPr>
            </w:pPr>
            <w:r w:rsidRPr="00302D2C">
              <w:rPr>
                <w:sz w:val="22"/>
                <w:szCs w:val="22"/>
              </w:rPr>
              <w:t>Austria</w:t>
            </w:r>
          </w:p>
        </w:tc>
        <w:tc>
          <w:tcPr>
            <w:tcW w:w="803" w:type="pct"/>
          </w:tcPr>
          <w:p w:rsidR="004D378D" w:rsidRPr="00302D2C" w:rsidRDefault="004D378D" w:rsidP="009615B3">
            <w:pPr>
              <w:pStyle w:val="Tabletext"/>
              <w:jc w:val="right"/>
              <w:rPr>
                <w:sz w:val="22"/>
                <w:szCs w:val="22"/>
              </w:rPr>
            </w:pPr>
            <w:r w:rsidRPr="00302D2C">
              <w:rPr>
                <w:sz w:val="22"/>
                <w:szCs w:val="22"/>
              </w:rPr>
              <w:t>6</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0.12</w:t>
            </w:r>
          </w:p>
        </w:tc>
        <w:tc>
          <w:tcPr>
            <w:tcW w:w="888" w:type="pct"/>
          </w:tcPr>
          <w:p w:rsidR="004D378D" w:rsidRPr="00302D2C" w:rsidRDefault="004D378D" w:rsidP="009615B3">
            <w:pPr>
              <w:pStyle w:val="Tabletext"/>
              <w:jc w:val="left"/>
              <w:rPr>
                <w:sz w:val="22"/>
                <w:szCs w:val="22"/>
              </w:rPr>
            </w:pPr>
            <w:r w:rsidRPr="00302D2C">
              <w:rPr>
                <w:sz w:val="22"/>
                <w:szCs w:val="22"/>
              </w:rPr>
              <w:t>Croatia</w:t>
            </w:r>
          </w:p>
        </w:tc>
        <w:tc>
          <w:tcPr>
            <w:tcW w:w="803" w:type="pct"/>
          </w:tcPr>
          <w:p w:rsidR="004D378D" w:rsidRPr="00302D2C" w:rsidRDefault="004D378D" w:rsidP="009615B3">
            <w:pPr>
              <w:pStyle w:val="Tabletext"/>
              <w:jc w:val="right"/>
              <w:rPr>
                <w:sz w:val="22"/>
                <w:szCs w:val="22"/>
              </w:rPr>
            </w:pPr>
            <w:r w:rsidRPr="00302D2C">
              <w:rPr>
                <w:sz w:val="22"/>
                <w:szCs w:val="22"/>
              </w:rPr>
              <w:t>330</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6.62</w:t>
            </w:r>
          </w:p>
        </w:tc>
      </w:tr>
      <w:tr w:rsidR="004D378D" w:rsidRPr="00302D2C" w:rsidTr="009615B3">
        <w:tc>
          <w:tcPr>
            <w:tcW w:w="1008" w:type="pct"/>
          </w:tcPr>
          <w:p w:rsidR="004D378D" w:rsidRPr="00302D2C" w:rsidRDefault="004D378D" w:rsidP="009615B3">
            <w:pPr>
              <w:pStyle w:val="Tabletext"/>
              <w:jc w:val="left"/>
              <w:rPr>
                <w:sz w:val="22"/>
                <w:szCs w:val="22"/>
              </w:rPr>
            </w:pPr>
            <w:r w:rsidRPr="00302D2C">
              <w:rPr>
                <w:sz w:val="22"/>
                <w:szCs w:val="22"/>
              </w:rPr>
              <w:t>Belgium</w:t>
            </w:r>
          </w:p>
        </w:tc>
        <w:tc>
          <w:tcPr>
            <w:tcW w:w="803" w:type="pct"/>
          </w:tcPr>
          <w:p w:rsidR="004D378D" w:rsidRPr="00302D2C" w:rsidRDefault="004D378D" w:rsidP="009615B3">
            <w:pPr>
              <w:pStyle w:val="Tabletext"/>
              <w:jc w:val="right"/>
              <w:rPr>
                <w:sz w:val="22"/>
                <w:szCs w:val="22"/>
              </w:rPr>
            </w:pPr>
            <w:r w:rsidRPr="00302D2C">
              <w:rPr>
                <w:sz w:val="22"/>
                <w:szCs w:val="22"/>
              </w:rPr>
              <w:t>284</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5.70</w:t>
            </w:r>
          </w:p>
        </w:tc>
        <w:tc>
          <w:tcPr>
            <w:tcW w:w="888" w:type="pct"/>
          </w:tcPr>
          <w:p w:rsidR="004D378D" w:rsidRPr="00302D2C" w:rsidRDefault="004D378D" w:rsidP="009615B3">
            <w:pPr>
              <w:pStyle w:val="Tabletext"/>
              <w:jc w:val="left"/>
              <w:rPr>
                <w:sz w:val="22"/>
                <w:szCs w:val="22"/>
              </w:rPr>
            </w:pPr>
            <w:r w:rsidRPr="00302D2C">
              <w:rPr>
                <w:sz w:val="22"/>
                <w:szCs w:val="22"/>
              </w:rPr>
              <w:t>Hungary</w:t>
            </w:r>
          </w:p>
        </w:tc>
        <w:tc>
          <w:tcPr>
            <w:tcW w:w="803" w:type="pct"/>
          </w:tcPr>
          <w:p w:rsidR="004D378D" w:rsidRPr="00302D2C" w:rsidRDefault="004D378D" w:rsidP="009615B3">
            <w:pPr>
              <w:pStyle w:val="Tabletext"/>
              <w:jc w:val="right"/>
              <w:rPr>
                <w:sz w:val="22"/>
                <w:szCs w:val="22"/>
              </w:rPr>
            </w:pPr>
            <w:r w:rsidRPr="00302D2C">
              <w:rPr>
                <w:sz w:val="22"/>
                <w:szCs w:val="22"/>
              </w:rPr>
              <w:t>1,203</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24.14</w:t>
            </w:r>
          </w:p>
        </w:tc>
      </w:tr>
      <w:tr w:rsidR="004D378D" w:rsidRPr="00302D2C" w:rsidTr="009615B3">
        <w:tc>
          <w:tcPr>
            <w:tcW w:w="1008" w:type="pct"/>
          </w:tcPr>
          <w:p w:rsidR="004D378D" w:rsidRPr="00302D2C" w:rsidRDefault="004D378D" w:rsidP="009615B3">
            <w:pPr>
              <w:pStyle w:val="Tabletext"/>
              <w:jc w:val="left"/>
              <w:rPr>
                <w:sz w:val="22"/>
                <w:szCs w:val="22"/>
              </w:rPr>
            </w:pPr>
            <w:r w:rsidRPr="00302D2C">
              <w:rPr>
                <w:sz w:val="22"/>
                <w:szCs w:val="22"/>
              </w:rPr>
              <w:t>Bulgaria</w:t>
            </w:r>
          </w:p>
        </w:tc>
        <w:tc>
          <w:tcPr>
            <w:tcW w:w="803" w:type="pct"/>
          </w:tcPr>
          <w:p w:rsidR="004D378D" w:rsidRPr="00302D2C" w:rsidRDefault="004D378D" w:rsidP="009615B3">
            <w:pPr>
              <w:pStyle w:val="Tabletext"/>
              <w:jc w:val="right"/>
              <w:rPr>
                <w:sz w:val="22"/>
                <w:szCs w:val="22"/>
              </w:rPr>
            </w:pPr>
            <w:r w:rsidRPr="00302D2C">
              <w:rPr>
                <w:sz w:val="22"/>
                <w:szCs w:val="22"/>
              </w:rPr>
              <w:t>507</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10.17</w:t>
            </w:r>
          </w:p>
        </w:tc>
        <w:tc>
          <w:tcPr>
            <w:tcW w:w="888" w:type="pct"/>
          </w:tcPr>
          <w:p w:rsidR="004D378D" w:rsidRPr="00302D2C" w:rsidRDefault="004D378D" w:rsidP="009615B3">
            <w:pPr>
              <w:pStyle w:val="Tabletext"/>
              <w:jc w:val="left"/>
              <w:rPr>
                <w:sz w:val="22"/>
                <w:szCs w:val="22"/>
              </w:rPr>
            </w:pPr>
            <w:r w:rsidRPr="00302D2C">
              <w:rPr>
                <w:sz w:val="22"/>
                <w:szCs w:val="22"/>
              </w:rPr>
              <w:t>Ireland</w:t>
            </w:r>
          </w:p>
        </w:tc>
        <w:tc>
          <w:tcPr>
            <w:tcW w:w="803" w:type="pct"/>
          </w:tcPr>
          <w:p w:rsidR="004D378D" w:rsidRPr="00302D2C" w:rsidRDefault="004D378D" w:rsidP="009615B3">
            <w:pPr>
              <w:pStyle w:val="Tabletext"/>
              <w:jc w:val="right"/>
              <w:rPr>
                <w:sz w:val="22"/>
                <w:szCs w:val="22"/>
              </w:rPr>
            </w:pPr>
            <w:r w:rsidRPr="00302D2C">
              <w:rPr>
                <w:sz w:val="22"/>
                <w:szCs w:val="22"/>
              </w:rPr>
              <w:t>47</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0.94</w:t>
            </w:r>
          </w:p>
        </w:tc>
      </w:tr>
      <w:tr w:rsidR="004D378D" w:rsidRPr="00302D2C" w:rsidTr="009615B3">
        <w:tc>
          <w:tcPr>
            <w:tcW w:w="1008" w:type="pct"/>
          </w:tcPr>
          <w:p w:rsidR="004D378D" w:rsidRPr="00302D2C" w:rsidRDefault="004D378D" w:rsidP="009615B3">
            <w:pPr>
              <w:pStyle w:val="Tabletext"/>
              <w:jc w:val="left"/>
              <w:rPr>
                <w:sz w:val="22"/>
                <w:szCs w:val="22"/>
              </w:rPr>
            </w:pPr>
            <w:r w:rsidRPr="00302D2C">
              <w:rPr>
                <w:sz w:val="22"/>
                <w:szCs w:val="22"/>
              </w:rPr>
              <w:t xml:space="preserve">Czech </w:t>
            </w:r>
            <w:r>
              <w:rPr>
                <w:sz w:val="22"/>
                <w:szCs w:val="22"/>
              </w:rPr>
              <w:t>R</w:t>
            </w:r>
            <w:r w:rsidRPr="00302D2C">
              <w:rPr>
                <w:sz w:val="22"/>
                <w:szCs w:val="22"/>
              </w:rPr>
              <w:t>ep</w:t>
            </w:r>
            <w:r>
              <w:rPr>
                <w:sz w:val="22"/>
                <w:szCs w:val="22"/>
              </w:rPr>
              <w:t>.</w:t>
            </w:r>
          </w:p>
        </w:tc>
        <w:tc>
          <w:tcPr>
            <w:tcW w:w="803" w:type="pct"/>
          </w:tcPr>
          <w:p w:rsidR="004D378D" w:rsidRPr="00302D2C" w:rsidRDefault="004D378D" w:rsidP="009615B3">
            <w:pPr>
              <w:pStyle w:val="Tabletext"/>
              <w:jc w:val="right"/>
              <w:rPr>
                <w:sz w:val="22"/>
                <w:szCs w:val="22"/>
              </w:rPr>
            </w:pPr>
            <w:r w:rsidRPr="00302D2C">
              <w:rPr>
                <w:sz w:val="22"/>
                <w:szCs w:val="22"/>
              </w:rPr>
              <w:t>27</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0.54</w:t>
            </w:r>
          </w:p>
        </w:tc>
        <w:tc>
          <w:tcPr>
            <w:tcW w:w="888" w:type="pct"/>
          </w:tcPr>
          <w:p w:rsidR="004D378D" w:rsidRPr="00302D2C" w:rsidRDefault="004D378D" w:rsidP="009615B3">
            <w:pPr>
              <w:pStyle w:val="Tabletext"/>
              <w:jc w:val="left"/>
              <w:rPr>
                <w:sz w:val="22"/>
                <w:szCs w:val="22"/>
              </w:rPr>
            </w:pPr>
            <w:r w:rsidRPr="00302D2C">
              <w:rPr>
                <w:sz w:val="22"/>
                <w:szCs w:val="22"/>
              </w:rPr>
              <w:t>Italy</w:t>
            </w:r>
          </w:p>
        </w:tc>
        <w:tc>
          <w:tcPr>
            <w:tcW w:w="803" w:type="pct"/>
          </w:tcPr>
          <w:p w:rsidR="004D378D" w:rsidRPr="00302D2C" w:rsidRDefault="004D378D" w:rsidP="009615B3">
            <w:pPr>
              <w:pStyle w:val="Tabletext"/>
              <w:jc w:val="right"/>
              <w:rPr>
                <w:sz w:val="22"/>
                <w:szCs w:val="22"/>
              </w:rPr>
            </w:pPr>
            <w:r w:rsidRPr="00302D2C">
              <w:rPr>
                <w:sz w:val="22"/>
                <w:szCs w:val="22"/>
              </w:rPr>
              <w:t>386</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7.74</w:t>
            </w:r>
          </w:p>
        </w:tc>
      </w:tr>
      <w:tr w:rsidR="004D378D" w:rsidRPr="00302D2C" w:rsidTr="009615B3">
        <w:tc>
          <w:tcPr>
            <w:tcW w:w="1008" w:type="pct"/>
          </w:tcPr>
          <w:p w:rsidR="004D378D" w:rsidRPr="00302D2C" w:rsidRDefault="004D378D" w:rsidP="009615B3">
            <w:pPr>
              <w:pStyle w:val="Tabletext"/>
              <w:jc w:val="left"/>
              <w:rPr>
                <w:sz w:val="22"/>
                <w:szCs w:val="22"/>
              </w:rPr>
            </w:pPr>
            <w:r w:rsidRPr="00302D2C">
              <w:rPr>
                <w:sz w:val="22"/>
                <w:szCs w:val="22"/>
              </w:rPr>
              <w:t>Germany</w:t>
            </w:r>
          </w:p>
        </w:tc>
        <w:tc>
          <w:tcPr>
            <w:tcW w:w="803" w:type="pct"/>
          </w:tcPr>
          <w:p w:rsidR="004D378D" w:rsidRPr="00302D2C" w:rsidRDefault="004D378D" w:rsidP="009615B3">
            <w:pPr>
              <w:pStyle w:val="Tabletext"/>
              <w:jc w:val="right"/>
              <w:rPr>
                <w:sz w:val="22"/>
                <w:szCs w:val="22"/>
              </w:rPr>
            </w:pPr>
            <w:r w:rsidRPr="00302D2C">
              <w:rPr>
                <w:sz w:val="22"/>
                <w:szCs w:val="22"/>
              </w:rPr>
              <w:t>27</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0.54</w:t>
            </w:r>
          </w:p>
        </w:tc>
        <w:tc>
          <w:tcPr>
            <w:tcW w:w="888" w:type="pct"/>
          </w:tcPr>
          <w:p w:rsidR="004D378D" w:rsidRPr="00302D2C" w:rsidRDefault="004D378D" w:rsidP="009615B3">
            <w:pPr>
              <w:pStyle w:val="Tabletext"/>
              <w:jc w:val="left"/>
              <w:rPr>
                <w:sz w:val="22"/>
                <w:szCs w:val="22"/>
              </w:rPr>
            </w:pPr>
            <w:r w:rsidRPr="00302D2C">
              <w:rPr>
                <w:sz w:val="22"/>
                <w:szCs w:val="22"/>
              </w:rPr>
              <w:t>Luxembourg</w:t>
            </w:r>
          </w:p>
        </w:tc>
        <w:tc>
          <w:tcPr>
            <w:tcW w:w="803" w:type="pct"/>
          </w:tcPr>
          <w:p w:rsidR="004D378D" w:rsidRPr="00302D2C" w:rsidRDefault="004D378D" w:rsidP="009615B3">
            <w:pPr>
              <w:pStyle w:val="Tabletext"/>
              <w:jc w:val="right"/>
              <w:rPr>
                <w:sz w:val="22"/>
                <w:szCs w:val="22"/>
              </w:rPr>
            </w:pPr>
            <w:r w:rsidRPr="00302D2C">
              <w:rPr>
                <w:sz w:val="22"/>
                <w:szCs w:val="22"/>
              </w:rPr>
              <w:t>1</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0.02</w:t>
            </w:r>
          </w:p>
        </w:tc>
      </w:tr>
      <w:tr w:rsidR="004D378D" w:rsidRPr="00302D2C" w:rsidTr="009615B3">
        <w:tc>
          <w:tcPr>
            <w:tcW w:w="1008" w:type="pct"/>
          </w:tcPr>
          <w:p w:rsidR="004D378D" w:rsidRPr="00302D2C" w:rsidRDefault="004D378D" w:rsidP="009615B3">
            <w:pPr>
              <w:pStyle w:val="Tabletext"/>
              <w:jc w:val="left"/>
              <w:rPr>
                <w:sz w:val="22"/>
                <w:szCs w:val="22"/>
              </w:rPr>
            </w:pPr>
            <w:r w:rsidRPr="00302D2C">
              <w:rPr>
                <w:sz w:val="22"/>
                <w:szCs w:val="22"/>
              </w:rPr>
              <w:t>Denmark</w:t>
            </w:r>
          </w:p>
        </w:tc>
        <w:tc>
          <w:tcPr>
            <w:tcW w:w="803" w:type="pct"/>
          </w:tcPr>
          <w:p w:rsidR="004D378D" w:rsidRPr="00302D2C" w:rsidRDefault="004D378D" w:rsidP="009615B3">
            <w:pPr>
              <w:pStyle w:val="Tabletext"/>
              <w:jc w:val="right"/>
              <w:rPr>
                <w:sz w:val="22"/>
                <w:szCs w:val="22"/>
              </w:rPr>
            </w:pPr>
            <w:r w:rsidRPr="00302D2C">
              <w:rPr>
                <w:sz w:val="22"/>
                <w:szCs w:val="22"/>
              </w:rPr>
              <w:t>110</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2.21</w:t>
            </w:r>
          </w:p>
        </w:tc>
        <w:tc>
          <w:tcPr>
            <w:tcW w:w="888" w:type="pct"/>
          </w:tcPr>
          <w:p w:rsidR="004D378D" w:rsidRPr="00302D2C" w:rsidRDefault="004D378D" w:rsidP="009615B3">
            <w:pPr>
              <w:pStyle w:val="Tabletext"/>
              <w:jc w:val="left"/>
              <w:rPr>
                <w:sz w:val="22"/>
                <w:szCs w:val="22"/>
              </w:rPr>
            </w:pPr>
            <w:r w:rsidRPr="00302D2C">
              <w:rPr>
                <w:sz w:val="22"/>
                <w:szCs w:val="22"/>
              </w:rPr>
              <w:t>Latvia</w:t>
            </w:r>
          </w:p>
        </w:tc>
        <w:tc>
          <w:tcPr>
            <w:tcW w:w="803" w:type="pct"/>
          </w:tcPr>
          <w:p w:rsidR="004D378D" w:rsidRPr="00302D2C" w:rsidRDefault="004D378D" w:rsidP="009615B3">
            <w:pPr>
              <w:pStyle w:val="Tabletext"/>
              <w:jc w:val="right"/>
              <w:rPr>
                <w:sz w:val="22"/>
                <w:szCs w:val="22"/>
              </w:rPr>
            </w:pPr>
            <w:r w:rsidRPr="00302D2C">
              <w:rPr>
                <w:sz w:val="22"/>
                <w:szCs w:val="22"/>
              </w:rPr>
              <w:t>29</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0.58</w:t>
            </w:r>
          </w:p>
        </w:tc>
      </w:tr>
      <w:tr w:rsidR="004D378D" w:rsidRPr="00302D2C" w:rsidTr="009615B3">
        <w:tc>
          <w:tcPr>
            <w:tcW w:w="1008" w:type="pct"/>
          </w:tcPr>
          <w:p w:rsidR="004D378D" w:rsidRPr="00302D2C" w:rsidRDefault="004D378D" w:rsidP="009615B3">
            <w:pPr>
              <w:pStyle w:val="Tabletext"/>
              <w:jc w:val="left"/>
              <w:rPr>
                <w:sz w:val="22"/>
                <w:szCs w:val="22"/>
              </w:rPr>
            </w:pPr>
            <w:r w:rsidRPr="00302D2C">
              <w:rPr>
                <w:sz w:val="22"/>
                <w:szCs w:val="22"/>
              </w:rPr>
              <w:t>Estonia</w:t>
            </w:r>
          </w:p>
        </w:tc>
        <w:tc>
          <w:tcPr>
            <w:tcW w:w="803" w:type="pct"/>
          </w:tcPr>
          <w:p w:rsidR="004D378D" w:rsidRPr="00302D2C" w:rsidRDefault="004D378D" w:rsidP="009615B3">
            <w:pPr>
              <w:pStyle w:val="Tabletext"/>
              <w:jc w:val="right"/>
              <w:rPr>
                <w:sz w:val="22"/>
                <w:szCs w:val="22"/>
              </w:rPr>
            </w:pPr>
            <w:r w:rsidRPr="00302D2C">
              <w:rPr>
                <w:sz w:val="22"/>
                <w:szCs w:val="22"/>
              </w:rPr>
              <w:t>52</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1.04</w:t>
            </w:r>
          </w:p>
        </w:tc>
        <w:tc>
          <w:tcPr>
            <w:tcW w:w="888" w:type="pct"/>
          </w:tcPr>
          <w:p w:rsidR="004D378D" w:rsidRPr="00302D2C" w:rsidRDefault="004D378D" w:rsidP="009615B3">
            <w:pPr>
              <w:pStyle w:val="Tabletext"/>
              <w:jc w:val="left"/>
              <w:rPr>
                <w:sz w:val="22"/>
                <w:szCs w:val="22"/>
              </w:rPr>
            </w:pPr>
            <w:r w:rsidRPr="00302D2C">
              <w:rPr>
                <w:sz w:val="22"/>
                <w:szCs w:val="22"/>
              </w:rPr>
              <w:t>Netherlands</w:t>
            </w:r>
          </w:p>
        </w:tc>
        <w:tc>
          <w:tcPr>
            <w:tcW w:w="803" w:type="pct"/>
          </w:tcPr>
          <w:p w:rsidR="004D378D" w:rsidRPr="00302D2C" w:rsidRDefault="004D378D" w:rsidP="009615B3">
            <w:pPr>
              <w:pStyle w:val="Tabletext"/>
              <w:jc w:val="right"/>
              <w:rPr>
                <w:sz w:val="22"/>
                <w:szCs w:val="22"/>
              </w:rPr>
            </w:pPr>
            <w:r w:rsidRPr="00302D2C">
              <w:rPr>
                <w:sz w:val="22"/>
                <w:szCs w:val="22"/>
              </w:rPr>
              <w:t>17</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0.34</w:t>
            </w:r>
          </w:p>
        </w:tc>
      </w:tr>
      <w:tr w:rsidR="004D378D" w:rsidRPr="00302D2C" w:rsidTr="009615B3">
        <w:tc>
          <w:tcPr>
            <w:tcW w:w="1008" w:type="pct"/>
          </w:tcPr>
          <w:p w:rsidR="004D378D" w:rsidRPr="00302D2C" w:rsidRDefault="004D378D" w:rsidP="009615B3">
            <w:pPr>
              <w:pStyle w:val="Tabletext"/>
              <w:jc w:val="left"/>
              <w:rPr>
                <w:sz w:val="22"/>
                <w:szCs w:val="22"/>
              </w:rPr>
            </w:pPr>
            <w:r w:rsidRPr="00302D2C">
              <w:rPr>
                <w:sz w:val="22"/>
                <w:szCs w:val="22"/>
              </w:rPr>
              <w:t>Spain</w:t>
            </w:r>
          </w:p>
        </w:tc>
        <w:tc>
          <w:tcPr>
            <w:tcW w:w="803" w:type="pct"/>
          </w:tcPr>
          <w:p w:rsidR="004D378D" w:rsidRPr="00302D2C" w:rsidRDefault="004D378D" w:rsidP="009615B3">
            <w:pPr>
              <w:pStyle w:val="Tabletext"/>
              <w:jc w:val="right"/>
              <w:rPr>
                <w:sz w:val="22"/>
                <w:szCs w:val="22"/>
              </w:rPr>
            </w:pPr>
            <w:r w:rsidRPr="00302D2C">
              <w:rPr>
                <w:sz w:val="22"/>
                <w:szCs w:val="22"/>
              </w:rPr>
              <w:t>15</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0.30</w:t>
            </w:r>
          </w:p>
        </w:tc>
        <w:tc>
          <w:tcPr>
            <w:tcW w:w="888" w:type="pct"/>
          </w:tcPr>
          <w:p w:rsidR="004D378D" w:rsidRPr="00302D2C" w:rsidRDefault="004D378D" w:rsidP="009615B3">
            <w:pPr>
              <w:pStyle w:val="Tabletext"/>
              <w:jc w:val="left"/>
              <w:rPr>
                <w:sz w:val="22"/>
                <w:szCs w:val="22"/>
              </w:rPr>
            </w:pPr>
            <w:r w:rsidRPr="00302D2C">
              <w:rPr>
                <w:sz w:val="22"/>
                <w:szCs w:val="22"/>
              </w:rPr>
              <w:t>Poland</w:t>
            </w:r>
          </w:p>
        </w:tc>
        <w:tc>
          <w:tcPr>
            <w:tcW w:w="803" w:type="pct"/>
          </w:tcPr>
          <w:p w:rsidR="004D378D" w:rsidRPr="00302D2C" w:rsidRDefault="004D378D" w:rsidP="009615B3">
            <w:pPr>
              <w:pStyle w:val="Tabletext"/>
              <w:jc w:val="right"/>
              <w:rPr>
                <w:sz w:val="22"/>
                <w:szCs w:val="22"/>
              </w:rPr>
            </w:pPr>
            <w:r w:rsidRPr="00302D2C">
              <w:rPr>
                <w:sz w:val="22"/>
                <w:szCs w:val="22"/>
              </w:rPr>
              <w:t>9</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0.18</w:t>
            </w:r>
          </w:p>
        </w:tc>
      </w:tr>
      <w:tr w:rsidR="004D378D" w:rsidRPr="00302D2C" w:rsidTr="009615B3">
        <w:tc>
          <w:tcPr>
            <w:tcW w:w="1008" w:type="pct"/>
          </w:tcPr>
          <w:p w:rsidR="004D378D" w:rsidRPr="00302D2C" w:rsidRDefault="004D378D" w:rsidP="009615B3">
            <w:pPr>
              <w:pStyle w:val="Tabletext"/>
              <w:jc w:val="left"/>
              <w:rPr>
                <w:sz w:val="22"/>
                <w:szCs w:val="22"/>
              </w:rPr>
            </w:pPr>
            <w:r w:rsidRPr="00302D2C">
              <w:rPr>
                <w:sz w:val="22"/>
                <w:szCs w:val="22"/>
              </w:rPr>
              <w:t>Finland</w:t>
            </w:r>
          </w:p>
        </w:tc>
        <w:tc>
          <w:tcPr>
            <w:tcW w:w="803" w:type="pct"/>
          </w:tcPr>
          <w:p w:rsidR="004D378D" w:rsidRPr="00302D2C" w:rsidRDefault="004D378D" w:rsidP="009615B3">
            <w:pPr>
              <w:pStyle w:val="Tabletext"/>
              <w:jc w:val="right"/>
              <w:rPr>
                <w:sz w:val="22"/>
                <w:szCs w:val="22"/>
              </w:rPr>
            </w:pPr>
            <w:r w:rsidRPr="00302D2C">
              <w:rPr>
                <w:sz w:val="22"/>
                <w:szCs w:val="22"/>
              </w:rPr>
              <w:t>267</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5.36</w:t>
            </w:r>
          </w:p>
        </w:tc>
        <w:tc>
          <w:tcPr>
            <w:tcW w:w="888" w:type="pct"/>
          </w:tcPr>
          <w:p w:rsidR="004D378D" w:rsidRPr="00302D2C" w:rsidRDefault="004D378D" w:rsidP="009615B3">
            <w:pPr>
              <w:pStyle w:val="Tabletext"/>
              <w:jc w:val="left"/>
              <w:rPr>
                <w:sz w:val="22"/>
                <w:szCs w:val="22"/>
              </w:rPr>
            </w:pPr>
            <w:r w:rsidRPr="00302D2C">
              <w:rPr>
                <w:sz w:val="22"/>
                <w:szCs w:val="22"/>
              </w:rPr>
              <w:t>Portugal</w:t>
            </w:r>
          </w:p>
        </w:tc>
        <w:tc>
          <w:tcPr>
            <w:tcW w:w="803" w:type="pct"/>
          </w:tcPr>
          <w:p w:rsidR="004D378D" w:rsidRPr="00302D2C" w:rsidRDefault="004D378D" w:rsidP="009615B3">
            <w:pPr>
              <w:pStyle w:val="Tabletext"/>
              <w:jc w:val="right"/>
              <w:rPr>
                <w:sz w:val="22"/>
                <w:szCs w:val="22"/>
              </w:rPr>
            </w:pPr>
            <w:r w:rsidRPr="00302D2C">
              <w:rPr>
                <w:sz w:val="22"/>
                <w:szCs w:val="22"/>
              </w:rPr>
              <w:t>1</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0.02</w:t>
            </w:r>
          </w:p>
        </w:tc>
      </w:tr>
      <w:tr w:rsidR="004D378D" w:rsidRPr="00302D2C" w:rsidTr="009615B3">
        <w:tc>
          <w:tcPr>
            <w:tcW w:w="1008" w:type="pct"/>
          </w:tcPr>
          <w:p w:rsidR="004D378D" w:rsidRPr="00302D2C" w:rsidRDefault="004D378D" w:rsidP="009615B3">
            <w:pPr>
              <w:pStyle w:val="Tabletext"/>
              <w:jc w:val="left"/>
              <w:rPr>
                <w:sz w:val="22"/>
                <w:szCs w:val="22"/>
              </w:rPr>
            </w:pPr>
            <w:r w:rsidRPr="00302D2C">
              <w:rPr>
                <w:sz w:val="22"/>
                <w:szCs w:val="22"/>
              </w:rPr>
              <w:t>France</w:t>
            </w:r>
          </w:p>
        </w:tc>
        <w:tc>
          <w:tcPr>
            <w:tcW w:w="803" w:type="pct"/>
          </w:tcPr>
          <w:p w:rsidR="004D378D" w:rsidRPr="00302D2C" w:rsidRDefault="004D378D" w:rsidP="009615B3">
            <w:pPr>
              <w:pStyle w:val="Tabletext"/>
              <w:jc w:val="right"/>
              <w:rPr>
                <w:sz w:val="22"/>
                <w:szCs w:val="22"/>
              </w:rPr>
            </w:pPr>
            <w:r w:rsidRPr="00302D2C">
              <w:rPr>
                <w:sz w:val="22"/>
                <w:szCs w:val="22"/>
              </w:rPr>
              <w:t>202</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4.05</w:t>
            </w:r>
          </w:p>
        </w:tc>
        <w:tc>
          <w:tcPr>
            <w:tcW w:w="888" w:type="pct"/>
          </w:tcPr>
          <w:p w:rsidR="004D378D" w:rsidRPr="00302D2C" w:rsidRDefault="004D378D" w:rsidP="009615B3">
            <w:pPr>
              <w:pStyle w:val="Tabletext"/>
              <w:jc w:val="left"/>
              <w:rPr>
                <w:sz w:val="22"/>
                <w:szCs w:val="22"/>
              </w:rPr>
            </w:pPr>
            <w:r w:rsidRPr="00302D2C">
              <w:rPr>
                <w:sz w:val="22"/>
                <w:szCs w:val="22"/>
              </w:rPr>
              <w:t>Sweden</w:t>
            </w:r>
          </w:p>
        </w:tc>
        <w:tc>
          <w:tcPr>
            <w:tcW w:w="803" w:type="pct"/>
          </w:tcPr>
          <w:p w:rsidR="004D378D" w:rsidRPr="00302D2C" w:rsidRDefault="004D378D" w:rsidP="009615B3">
            <w:pPr>
              <w:pStyle w:val="Tabletext"/>
              <w:jc w:val="right"/>
              <w:rPr>
                <w:sz w:val="22"/>
                <w:szCs w:val="22"/>
              </w:rPr>
            </w:pPr>
            <w:r w:rsidRPr="00302D2C">
              <w:rPr>
                <w:sz w:val="22"/>
                <w:szCs w:val="22"/>
              </w:rPr>
              <w:t>952</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19.10</w:t>
            </w:r>
          </w:p>
        </w:tc>
      </w:tr>
      <w:tr w:rsidR="004D378D" w:rsidRPr="00302D2C" w:rsidTr="009615B3">
        <w:tc>
          <w:tcPr>
            <w:tcW w:w="1008" w:type="pct"/>
            <w:tcBorders>
              <w:bottom w:val="single" w:sz="4" w:space="0" w:color="auto"/>
            </w:tcBorders>
          </w:tcPr>
          <w:p w:rsidR="004D378D" w:rsidRPr="00302D2C" w:rsidRDefault="004D378D" w:rsidP="009615B3">
            <w:pPr>
              <w:pStyle w:val="Tabletext"/>
              <w:jc w:val="left"/>
              <w:rPr>
                <w:sz w:val="22"/>
                <w:szCs w:val="22"/>
              </w:rPr>
            </w:pPr>
            <w:r w:rsidRPr="00302D2C">
              <w:rPr>
                <w:sz w:val="22"/>
                <w:szCs w:val="22"/>
              </w:rPr>
              <w:t>United Kingdom</w:t>
            </w:r>
          </w:p>
        </w:tc>
        <w:tc>
          <w:tcPr>
            <w:tcW w:w="803" w:type="pct"/>
            <w:tcBorders>
              <w:bottom w:val="single" w:sz="4" w:space="0" w:color="auto"/>
            </w:tcBorders>
          </w:tcPr>
          <w:p w:rsidR="004D378D" w:rsidRPr="00302D2C" w:rsidRDefault="004D378D" w:rsidP="009615B3">
            <w:pPr>
              <w:pStyle w:val="Tabletext"/>
              <w:jc w:val="right"/>
              <w:rPr>
                <w:sz w:val="22"/>
                <w:szCs w:val="22"/>
              </w:rPr>
            </w:pPr>
            <w:r w:rsidRPr="00302D2C">
              <w:rPr>
                <w:sz w:val="22"/>
                <w:szCs w:val="22"/>
              </w:rPr>
              <w:t>141</w:t>
            </w:r>
          </w:p>
        </w:tc>
        <w:tc>
          <w:tcPr>
            <w:tcW w:w="749" w:type="pct"/>
            <w:tcBorders>
              <w:bottom w:val="single" w:sz="4" w:space="0" w:color="auto"/>
            </w:tcBorders>
            <w:vAlign w:val="bottom"/>
          </w:tcPr>
          <w:p w:rsidR="004D378D" w:rsidRPr="00302D2C" w:rsidRDefault="004D378D" w:rsidP="009615B3">
            <w:pPr>
              <w:jc w:val="center"/>
              <w:rPr>
                <w:color w:val="000000"/>
                <w:sz w:val="22"/>
                <w:szCs w:val="22"/>
              </w:rPr>
            </w:pPr>
            <w:r w:rsidRPr="00302D2C">
              <w:rPr>
                <w:color w:val="000000"/>
                <w:sz w:val="22"/>
                <w:szCs w:val="22"/>
              </w:rPr>
              <w:t>2.83</w:t>
            </w:r>
          </w:p>
        </w:tc>
        <w:tc>
          <w:tcPr>
            <w:tcW w:w="888" w:type="pct"/>
          </w:tcPr>
          <w:p w:rsidR="004D378D" w:rsidRPr="00302D2C" w:rsidRDefault="004D378D" w:rsidP="009615B3">
            <w:pPr>
              <w:pStyle w:val="Tabletext"/>
              <w:jc w:val="left"/>
              <w:rPr>
                <w:sz w:val="22"/>
                <w:szCs w:val="22"/>
              </w:rPr>
            </w:pPr>
            <w:r w:rsidRPr="00302D2C">
              <w:rPr>
                <w:sz w:val="22"/>
                <w:szCs w:val="22"/>
              </w:rPr>
              <w:t>Slovakia</w:t>
            </w:r>
          </w:p>
        </w:tc>
        <w:tc>
          <w:tcPr>
            <w:tcW w:w="803" w:type="pct"/>
          </w:tcPr>
          <w:p w:rsidR="004D378D" w:rsidRPr="00302D2C" w:rsidRDefault="004D378D" w:rsidP="009615B3">
            <w:pPr>
              <w:pStyle w:val="Tabletext"/>
              <w:jc w:val="right"/>
              <w:rPr>
                <w:sz w:val="22"/>
                <w:szCs w:val="22"/>
              </w:rPr>
            </w:pPr>
            <w:r w:rsidRPr="00302D2C">
              <w:rPr>
                <w:sz w:val="22"/>
                <w:szCs w:val="22"/>
              </w:rPr>
              <w:t>371</w:t>
            </w:r>
          </w:p>
        </w:tc>
        <w:tc>
          <w:tcPr>
            <w:tcW w:w="749" w:type="pct"/>
            <w:vAlign w:val="bottom"/>
          </w:tcPr>
          <w:p w:rsidR="004D378D" w:rsidRPr="00302D2C" w:rsidRDefault="004D378D" w:rsidP="009615B3">
            <w:pPr>
              <w:jc w:val="center"/>
              <w:rPr>
                <w:color w:val="000000"/>
                <w:sz w:val="22"/>
                <w:szCs w:val="22"/>
              </w:rPr>
            </w:pPr>
            <w:r w:rsidRPr="00302D2C">
              <w:rPr>
                <w:color w:val="000000"/>
                <w:sz w:val="22"/>
                <w:szCs w:val="22"/>
              </w:rPr>
              <w:t>7.44</w:t>
            </w:r>
          </w:p>
        </w:tc>
      </w:tr>
      <w:tr w:rsidR="004D378D" w:rsidRPr="00302D2C" w:rsidTr="009615B3">
        <w:trPr>
          <w:trHeight w:val="215"/>
        </w:trPr>
        <w:tc>
          <w:tcPr>
            <w:tcW w:w="1008" w:type="pct"/>
            <w:tcBorders>
              <w:left w:val="nil"/>
              <w:bottom w:val="nil"/>
              <w:right w:val="nil"/>
            </w:tcBorders>
          </w:tcPr>
          <w:p w:rsidR="004D378D" w:rsidRPr="00302D2C" w:rsidRDefault="004D378D" w:rsidP="009615B3">
            <w:pPr>
              <w:rPr>
                <w:sz w:val="22"/>
                <w:szCs w:val="22"/>
              </w:rPr>
            </w:pPr>
          </w:p>
        </w:tc>
        <w:tc>
          <w:tcPr>
            <w:tcW w:w="803" w:type="pct"/>
            <w:tcBorders>
              <w:left w:val="nil"/>
              <w:bottom w:val="nil"/>
              <w:right w:val="nil"/>
            </w:tcBorders>
          </w:tcPr>
          <w:p w:rsidR="004D378D" w:rsidRPr="00302D2C" w:rsidRDefault="004D378D" w:rsidP="009615B3">
            <w:pPr>
              <w:jc w:val="center"/>
              <w:rPr>
                <w:sz w:val="22"/>
                <w:szCs w:val="22"/>
              </w:rPr>
            </w:pPr>
          </w:p>
        </w:tc>
        <w:tc>
          <w:tcPr>
            <w:tcW w:w="749" w:type="pct"/>
            <w:tcBorders>
              <w:left w:val="nil"/>
              <w:bottom w:val="nil"/>
            </w:tcBorders>
          </w:tcPr>
          <w:p w:rsidR="004D378D" w:rsidRPr="00302D2C" w:rsidRDefault="004D378D" w:rsidP="009615B3">
            <w:pPr>
              <w:jc w:val="center"/>
              <w:rPr>
                <w:sz w:val="22"/>
                <w:szCs w:val="22"/>
              </w:rPr>
            </w:pPr>
          </w:p>
        </w:tc>
        <w:tc>
          <w:tcPr>
            <w:tcW w:w="888" w:type="pct"/>
          </w:tcPr>
          <w:p w:rsidR="004D378D" w:rsidRPr="00302D2C" w:rsidRDefault="004D378D" w:rsidP="009615B3">
            <w:pPr>
              <w:rPr>
                <w:sz w:val="22"/>
                <w:szCs w:val="22"/>
              </w:rPr>
            </w:pPr>
            <w:r w:rsidRPr="00302D2C">
              <w:rPr>
                <w:sz w:val="22"/>
                <w:szCs w:val="22"/>
              </w:rPr>
              <w:t>Total</w:t>
            </w:r>
          </w:p>
        </w:tc>
        <w:tc>
          <w:tcPr>
            <w:tcW w:w="803" w:type="pct"/>
          </w:tcPr>
          <w:p w:rsidR="004D378D" w:rsidRPr="00302D2C" w:rsidRDefault="004D378D" w:rsidP="009615B3">
            <w:pPr>
              <w:jc w:val="right"/>
              <w:rPr>
                <w:sz w:val="22"/>
                <w:szCs w:val="22"/>
              </w:rPr>
            </w:pPr>
            <w:r w:rsidRPr="00302D2C">
              <w:rPr>
                <w:sz w:val="22"/>
                <w:szCs w:val="22"/>
              </w:rPr>
              <w:t>4,984</w:t>
            </w:r>
          </w:p>
        </w:tc>
        <w:tc>
          <w:tcPr>
            <w:tcW w:w="749" w:type="pct"/>
          </w:tcPr>
          <w:p w:rsidR="004D378D" w:rsidRPr="00302D2C" w:rsidRDefault="004D378D" w:rsidP="009615B3">
            <w:pPr>
              <w:jc w:val="center"/>
              <w:rPr>
                <w:sz w:val="22"/>
                <w:szCs w:val="22"/>
              </w:rPr>
            </w:pPr>
            <w:r w:rsidRPr="00302D2C">
              <w:rPr>
                <w:sz w:val="22"/>
                <w:szCs w:val="22"/>
              </w:rPr>
              <w:t>100</w:t>
            </w:r>
          </w:p>
        </w:tc>
      </w:tr>
    </w:tbl>
    <w:p w:rsidR="00C974B7" w:rsidRPr="00302D2C" w:rsidRDefault="00C974B7" w:rsidP="00C974B7">
      <w:pPr>
        <w:rPr>
          <w:i/>
          <w:sz w:val="20"/>
          <w:szCs w:val="16"/>
        </w:rPr>
      </w:pPr>
      <w:r w:rsidRPr="00302D2C">
        <w:rPr>
          <w:i/>
          <w:sz w:val="20"/>
          <w:szCs w:val="16"/>
        </w:rPr>
        <w:t>*without Greece, Cyprus, Lithuania, Malta, Romania and Slovenia (no available data)</w:t>
      </w:r>
    </w:p>
    <w:p w:rsidR="00C974B7" w:rsidRDefault="00C974B7" w:rsidP="00C974B7">
      <w:pPr>
        <w:rPr>
          <w:i/>
          <w:sz w:val="20"/>
          <w:szCs w:val="16"/>
        </w:rPr>
      </w:pPr>
      <w:r w:rsidRPr="00302D2C">
        <w:rPr>
          <w:i/>
          <w:sz w:val="20"/>
          <w:szCs w:val="16"/>
        </w:rPr>
        <w:t xml:space="preserve">Source: Calculated according to the Bureau Van </w:t>
      </w:r>
      <w:proofErr w:type="spellStart"/>
      <w:r w:rsidRPr="00302D2C">
        <w:rPr>
          <w:i/>
          <w:sz w:val="20"/>
          <w:szCs w:val="16"/>
        </w:rPr>
        <w:t>Dijk</w:t>
      </w:r>
      <w:proofErr w:type="spellEnd"/>
      <w:r w:rsidRPr="00302D2C">
        <w:rPr>
          <w:i/>
          <w:sz w:val="20"/>
          <w:szCs w:val="16"/>
        </w:rPr>
        <w:t xml:space="preserve"> Amadeus database (2015)</w:t>
      </w:r>
    </w:p>
    <w:p w:rsidR="0074701B" w:rsidRPr="00302D2C" w:rsidRDefault="0074701B" w:rsidP="00C974B7">
      <w:pPr>
        <w:rPr>
          <w:i/>
          <w:sz w:val="20"/>
          <w:szCs w:val="16"/>
        </w:rPr>
      </w:pPr>
    </w:p>
    <w:p w:rsidR="00C974B7" w:rsidRPr="00AA113E" w:rsidRDefault="00C974B7" w:rsidP="00C974B7">
      <w:pPr>
        <w:pStyle w:val="BodyText"/>
        <w:ind w:left="770" w:hanging="784"/>
        <w:jc w:val="left"/>
        <w:rPr>
          <w:b w:val="0"/>
          <w:sz w:val="22"/>
          <w:szCs w:val="22"/>
        </w:rPr>
      </w:pPr>
      <w:proofErr w:type="gramStart"/>
      <w:r w:rsidRPr="00AA113E">
        <w:rPr>
          <w:b w:val="0"/>
          <w:sz w:val="22"/>
          <w:szCs w:val="22"/>
        </w:rPr>
        <w:t xml:space="preserve">Table 1: </w:t>
      </w:r>
      <w:r w:rsidRPr="00B7772A">
        <w:rPr>
          <w:b w:val="0"/>
          <w:sz w:val="22"/>
          <w:szCs w:val="22"/>
        </w:rPr>
        <w:t>Sample structure by countries</w:t>
      </w:r>
      <w:r w:rsidR="0074701B">
        <w:rPr>
          <w:b w:val="0"/>
          <w:sz w:val="22"/>
          <w:szCs w:val="22"/>
        </w:rPr>
        <w:t>.</w:t>
      </w:r>
      <w:proofErr w:type="gramEnd"/>
    </w:p>
    <w:p w:rsidR="008D44C7" w:rsidRDefault="008D44C7" w:rsidP="008D44C7">
      <w:pPr>
        <w:autoSpaceDE w:val="0"/>
        <w:autoSpaceDN w:val="0"/>
        <w:adjustRightInd w:val="0"/>
        <w:jc w:val="both"/>
      </w:pPr>
      <w:r>
        <w:lastRenderedPageBreak/>
        <w:t>To be more precise, annual financial reports of 19.8 million companies were reviewed and companies were selected in the sample according to the following criteria:</w:t>
      </w:r>
    </w:p>
    <w:p w:rsidR="008D44C7" w:rsidRDefault="008D44C7" w:rsidP="008D44C7">
      <w:pPr>
        <w:pStyle w:val="ListParagraph"/>
        <w:numPr>
          <w:ilvl w:val="0"/>
          <w:numId w:val="22"/>
        </w:numPr>
        <w:autoSpaceDE w:val="0"/>
        <w:autoSpaceDN w:val="0"/>
        <w:adjustRightInd w:val="0"/>
        <w:jc w:val="both"/>
      </w:pPr>
      <w:r>
        <w:t>All legal entities paying the profit tax in the year 2015.</w:t>
      </w:r>
    </w:p>
    <w:p w:rsidR="008D44C7" w:rsidRDefault="008D44C7" w:rsidP="008D44C7">
      <w:pPr>
        <w:pStyle w:val="ListParagraph"/>
        <w:numPr>
          <w:ilvl w:val="0"/>
          <w:numId w:val="22"/>
        </w:numPr>
        <w:autoSpaceDE w:val="0"/>
        <w:autoSpaceDN w:val="0"/>
        <w:adjustRightInd w:val="0"/>
        <w:jc w:val="both"/>
      </w:pPr>
      <w:r>
        <w:t>Company’s data are available for the five-year period (2011-2015).</w:t>
      </w:r>
    </w:p>
    <w:p w:rsidR="008D44C7" w:rsidRDefault="008D44C7" w:rsidP="008D44C7">
      <w:pPr>
        <w:pStyle w:val="ListParagraph"/>
        <w:numPr>
          <w:ilvl w:val="0"/>
          <w:numId w:val="22"/>
        </w:numPr>
        <w:autoSpaceDE w:val="0"/>
        <w:autoSpaceDN w:val="0"/>
        <w:adjustRightInd w:val="0"/>
        <w:jc w:val="both"/>
      </w:pPr>
      <w:r>
        <w:t xml:space="preserve">Company’s main activity is HC intensive industry, </w:t>
      </w:r>
      <w:proofErr w:type="spellStart"/>
      <w:r>
        <w:t>i</w:t>
      </w:r>
      <w:proofErr w:type="spellEnd"/>
      <w:r>
        <w:t xml:space="preserve">. e. division 72 - information technology activities and division 73 - activities of research and development of NAICS 2012 classification (primary codes).  </w:t>
      </w:r>
    </w:p>
    <w:p w:rsidR="008D44C7" w:rsidRDefault="008D44C7" w:rsidP="008D44C7">
      <w:pPr>
        <w:pStyle w:val="ListParagraph"/>
        <w:numPr>
          <w:ilvl w:val="0"/>
          <w:numId w:val="22"/>
        </w:numPr>
        <w:autoSpaceDE w:val="0"/>
        <w:autoSpaceDN w:val="0"/>
        <w:adjustRightInd w:val="0"/>
        <w:jc w:val="both"/>
      </w:pPr>
      <w:r>
        <w:t xml:space="preserve">Company is located in one of the 28 European Union countries. </w:t>
      </w:r>
    </w:p>
    <w:p w:rsidR="008D44C7" w:rsidRDefault="008D44C7" w:rsidP="008D44C7">
      <w:pPr>
        <w:autoSpaceDE w:val="0"/>
        <w:autoSpaceDN w:val="0"/>
        <w:adjustRightInd w:val="0"/>
        <w:jc w:val="both"/>
      </w:pPr>
      <w:r>
        <w:t xml:space="preserve">Companies with missing or incomplete data are excluded, so final sample consists of app. 5,000 </w:t>
      </w:r>
      <w:r w:rsidRPr="0047712B">
        <w:t>company-year observations</w:t>
      </w:r>
      <w:r>
        <w:t xml:space="preserve">. </w:t>
      </w:r>
    </w:p>
    <w:p w:rsidR="00C974B7" w:rsidRDefault="00C974B7" w:rsidP="00796187">
      <w:pPr>
        <w:autoSpaceDE w:val="0"/>
        <w:autoSpaceDN w:val="0"/>
        <w:adjustRightInd w:val="0"/>
        <w:jc w:val="both"/>
      </w:pPr>
    </w:p>
    <w:p w:rsidR="00796187" w:rsidRDefault="00796187" w:rsidP="00E23AB8">
      <w:pPr>
        <w:pStyle w:val="ListParagraph"/>
        <w:numPr>
          <w:ilvl w:val="1"/>
          <w:numId w:val="20"/>
        </w:numPr>
        <w:autoSpaceDE w:val="0"/>
        <w:autoSpaceDN w:val="0"/>
        <w:adjustRightInd w:val="0"/>
        <w:jc w:val="both"/>
        <w:rPr>
          <w:b/>
        </w:rPr>
      </w:pPr>
      <w:r w:rsidRPr="00302D2C">
        <w:rPr>
          <w:b/>
        </w:rPr>
        <w:t>Variables Description</w:t>
      </w:r>
      <w:r w:rsidR="00F91BC0">
        <w:rPr>
          <w:b/>
        </w:rPr>
        <w:t xml:space="preserve"> </w:t>
      </w:r>
    </w:p>
    <w:p w:rsidR="00302D2C" w:rsidRPr="00302D2C" w:rsidRDefault="00302D2C" w:rsidP="00302D2C">
      <w:pPr>
        <w:pStyle w:val="ListParagraph"/>
        <w:autoSpaceDE w:val="0"/>
        <w:autoSpaceDN w:val="0"/>
        <w:adjustRightInd w:val="0"/>
        <w:ind w:left="720"/>
        <w:jc w:val="both"/>
        <w:rPr>
          <w:b/>
        </w:rPr>
      </w:pPr>
    </w:p>
    <w:p w:rsidR="00796187" w:rsidRDefault="00803DE1" w:rsidP="00796187">
      <w:pPr>
        <w:autoSpaceDE w:val="0"/>
        <w:autoSpaceDN w:val="0"/>
        <w:adjustRightInd w:val="0"/>
        <w:jc w:val="both"/>
      </w:pPr>
      <w:r>
        <w:t>Dependent variable is a</w:t>
      </w:r>
      <w:r w:rsidR="00796187">
        <w:t>nnual salary</w:t>
      </w:r>
      <w:r w:rsidR="00A54542">
        <w:t xml:space="preserve"> (AVCOSTE)</w:t>
      </w:r>
      <w:r w:rsidR="00796187">
        <w:t xml:space="preserve"> exceeding average annual salary for the industry sector in each country</w:t>
      </w:r>
      <w:r w:rsidR="00C866A5">
        <w:t xml:space="preserve"> for the each year observed</w:t>
      </w:r>
      <w:r w:rsidR="00A32383">
        <w:t xml:space="preserve"> which</w:t>
      </w:r>
      <w:r w:rsidR="00796187">
        <w:t xml:space="preserve"> is set as pro</w:t>
      </w:r>
      <w:r w:rsidR="00A32383">
        <w:t xml:space="preserve">xy for </w:t>
      </w:r>
      <w:r w:rsidR="00CC3B8D">
        <w:t>HC</w:t>
      </w:r>
      <w:r w:rsidR="00A32383">
        <w:t xml:space="preserve"> investment, </w:t>
      </w:r>
      <w:r w:rsidR="00AD28BC">
        <w:t xml:space="preserve">similar to </w:t>
      </w:r>
      <w:r w:rsidR="008B6847">
        <w:rPr>
          <w:lang w:val="en-GB" w:eastAsia="hr-HR"/>
        </w:rPr>
        <w:t>[4]</w:t>
      </w:r>
      <w:r w:rsidR="00AD28BC">
        <w:t xml:space="preserve"> methodology and</w:t>
      </w:r>
      <w:r>
        <w:t xml:space="preserve"> taking into account the li</w:t>
      </w:r>
      <w:r w:rsidR="00AD28BC">
        <w:t>mitations of the available data.</w:t>
      </w:r>
      <w:r w:rsidR="00EB6806">
        <w:t xml:space="preserve"> Independents are defined as follows:</w:t>
      </w:r>
    </w:p>
    <w:p w:rsidR="00EB6806" w:rsidRDefault="00EB6806" w:rsidP="003146B3">
      <w:pPr>
        <w:pStyle w:val="ListParagraph"/>
        <w:numPr>
          <w:ilvl w:val="0"/>
          <w:numId w:val="25"/>
        </w:numPr>
        <w:autoSpaceDE w:val="0"/>
        <w:autoSpaceDN w:val="0"/>
        <w:adjustRightInd w:val="0"/>
        <w:jc w:val="both"/>
      </w:pPr>
      <w:r>
        <w:t xml:space="preserve">Company size </w:t>
      </w:r>
      <w:r w:rsidR="00A54542">
        <w:t xml:space="preserve">(CATCOMP) </w:t>
      </w:r>
      <w:r>
        <w:t>is defined based on Amadeus BVD classification</w:t>
      </w:r>
      <w:r w:rsidR="00860E43">
        <w:t xml:space="preserve"> on very large, large, medium and small. C</w:t>
      </w:r>
      <w:r>
        <w:t>ompanies are very large when they match at least one of the following conditions: listed</w:t>
      </w:r>
      <w:r w:rsidR="00860E43">
        <w:t xml:space="preserve"> shares</w:t>
      </w:r>
      <w:r>
        <w:t xml:space="preserve">, operating revenue higher than 100 million EUR, total assets higher than 200 million EUR and more than 1,000 employees. Large companies are those that are not classified as very large and match at least one of the following conditions: operating revenue higher than 10 million EUR, total assets higher than 20 million EUR and </w:t>
      </w:r>
      <w:r w:rsidR="0040697B">
        <w:t>have more</w:t>
      </w:r>
      <w:r>
        <w:t xml:space="preserve"> than 150</w:t>
      </w:r>
      <w:r w:rsidR="0040697B">
        <w:t xml:space="preserve"> employees</w:t>
      </w:r>
      <w:r>
        <w:t xml:space="preserve">. </w:t>
      </w:r>
      <w:r w:rsidR="00860E43">
        <w:t>If the</w:t>
      </w:r>
      <w:r>
        <w:t xml:space="preserve"> </w:t>
      </w:r>
      <w:r w:rsidR="00860E43">
        <w:t xml:space="preserve">companies </w:t>
      </w:r>
      <w:r>
        <w:t>are not large or very large, but match at least one of the following conditions: operating revenue higher than 1 million EUR, total assets higher than 2 million EUR and have more than 15 employees</w:t>
      </w:r>
      <w:r w:rsidR="00860E43">
        <w:t>, they are considered to be medium sized</w:t>
      </w:r>
      <w:r>
        <w:t xml:space="preserve">. </w:t>
      </w:r>
      <w:r w:rsidR="00860E43">
        <w:t>Lastly, i</w:t>
      </w:r>
      <w:r>
        <w:t xml:space="preserve">f the company is not included in any of </w:t>
      </w:r>
      <w:r w:rsidR="00E74BCD">
        <w:t xml:space="preserve">the </w:t>
      </w:r>
      <w:r>
        <w:t xml:space="preserve">above mentioned categories, it is considered to be small. There are a number of theoretical explanations for expecting a positive relationship between </w:t>
      </w:r>
      <w:r w:rsidR="00860E43">
        <w:t xml:space="preserve">size and </w:t>
      </w:r>
      <w:r w:rsidR="008B6847">
        <w:t>HC</w:t>
      </w:r>
      <w:r w:rsidR="00860E43">
        <w:t xml:space="preserve"> investment</w:t>
      </w:r>
      <w:r w:rsidR="003146B3">
        <w:t>, e.g.</w:t>
      </w:r>
      <w:r>
        <w:t xml:space="preserve"> </w:t>
      </w:r>
      <w:r w:rsidR="008B6847">
        <w:rPr>
          <w:lang w:val="en-GB" w:eastAsia="hr-HR"/>
        </w:rPr>
        <w:t>[1</w:t>
      </w:r>
      <w:r w:rsidR="00B87C00">
        <w:rPr>
          <w:lang w:val="en-GB" w:eastAsia="hr-HR"/>
        </w:rPr>
        <w:t>8</w:t>
      </w:r>
      <w:r w:rsidR="008B6847">
        <w:rPr>
          <w:lang w:val="en-GB" w:eastAsia="hr-HR"/>
        </w:rPr>
        <w:t>] and [2]</w:t>
      </w:r>
      <w:r>
        <w:t xml:space="preserve"> assumed that large and very large companies invest more in</w:t>
      </w:r>
      <w:r w:rsidR="00860E43">
        <w:t xml:space="preserve"> its </w:t>
      </w:r>
      <w:r w:rsidR="008B6847">
        <w:t>HC</w:t>
      </w:r>
      <w:r w:rsidR="00860E43">
        <w:t xml:space="preserve"> as they frequently have organized </w:t>
      </w:r>
      <w:r w:rsidR="001768D1">
        <w:t xml:space="preserve">HR </w:t>
      </w:r>
      <w:r w:rsidR="00860E43">
        <w:t xml:space="preserve">department </w:t>
      </w:r>
      <w:r>
        <w:t xml:space="preserve">that provide all </w:t>
      </w:r>
      <w:r w:rsidR="0040697B">
        <w:t>HR</w:t>
      </w:r>
      <w:r>
        <w:t xml:space="preserve"> activities,</w:t>
      </w:r>
      <w:r w:rsidR="00860E43">
        <w:t xml:space="preserve"> while</w:t>
      </w:r>
      <w:r>
        <w:t xml:space="preserve"> small companies are usually characterized with the inconsistency of HR</w:t>
      </w:r>
      <w:r w:rsidR="001768D1">
        <w:t xml:space="preserve"> development</w:t>
      </w:r>
      <w:r>
        <w:t xml:space="preserve">, not giving enough space </w:t>
      </w:r>
      <w:r w:rsidR="007768BF">
        <w:t xml:space="preserve">as well as funds </w:t>
      </w:r>
      <w:r>
        <w:t xml:space="preserve">for </w:t>
      </w:r>
      <w:r w:rsidR="008B6847">
        <w:t>HC</w:t>
      </w:r>
      <w:r>
        <w:t xml:space="preserve"> to be created.</w:t>
      </w:r>
    </w:p>
    <w:p w:rsidR="007768BF" w:rsidRDefault="007768BF" w:rsidP="007768BF">
      <w:pPr>
        <w:pStyle w:val="ListParagraph"/>
        <w:numPr>
          <w:ilvl w:val="0"/>
          <w:numId w:val="25"/>
        </w:numPr>
        <w:autoSpaceDE w:val="0"/>
        <w:autoSpaceDN w:val="0"/>
        <w:adjustRightInd w:val="0"/>
        <w:jc w:val="both"/>
      </w:pPr>
      <w:r>
        <w:t xml:space="preserve">Listing </w:t>
      </w:r>
      <w:r w:rsidR="0077172D">
        <w:t>status</w:t>
      </w:r>
      <w:r w:rsidR="00A54542">
        <w:t xml:space="preserve"> </w:t>
      </w:r>
      <w:r>
        <w:t>variable</w:t>
      </w:r>
      <w:r w:rsidR="00A54542">
        <w:t xml:space="preserve"> (PUBQOT) </w:t>
      </w:r>
      <w:r>
        <w:t xml:space="preserve">implies whether the company is issuing securities that are traded on the organized capital market. It is assumed that companies whose securities are listed on the stock market have a greater incentive for corporate social responsibility and accordingly higher value of </w:t>
      </w:r>
      <w:r w:rsidR="004040FA">
        <w:t>HC</w:t>
      </w:r>
      <w:r>
        <w:t xml:space="preserve"> investment than the companies that have not issued their securities or </w:t>
      </w:r>
      <w:r w:rsidR="004040FA">
        <w:t>those</w:t>
      </w:r>
      <w:r>
        <w:t xml:space="preserve"> are no longer traded on the stock exchange. </w:t>
      </w:r>
    </w:p>
    <w:p w:rsidR="00796187" w:rsidRDefault="00AD28BC" w:rsidP="00EB6806">
      <w:pPr>
        <w:pStyle w:val="ListParagraph"/>
        <w:numPr>
          <w:ilvl w:val="0"/>
          <w:numId w:val="25"/>
        </w:numPr>
        <w:autoSpaceDE w:val="0"/>
        <w:autoSpaceDN w:val="0"/>
        <w:adjustRightInd w:val="0"/>
        <w:jc w:val="both"/>
      </w:pPr>
      <w:r>
        <w:t>Profitability is measured by f</w:t>
      </w:r>
      <w:r w:rsidR="00796187">
        <w:t>inancial ratio</w:t>
      </w:r>
      <w:r>
        <w:t>s</w:t>
      </w:r>
      <w:r w:rsidR="00796187">
        <w:t xml:space="preserve"> return on equity</w:t>
      </w:r>
      <w:r>
        <w:t xml:space="preserve"> </w:t>
      </w:r>
      <w:r w:rsidR="00A54542">
        <w:t xml:space="preserve">(ROE) </w:t>
      </w:r>
      <w:r>
        <w:t>and profit margin</w:t>
      </w:r>
      <w:r w:rsidR="00A54542">
        <w:t xml:space="preserve"> (PROFMAR)</w:t>
      </w:r>
      <w:r>
        <w:t xml:space="preserve">. </w:t>
      </w:r>
      <w:r w:rsidR="00583090">
        <w:t>ROE</w:t>
      </w:r>
      <w:r>
        <w:t xml:space="preserve"> is</w:t>
      </w:r>
      <w:r w:rsidR="00796187">
        <w:t xml:space="preserve"> calculated as net income divided by shareholders’ equity, </w:t>
      </w:r>
      <w:r>
        <w:t xml:space="preserve">and </w:t>
      </w:r>
      <w:r w:rsidR="00796187">
        <w:t xml:space="preserve">profit margin is expressed as percentage of sales that is left over after all expenses are covered by the business. In accordance with the aforementioned, it is reasonable to expect a positive relation between the level of </w:t>
      </w:r>
      <w:r w:rsidR="00CC3B8D">
        <w:t>HC</w:t>
      </w:r>
      <w:r w:rsidR="00796187">
        <w:t xml:space="preserve"> investment and profitability.</w:t>
      </w:r>
    </w:p>
    <w:p w:rsidR="00796187" w:rsidRDefault="00EB6806" w:rsidP="00796187">
      <w:pPr>
        <w:pStyle w:val="ListParagraph"/>
        <w:numPr>
          <w:ilvl w:val="0"/>
          <w:numId w:val="25"/>
        </w:numPr>
        <w:autoSpaceDE w:val="0"/>
        <w:autoSpaceDN w:val="0"/>
        <w:adjustRightInd w:val="0"/>
        <w:jc w:val="both"/>
      </w:pPr>
      <w:r>
        <w:t>C</w:t>
      </w:r>
      <w:r w:rsidR="00796187">
        <w:t>apitalization of employees’ knowledge, skills and abilities in company’s asset</w:t>
      </w:r>
      <w:r>
        <w:t xml:space="preserve"> are approximated with number of trademarks </w:t>
      </w:r>
      <w:r w:rsidR="00A54542">
        <w:t xml:space="preserve">(NBTRAD) </w:t>
      </w:r>
      <w:r>
        <w:t xml:space="preserve">and </w:t>
      </w:r>
      <w:r w:rsidR="00796187">
        <w:t xml:space="preserve">expected sign of relation </w:t>
      </w:r>
      <w:r>
        <w:t>with</w:t>
      </w:r>
      <w:r w:rsidR="00796187">
        <w:t xml:space="preserve"> </w:t>
      </w:r>
      <w:r w:rsidR="00CC3B8D">
        <w:t xml:space="preserve">HC </w:t>
      </w:r>
      <w:r w:rsidR="00796187">
        <w:t>investment is positive, indicating that companies with annual salary exceeding average annual salary for the industry sector will have more trademarks than those with annual salary below average.</w:t>
      </w:r>
    </w:p>
    <w:p w:rsidR="00796187" w:rsidRDefault="00C866A5" w:rsidP="00796187">
      <w:pPr>
        <w:autoSpaceDE w:val="0"/>
        <w:autoSpaceDN w:val="0"/>
        <w:adjustRightInd w:val="0"/>
        <w:jc w:val="both"/>
      </w:pPr>
      <w:r w:rsidRPr="00C7438D">
        <w:rPr>
          <w:rFonts w:eastAsia="Calibri"/>
        </w:rPr>
        <w:t xml:space="preserve">Table 2 </w:t>
      </w:r>
      <w:r>
        <w:rPr>
          <w:rFonts w:eastAsia="Calibri"/>
        </w:rPr>
        <w:t>presents</w:t>
      </w:r>
      <w:r w:rsidRPr="00C7438D">
        <w:rPr>
          <w:rFonts w:eastAsia="Calibri"/>
        </w:rPr>
        <w:t xml:space="preserve"> description of </w:t>
      </w:r>
      <w:r w:rsidR="0074701B">
        <w:rPr>
          <w:rFonts w:eastAsia="Calibri"/>
        </w:rPr>
        <w:t xml:space="preserve">all </w:t>
      </w:r>
      <w:r w:rsidRPr="00C7438D">
        <w:rPr>
          <w:rFonts w:eastAsia="Calibri"/>
        </w:rPr>
        <w:t>variables and expected impact of independent variables.</w:t>
      </w:r>
    </w:p>
    <w:tbl>
      <w:tblPr>
        <w:tblW w:w="35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3388"/>
        <w:gridCol w:w="1947"/>
      </w:tblGrid>
      <w:tr w:rsidR="00C866A5" w:rsidRPr="0074701B" w:rsidTr="004A3E69">
        <w:trPr>
          <w:trHeight w:val="170"/>
        </w:trPr>
        <w:tc>
          <w:tcPr>
            <w:tcW w:w="967" w:type="pct"/>
            <w:shd w:val="clear" w:color="000000" w:fill="FFFFFF"/>
            <w:vAlign w:val="center"/>
          </w:tcPr>
          <w:p w:rsidR="00C866A5" w:rsidRPr="0074701B" w:rsidRDefault="00C866A5" w:rsidP="00E56B89">
            <w:pPr>
              <w:jc w:val="center"/>
              <w:rPr>
                <w:rFonts w:eastAsia="Calibri"/>
                <w:sz w:val="22"/>
                <w:szCs w:val="22"/>
              </w:rPr>
            </w:pPr>
            <w:r w:rsidRPr="0074701B">
              <w:rPr>
                <w:rFonts w:eastAsia="Calibri"/>
                <w:sz w:val="22"/>
                <w:szCs w:val="22"/>
              </w:rPr>
              <w:lastRenderedPageBreak/>
              <w:t>Label</w:t>
            </w:r>
          </w:p>
        </w:tc>
        <w:tc>
          <w:tcPr>
            <w:tcW w:w="2560" w:type="pct"/>
            <w:shd w:val="clear" w:color="000000" w:fill="FFFFFF"/>
            <w:vAlign w:val="center"/>
          </w:tcPr>
          <w:p w:rsidR="00C866A5" w:rsidRPr="0074701B" w:rsidRDefault="00C866A5" w:rsidP="00E56B89">
            <w:pPr>
              <w:jc w:val="center"/>
              <w:rPr>
                <w:rFonts w:eastAsia="Calibri"/>
                <w:sz w:val="22"/>
                <w:szCs w:val="22"/>
              </w:rPr>
            </w:pPr>
            <w:r w:rsidRPr="0074701B">
              <w:rPr>
                <w:rFonts w:eastAsia="Calibri"/>
                <w:sz w:val="22"/>
                <w:szCs w:val="22"/>
              </w:rPr>
              <w:t>Definition of variable</w:t>
            </w:r>
          </w:p>
        </w:tc>
        <w:tc>
          <w:tcPr>
            <w:tcW w:w="1472" w:type="pct"/>
            <w:shd w:val="clear" w:color="000000" w:fill="FFFFFF"/>
            <w:vAlign w:val="center"/>
          </w:tcPr>
          <w:p w:rsidR="00C866A5" w:rsidRPr="0074701B" w:rsidRDefault="00C866A5" w:rsidP="00E56B89">
            <w:pPr>
              <w:jc w:val="center"/>
              <w:rPr>
                <w:rFonts w:eastAsia="Calibri"/>
                <w:sz w:val="22"/>
                <w:szCs w:val="22"/>
              </w:rPr>
            </w:pPr>
            <w:r w:rsidRPr="0074701B">
              <w:rPr>
                <w:rFonts w:eastAsia="Calibri"/>
                <w:sz w:val="22"/>
                <w:szCs w:val="22"/>
              </w:rPr>
              <w:t>Expected impact</w:t>
            </w:r>
          </w:p>
        </w:tc>
      </w:tr>
      <w:tr w:rsidR="00C866A5" w:rsidRPr="0074701B" w:rsidTr="004A3E69">
        <w:trPr>
          <w:trHeight w:val="170"/>
        </w:trPr>
        <w:tc>
          <w:tcPr>
            <w:tcW w:w="967" w:type="pct"/>
            <w:shd w:val="clear" w:color="000000" w:fill="FFFFFF"/>
            <w:noWrap/>
            <w:vAlign w:val="center"/>
          </w:tcPr>
          <w:p w:rsidR="00C866A5" w:rsidRPr="0074701B" w:rsidRDefault="00C866A5" w:rsidP="00133FC5">
            <w:pPr>
              <w:rPr>
                <w:rFonts w:eastAsia="Calibri"/>
                <w:sz w:val="22"/>
                <w:szCs w:val="22"/>
              </w:rPr>
            </w:pPr>
            <w:r w:rsidRPr="0074701B">
              <w:rPr>
                <w:rFonts w:eastAsia="Calibri"/>
                <w:sz w:val="22"/>
                <w:szCs w:val="22"/>
              </w:rPr>
              <w:t>AVCOSTE</w:t>
            </w:r>
          </w:p>
        </w:tc>
        <w:tc>
          <w:tcPr>
            <w:tcW w:w="2560" w:type="pct"/>
            <w:shd w:val="clear" w:color="000000" w:fill="FFFFFF"/>
            <w:noWrap/>
            <w:vAlign w:val="center"/>
          </w:tcPr>
          <w:p w:rsidR="00C866A5" w:rsidRPr="0074701B" w:rsidRDefault="00C866A5" w:rsidP="0074701B">
            <w:pPr>
              <w:rPr>
                <w:rFonts w:eastAsia="Calibri"/>
                <w:sz w:val="22"/>
                <w:szCs w:val="22"/>
              </w:rPr>
            </w:pPr>
            <w:r w:rsidRPr="0074701B">
              <w:rPr>
                <w:rFonts w:eastAsia="Calibri"/>
                <w:sz w:val="22"/>
                <w:szCs w:val="22"/>
              </w:rPr>
              <w:t>Average cost of employee (</w:t>
            </w:r>
            <w:proofErr w:type="spellStart"/>
            <w:r w:rsidRPr="0074701B">
              <w:rPr>
                <w:rFonts w:eastAsia="Calibri"/>
                <w:sz w:val="22"/>
                <w:szCs w:val="22"/>
              </w:rPr>
              <w:t>th</w:t>
            </w:r>
            <w:proofErr w:type="spellEnd"/>
            <w:r w:rsidRPr="0074701B">
              <w:rPr>
                <w:rFonts w:eastAsia="Calibri"/>
                <w:sz w:val="22"/>
                <w:szCs w:val="22"/>
              </w:rPr>
              <w:t xml:space="preserve"> EUR)</w:t>
            </w:r>
          </w:p>
        </w:tc>
        <w:tc>
          <w:tcPr>
            <w:tcW w:w="1472" w:type="pct"/>
            <w:shd w:val="clear" w:color="000000" w:fill="FFFFFF"/>
            <w:noWrap/>
            <w:vAlign w:val="center"/>
          </w:tcPr>
          <w:p w:rsidR="00C866A5" w:rsidRPr="0074701B" w:rsidRDefault="00C866A5" w:rsidP="00E56B89">
            <w:pPr>
              <w:jc w:val="center"/>
              <w:rPr>
                <w:rFonts w:eastAsia="Calibri"/>
                <w:bCs/>
                <w:sz w:val="22"/>
                <w:szCs w:val="22"/>
              </w:rPr>
            </w:pPr>
            <w:r w:rsidRPr="0074701B">
              <w:rPr>
                <w:rFonts w:eastAsia="Calibri"/>
                <w:bCs/>
                <w:sz w:val="22"/>
                <w:szCs w:val="22"/>
              </w:rPr>
              <w:t>Dependent variable</w:t>
            </w:r>
          </w:p>
        </w:tc>
      </w:tr>
      <w:tr w:rsidR="00C866A5" w:rsidRPr="0074701B" w:rsidTr="004A3E69">
        <w:trPr>
          <w:trHeight w:val="170"/>
        </w:trPr>
        <w:tc>
          <w:tcPr>
            <w:tcW w:w="967" w:type="pct"/>
            <w:shd w:val="clear" w:color="000000" w:fill="FFFFFF"/>
            <w:noWrap/>
            <w:vAlign w:val="center"/>
          </w:tcPr>
          <w:p w:rsidR="00C866A5" w:rsidRPr="0074701B" w:rsidRDefault="00C866A5" w:rsidP="00133FC5">
            <w:pPr>
              <w:rPr>
                <w:rFonts w:eastAsia="Calibri"/>
                <w:sz w:val="22"/>
                <w:szCs w:val="22"/>
              </w:rPr>
            </w:pPr>
            <w:r w:rsidRPr="0074701B">
              <w:rPr>
                <w:rFonts w:eastAsia="Calibri"/>
                <w:sz w:val="22"/>
                <w:szCs w:val="22"/>
              </w:rPr>
              <w:t>CATCOMP</w:t>
            </w:r>
          </w:p>
        </w:tc>
        <w:tc>
          <w:tcPr>
            <w:tcW w:w="2560" w:type="pct"/>
            <w:shd w:val="clear" w:color="000000" w:fill="FFFFFF"/>
            <w:noWrap/>
            <w:vAlign w:val="center"/>
          </w:tcPr>
          <w:p w:rsidR="00C866A5" w:rsidRPr="0074701B" w:rsidRDefault="00C866A5" w:rsidP="00E56B89">
            <w:pPr>
              <w:jc w:val="center"/>
              <w:rPr>
                <w:rFonts w:eastAsia="Calibri"/>
                <w:sz w:val="22"/>
                <w:szCs w:val="22"/>
              </w:rPr>
            </w:pPr>
            <w:r w:rsidRPr="0074701B">
              <w:rPr>
                <w:rFonts w:eastAsia="Calibri"/>
                <w:sz w:val="22"/>
                <w:szCs w:val="22"/>
              </w:rPr>
              <w:t>Category of company (size)</w:t>
            </w:r>
          </w:p>
        </w:tc>
        <w:tc>
          <w:tcPr>
            <w:tcW w:w="1472" w:type="pct"/>
            <w:shd w:val="clear" w:color="000000" w:fill="FFFFFF"/>
            <w:noWrap/>
            <w:vAlign w:val="center"/>
          </w:tcPr>
          <w:p w:rsidR="00C866A5" w:rsidRPr="0074701B" w:rsidRDefault="00C866A5" w:rsidP="00E56B89">
            <w:pPr>
              <w:jc w:val="center"/>
              <w:rPr>
                <w:rFonts w:eastAsia="Calibri"/>
                <w:b/>
                <w:bCs/>
                <w:sz w:val="22"/>
                <w:szCs w:val="22"/>
              </w:rPr>
            </w:pPr>
            <w:r w:rsidRPr="0074701B">
              <w:rPr>
                <w:rFonts w:eastAsia="Calibri"/>
                <w:b/>
                <w:bCs/>
                <w:sz w:val="22"/>
                <w:szCs w:val="22"/>
              </w:rPr>
              <w:t>+</w:t>
            </w:r>
          </w:p>
        </w:tc>
      </w:tr>
      <w:tr w:rsidR="00C866A5" w:rsidRPr="0074701B" w:rsidTr="004A3E69">
        <w:trPr>
          <w:trHeight w:val="170"/>
        </w:trPr>
        <w:tc>
          <w:tcPr>
            <w:tcW w:w="967" w:type="pct"/>
            <w:shd w:val="clear" w:color="000000" w:fill="FFFFFF"/>
            <w:noWrap/>
            <w:vAlign w:val="center"/>
          </w:tcPr>
          <w:p w:rsidR="00C866A5" w:rsidRPr="0074701B" w:rsidRDefault="00C866A5" w:rsidP="00133FC5">
            <w:pPr>
              <w:rPr>
                <w:rFonts w:eastAsia="Calibri"/>
                <w:sz w:val="22"/>
                <w:szCs w:val="22"/>
              </w:rPr>
            </w:pPr>
            <w:r w:rsidRPr="0074701B">
              <w:rPr>
                <w:rFonts w:eastAsia="Calibri"/>
                <w:sz w:val="22"/>
                <w:szCs w:val="22"/>
              </w:rPr>
              <w:t>PUBQOT</w:t>
            </w:r>
          </w:p>
        </w:tc>
        <w:tc>
          <w:tcPr>
            <w:tcW w:w="2560" w:type="pct"/>
            <w:shd w:val="clear" w:color="000000" w:fill="FFFFFF"/>
            <w:noWrap/>
            <w:vAlign w:val="center"/>
          </w:tcPr>
          <w:p w:rsidR="00C866A5" w:rsidRPr="0074701B" w:rsidRDefault="00C866A5" w:rsidP="00E56B89">
            <w:pPr>
              <w:jc w:val="center"/>
              <w:rPr>
                <w:rFonts w:eastAsia="Calibri"/>
                <w:sz w:val="22"/>
                <w:szCs w:val="22"/>
              </w:rPr>
            </w:pPr>
            <w:r w:rsidRPr="0074701B">
              <w:rPr>
                <w:rFonts w:eastAsia="Calibri"/>
                <w:sz w:val="22"/>
                <w:szCs w:val="22"/>
              </w:rPr>
              <w:t>Publicly quoted</w:t>
            </w:r>
          </w:p>
        </w:tc>
        <w:tc>
          <w:tcPr>
            <w:tcW w:w="1472" w:type="pct"/>
            <w:shd w:val="clear" w:color="000000" w:fill="FFFFFF"/>
            <w:noWrap/>
            <w:vAlign w:val="center"/>
          </w:tcPr>
          <w:p w:rsidR="00C866A5" w:rsidRPr="0074701B" w:rsidRDefault="00C866A5" w:rsidP="00E56B89">
            <w:pPr>
              <w:jc w:val="center"/>
              <w:rPr>
                <w:rFonts w:eastAsia="Calibri"/>
                <w:b/>
                <w:bCs/>
                <w:sz w:val="22"/>
                <w:szCs w:val="22"/>
              </w:rPr>
            </w:pPr>
            <w:r w:rsidRPr="0074701B">
              <w:rPr>
                <w:rFonts w:eastAsia="Calibri"/>
                <w:b/>
                <w:bCs/>
                <w:sz w:val="22"/>
                <w:szCs w:val="22"/>
              </w:rPr>
              <w:t>+/-</w:t>
            </w:r>
          </w:p>
        </w:tc>
      </w:tr>
      <w:tr w:rsidR="00C866A5" w:rsidRPr="0074701B" w:rsidTr="004A3E69">
        <w:trPr>
          <w:trHeight w:val="170"/>
        </w:trPr>
        <w:tc>
          <w:tcPr>
            <w:tcW w:w="967" w:type="pct"/>
            <w:shd w:val="clear" w:color="000000" w:fill="FFFFFF"/>
            <w:noWrap/>
            <w:vAlign w:val="center"/>
          </w:tcPr>
          <w:p w:rsidR="00C866A5" w:rsidRPr="0074701B" w:rsidRDefault="00C866A5" w:rsidP="00133FC5">
            <w:pPr>
              <w:rPr>
                <w:rFonts w:eastAsia="Calibri"/>
                <w:sz w:val="22"/>
                <w:szCs w:val="22"/>
              </w:rPr>
            </w:pPr>
            <w:r w:rsidRPr="0074701B">
              <w:rPr>
                <w:rFonts w:eastAsia="Calibri"/>
                <w:sz w:val="22"/>
                <w:szCs w:val="22"/>
              </w:rPr>
              <w:t>PROFMAR</w:t>
            </w:r>
          </w:p>
        </w:tc>
        <w:tc>
          <w:tcPr>
            <w:tcW w:w="2560" w:type="pct"/>
            <w:shd w:val="clear" w:color="000000" w:fill="FFFFFF"/>
            <w:noWrap/>
            <w:vAlign w:val="center"/>
          </w:tcPr>
          <w:p w:rsidR="00C866A5" w:rsidRPr="0074701B" w:rsidRDefault="00C866A5" w:rsidP="00E56B89">
            <w:pPr>
              <w:jc w:val="center"/>
              <w:rPr>
                <w:rFonts w:eastAsia="Calibri"/>
                <w:sz w:val="22"/>
                <w:szCs w:val="22"/>
              </w:rPr>
            </w:pPr>
            <w:r w:rsidRPr="0074701B">
              <w:rPr>
                <w:rFonts w:eastAsia="Calibri"/>
                <w:sz w:val="22"/>
                <w:szCs w:val="22"/>
              </w:rPr>
              <w:t>Profit margin (%)</w:t>
            </w:r>
          </w:p>
        </w:tc>
        <w:tc>
          <w:tcPr>
            <w:tcW w:w="1472" w:type="pct"/>
            <w:shd w:val="clear" w:color="000000" w:fill="FFFFFF"/>
            <w:noWrap/>
            <w:vAlign w:val="center"/>
          </w:tcPr>
          <w:p w:rsidR="00C866A5" w:rsidRPr="0074701B" w:rsidRDefault="00C866A5" w:rsidP="00E56B89">
            <w:pPr>
              <w:jc w:val="center"/>
              <w:rPr>
                <w:rFonts w:eastAsia="Calibri"/>
                <w:b/>
                <w:bCs/>
                <w:sz w:val="22"/>
                <w:szCs w:val="22"/>
              </w:rPr>
            </w:pPr>
            <w:r w:rsidRPr="0074701B">
              <w:rPr>
                <w:rFonts w:eastAsia="Calibri"/>
                <w:b/>
                <w:bCs/>
                <w:sz w:val="22"/>
                <w:szCs w:val="22"/>
              </w:rPr>
              <w:t>+</w:t>
            </w:r>
          </w:p>
        </w:tc>
      </w:tr>
      <w:tr w:rsidR="00C866A5" w:rsidRPr="0074701B" w:rsidTr="004A3E69">
        <w:trPr>
          <w:trHeight w:val="170"/>
        </w:trPr>
        <w:tc>
          <w:tcPr>
            <w:tcW w:w="967" w:type="pct"/>
            <w:shd w:val="clear" w:color="000000" w:fill="FFFFFF"/>
            <w:noWrap/>
            <w:vAlign w:val="center"/>
          </w:tcPr>
          <w:p w:rsidR="00C866A5" w:rsidRPr="0074701B" w:rsidRDefault="00C866A5" w:rsidP="00133FC5">
            <w:pPr>
              <w:rPr>
                <w:rFonts w:eastAsia="Calibri"/>
                <w:sz w:val="22"/>
                <w:szCs w:val="22"/>
              </w:rPr>
            </w:pPr>
            <w:r w:rsidRPr="0074701B">
              <w:rPr>
                <w:rFonts w:eastAsia="Calibri"/>
                <w:sz w:val="22"/>
                <w:szCs w:val="22"/>
              </w:rPr>
              <w:t>ROE</w:t>
            </w:r>
          </w:p>
        </w:tc>
        <w:tc>
          <w:tcPr>
            <w:tcW w:w="2560" w:type="pct"/>
            <w:shd w:val="clear" w:color="000000" w:fill="FFFFFF"/>
            <w:noWrap/>
            <w:vAlign w:val="center"/>
          </w:tcPr>
          <w:p w:rsidR="00C866A5" w:rsidRPr="0074701B" w:rsidRDefault="00C866A5" w:rsidP="00E56B89">
            <w:pPr>
              <w:jc w:val="center"/>
              <w:rPr>
                <w:rFonts w:eastAsia="Calibri"/>
                <w:sz w:val="22"/>
                <w:szCs w:val="22"/>
              </w:rPr>
            </w:pPr>
            <w:r w:rsidRPr="0074701B">
              <w:rPr>
                <w:rFonts w:eastAsia="Calibri"/>
                <w:sz w:val="22"/>
                <w:szCs w:val="22"/>
              </w:rPr>
              <w:t>ROE (%)</w:t>
            </w:r>
          </w:p>
        </w:tc>
        <w:tc>
          <w:tcPr>
            <w:tcW w:w="1472" w:type="pct"/>
            <w:shd w:val="clear" w:color="000000" w:fill="FFFFFF"/>
            <w:noWrap/>
            <w:vAlign w:val="center"/>
          </w:tcPr>
          <w:p w:rsidR="00C866A5" w:rsidRPr="0074701B" w:rsidRDefault="00C866A5" w:rsidP="00E56B89">
            <w:pPr>
              <w:jc w:val="center"/>
              <w:rPr>
                <w:rFonts w:eastAsia="Calibri"/>
                <w:b/>
                <w:bCs/>
                <w:sz w:val="22"/>
                <w:szCs w:val="22"/>
              </w:rPr>
            </w:pPr>
            <w:r w:rsidRPr="0074701B">
              <w:rPr>
                <w:rFonts w:eastAsia="Calibri"/>
                <w:b/>
                <w:bCs/>
                <w:sz w:val="22"/>
                <w:szCs w:val="22"/>
              </w:rPr>
              <w:t>+</w:t>
            </w:r>
          </w:p>
        </w:tc>
      </w:tr>
      <w:tr w:rsidR="00C866A5" w:rsidRPr="0074701B" w:rsidTr="004A3E69">
        <w:trPr>
          <w:trHeight w:val="170"/>
        </w:trPr>
        <w:tc>
          <w:tcPr>
            <w:tcW w:w="967" w:type="pct"/>
            <w:shd w:val="clear" w:color="000000" w:fill="FFFFFF"/>
            <w:noWrap/>
            <w:vAlign w:val="center"/>
          </w:tcPr>
          <w:p w:rsidR="00C866A5" w:rsidRPr="0074701B" w:rsidRDefault="00C866A5" w:rsidP="00133FC5">
            <w:pPr>
              <w:rPr>
                <w:rFonts w:eastAsia="Calibri"/>
                <w:sz w:val="22"/>
                <w:szCs w:val="22"/>
              </w:rPr>
            </w:pPr>
            <w:r w:rsidRPr="0074701B">
              <w:rPr>
                <w:rFonts w:eastAsia="Calibri"/>
                <w:sz w:val="22"/>
                <w:szCs w:val="22"/>
              </w:rPr>
              <w:t>NBTRAD</w:t>
            </w:r>
          </w:p>
        </w:tc>
        <w:tc>
          <w:tcPr>
            <w:tcW w:w="2560" w:type="pct"/>
            <w:shd w:val="clear" w:color="000000" w:fill="FFFFFF"/>
            <w:noWrap/>
            <w:vAlign w:val="center"/>
          </w:tcPr>
          <w:p w:rsidR="00C866A5" w:rsidRPr="0074701B" w:rsidRDefault="00C866A5" w:rsidP="00E56B89">
            <w:pPr>
              <w:jc w:val="center"/>
              <w:rPr>
                <w:rFonts w:eastAsia="Calibri"/>
                <w:sz w:val="22"/>
                <w:szCs w:val="22"/>
              </w:rPr>
            </w:pPr>
            <w:r w:rsidRPr="0074701B">
              <w:rPr>
                <w:rFonts w:eastAsia="Calibri"/>
                <w:sz w:val="22"/>
                <w:szCs w:val="22"/>
              </w:rPr>
              <w:t>Number of trademarks</w:t>
            </w:r>
          </w:p>
        </w:tc>
        <w:tc>
          <w:tcPr>
            <w:tcW w:w="1472" w:type="pct"/>
            <w:shd w:val="clear" w:color="000000" w:fill="FFFFFF"/>
            <w:noWrap/>
            <w:vAlign w:val="center"/>
          </w:tcPr>
          <w:p w:rsidR="00C866A5" w:rsidRPr="0074701B" w:rsidRDefault="00C866A5" w:rsidP="00E56B89">
            <w:pPr>
              <w:jc w:val="center"/>
              <w:rPr>
                <w:rFonts w:eastAsia="Calibri"/>
                <w:b/>
                <w:bCs/>
                <w:sz w:val="22"/>
                <w:szCs w:val="22"/>
              </w:rPr>
            </w:pPr>
            <w:r w:rsidRPr="0074701B">
              <w:rPr>
                <w:rFonts w:eastAsia="Calibri"/>
                <w:b/>
                <w:bCs/>
                <w:sz w:val="22"/>
                <w:szCs w:val="22"/>
              </w:rPr>
              <w:t>+/-</w:t>
            </w:r>
          </w:p>
        </w:tc>
      </w:tr>
    </w:tbl>
    <w:p w:rsidR="00C866A5" w:rsidRPr="008E7B26" w:rsidRDefault="00C866A5" w:rsidP="00C866A5">
      <w:pPr>
        <w:contextualSpacing/>
        <w:jc w:val="both"/>
        <w:rPr>
          <w:rFonts w:eastAsia="Calibri"/>
          <w:i/>
          <w:sz w:val="16"/>
          <w:szCs w:val="16"/>
        </w:rPr>
      </w:pPr>
      <w:r w:rsidRPr="008E7B26">
        <w:rPr>
          <w:rFonts w:eastAsia="Calibri"/>
          <w:i/>
          <w:sz w:val="16"/>
          <w:szCs w:val="16"/>
        </w:rPr>
        <w:t>Source: Author’s definition and expectations according to previous research</w:t>
      </w:r>
    </w:p>
    <w:p w:rsidR="00C866A5" w:rsidRDefault="00C866A5" w:rsidP="00C866A5">
      <w:pPr>
        <w:rPr>
          <w:lang w:val="en-GB"/>
        </w:rPr>
      </w:pPr>
    </w:p>
    <w:p w:rsidR="00C866A5" w:rsidRDefault="00C866A5" w:rsidP="00C866A5">
      <w:pPr>
        <w:pStyle w:val="BodyText"/>
        <w:ind w:left="770" w:hanging="784"/>
        <w:jc w:val="left"/>
        <w:rPr>
          <w:b w:val="0"/>
          <w:sz w:val="22"/>
          <w:szCs w:val="22"/>
        </w:rPr>
      </w:pPr>
      <w:proofErr w:type="gramStart"/>
      <w:r w:rsidRPr="00AA113E">
        <w:rPr>
          <w:b w:val="0"/>
          <w:sz w:val="22"/>
          <w:szCs w:val="22"/>
        </w:rPr>
        <w:t xml:space="preserve">Table </w:t>
      </w:r>
      <w:r>
        <w:rPr>
          <w:b w:val="0"/>
          <w:sz w:val="22"/>
          <w:szCs w:val="22"/>
        </w:rPr>
        <w:t>2</w:t>
      </w:r>
      <w:r w:rsidRPr="00AA113E">
        <w:rPr>
          <w:b w:val="0"/>
          <w:sz w:val="22"/>
          <w:szCs w:val="22"/>
        </w:rPr>
        <w:t xml:space="preserve">: </w:t>
      </w:r>
      <w:r w:rsidRPr="009B49D8">
        <w:rPr>
          <w:b w:val="0"/>
          <w:sz w:val="22"/>
          <w:szCs w:val="22"/>
        </w:rPr>
        <w:t>Description of variables and expected impact of independent variables</w:t>
      </w:r>
      <w:r w:rsidRPr="00AA113E">
        <w:rPr>
          <w:b w:val="0"/>
          <w:sz w:val="22"/>
          <w:szCs w:val="22"/>
        </w:rPr>
        <w:t>.</w:t>
      </w:r>
      <w:proofErr w:type="gramEnd"/>
    </w:p>
    <w:p w:rsidR="00207B40" w:rsidRDefault="00207B40" w:rsidP="00207B40">
      <w:pPr>
        <w:autoSpaceDE w:val="0"/>
        <w:autoSpaceDN w:val="0"/>
        <w:adjustRightInd w:val="0"/>
        <w:jc w:val="both"/>
      </w:pPr>
    </w:p>
    <w:p w:rsidR="00207B40" w:rsidRDefault="00207B40" w:rsidP="00207B40">
      <w:pPr>
        <w:pStyle w:val="ListParagraph"/>
        <w:numPr>
          <w:ilvl w:val="1"/>
          <w:numId w:val="20"/>
        </w:numPr>
        <w:autoSpaceDE w:val="0"/>
        <w:autoSpaceDN w:val="0"/>
        <w:adjustRightInd w:val="0"/>
        <w:jc w:val="both"/>
        <w:rPr>
          <w:b/>
        </w:rPr>
      </w:pPr>
      <w:r w:rsidRPr="00CB2C4C">
        <w:rPr>
          <w:b/>
        </w:rPr>
        <w:t>Research Results and Discussion</w:t>
      </w:r>
      <w:r>
        <w:rPr>
          <w:b/>
        </w:rPr>
        <w:t xml:space="preserve"> </w:t>
      </w:r>
    </w:p>
    <w:p w:rsidR="00207B40" w:rsidRPr="00302D2C" w:rsidRDefault="00207B40" w:rsidP="00207B40">
      <w:pPr>
        <w:pStyle w:val="ListParagraph"/>
        <w:autoSpaceDE w:val="0"/>
        <w:autoSpaceDN w:val="0"/>
        <w:adjustRightInd w:val="0"/>
        <w:ind w:left="720"/>
        <w:jc w:val="both"/>
        <w:rPr>
          <w:b/>
        </w:rPr>
      </w:pPr>
    </w:p>
    <w:p w:rsidR="00D661BF" w:rsidRPr="00D661BF" w:rsidRDefault="00D661BF" w:rsidP="00207B40">
      <w:pPr>
        <w:jc w:val="both"/>
        <w:rPr>
          <w:lang w:val="en-GB"/>
        </w:rPr>
      </w:pPr>
      <w:r w:rsidRPr="00D661BF">
        <w:rPr>
          <w:rFonts w:eastAsia="Calibri"/>
          <w:lang w:eastAsia="zh-CN"/>
        </w:rPr>
        <w:t xml:space="preserve">The data that includes both </w:t>
      </w:r>
      <w:proofErr w:type="spellStart"/>
      <w:r w:rsidRPr="00E5221F">
        <w:rPr>
          <w:rFonts w:eastAsia="Calibri"/>
          <w:lang w:eastAsia="zh-CN"/>
        </w:rPr>
        <w:t>crossection</w:t>
      </w:r>
      <w:proofErr w:type="spellEnd"/>
      <w:r w:rsidRPr="00E5221F">
        <w:rPr>
          <w:rFonts w:eastAsia="Calibri"/>
          <w:lang w:eastAsia="zh-CN"/>
        </w:rPr>
        <w:t xml:space="preserve"> and time periods</w:t>
      </w:r>
      <w:r w:rsidRPr="00D661BF">
        <w:rPr>
          <w:rFonts w:eastAsia="Calibri"/>
          <w:lang w:eastAsia="zh-CN"/>
        </w:rPr>
        <w:t xml:space="preserve"> components of the analy</w:t>
      </w:r>
      <w:r w:rsidR="00B04322">
        <w:rPr>
          <w:rFonts w:eastAsia="Calibri"/>
          <w:lang w:eastAsia="zh-CN"/>
        </w:rPr>
        <w:t>z</w:t>
      </w:r>
      <w:r w:rsidRPr="00D661BF">
        <w:rPr>
          <w:rFonts w:eastAsia="Calibri"/>
          <w:lang w:eastAsia="zh-CN"/>
        </w:rPr>
        <w:t xml:space="preserve">ed variables are called the panel data, and the process is called the panel analysis. Dependent variable, approximated with average cost of employee, is changed to the units of observation (by company) and by the time, so the evaluation of variables, which really determine the variable </w:t>
      </w:r>
      <w:r w:rsidR="0036041D">
        <w:rPr>
          <w:bCs/>
          <w:lang w:val="en-GB"/>
        </w:rPr>
        <w:t>HC</w:t>
      </w:r>
      <w:r w:rsidRPr="00D661BF">
        <w:rPr>
          <w:bCs/>
          <w:lang w:val="en-GB"/>
        </w:rPr>
        <w:t xml:space="preserve"> investments</w:t>
      </w:r>
      <w:r w:rsidRPr="00D661BF">
        <w:rPr>
          <w:rFonts w:eastAsia="Calibri"/>
          <w:lang w:eastAsia="zh-CN"/>
        </w:rPr>
        <w:t xml:space="preserve">, is considered a more precise </w:t>
      </w:r>
      <w:r w:rsidR="006E76CC">
        <w:rPr>
          <w:lang w:val="en-GB" w:eastAsia="hr-HR"/>
        </w:rPr>
        <w:t>[3].</w:t>
      </w:r>
      <w:r w:rsidR="00EB6915">
        <w:rPr>
          <w:lang w:val="en-GB" w:eastAsia="hr-HR"/>
        </w:rPr>
        <w:t xml:space="preserve"> Thus,</w:t>
      </w:r>
      <w:r w:rsidR="00EB6915" w:rsidRPr="00EB6915">
        <w:rPr>
          <w:lang w:val="en-GB" w:eastAsia="hr-HR"/>
        </w:rPr>
        <w:t xml:space="preserve"> </w:t>
      </w:r>
      <w:r w:rsidR="005F4316">
        <w:rPr>
          <w:lang w:val="en-GB" w:eastAsia="hr-HR"/>
        </w:rPr>
        <w:t xml:space="preserve">the </w:t>
      </w:r>
      <w:r w:rsidR="00EB6915" w:rsidRPr="00EB6915">
        <w:rPr>
          <w:lang w:val="en-GB" w:eastAsia="hr-HR"/>
        </w:rPr>
        <w:t xml:space="preserve">panel analysis approach </w:t>
      </w:r>
      <w:r w:rsidR="00EB6915">
        <w:rPr>
          <w:lang w:val="en-GB" w:eastAsia="hr-HR"/>
        </w:rPr>
        <w:t xml:space="preserve">is </w:t>
      </w:r>
      <w:r w:rsidR="005F4316">
        <w:rPr>
          <w:lang w:val="en-GB" w:eastAsia="hr-HR"/>
        </w:rPr>
        <w:t xml:space="preserve">taken as </w:t>
      </w:r>
      <w:r w:rsidR="00EB6915" w:rsidRPr="00EB6915">
        <w:rPr>
          <w:lang w:val="en-GB" w:eastAsia="hr-HR"/>
        </w:rPr>
        <w:t>more robust and reliable</w:t>
      </w:r>
      <w:r w:rsidR="00EB6915">
        <w:rPr>
          <w:lang w:val="en-GB" w:eastAsia="hr-HR"/>
        </w:rPr>
        <w:t xml:space="preserve"> method than </w:t>
      </w:r>
      <w:r w:rsidR="005F4316">
        <w:rPr>
          <w:lang w:val="en-GB" w:eastAsia="hr-HR"/>
        </w:rPr>
        <w:t xml:space="preserve">the </w:t>
      </w:r>
      <w:r w:rsidR="00EB6915">
        <w:rPr>
          <w:lang w:val="en-GB" w:eastAsia="hr-HR"/>
        </w:rPr>
        <w:t>regression analysis.</w:t>
      </w:r>
    </w:p>
    <w:p w:rsidR="00D661BF" w:rsidRPr="00D661BF" w:rsidRDefault="00D661BF" w:rsidP="00D661BF">
      <w:pPr>
        <w:rPr>
          <w:lang w:val="en-GB"/>
        </w:rPr>
      </w:pPr>
    </w:p>
    <w:p w:rsidR="00D661BF" w:rsidRPr="00D661BF" w:rsidRDefault="001C3A5B" w:rsidP="00D661BF">
      <w:pPr>
        <w:spacing w:before="120"/>
        <w:ind w:left="720" w:hanging="720"/>
        <w:jc w:val="center"/>
      </w:pPr>
      <w:r>
        <w:rPr>
          <w:noProof/>
          <w:lang w:val="hr-HR" w:eastAsia="hr-HR"/>
        </w:rPr>
        <mc:AlternateContent>
          <mc:Choice Requires="wpg">
            <w:drawing>
              <wp:inline distT="0" distB="0" distL="0" distR="0">
                <wp:extent cx="3667125" cy="1809750"/>
                <wp:effectExtent l="0" t="1270" r="10795" b="0"/>
                <wp:docPr id="1"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1809750"/>
                          <a:chOff x="0" y="0"/>
                          <a:chExt cx="39807" cy="19956"/>
                        </a:xfrm>
                      </wpg:grpSpPr>
                      <pic:pic xmlns:pic="http://schemas.openxmlformats.org/drawingml/2006/picture">
                        <pic:nvPicPr>
                          <pic:cNvPr id="2" name="Grafikon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67" cy="19994"/>
                          </a:xfrm>
                          <a:prstGeom prst="rect">
                            <a:avLst/>
                          </a:prstGeom>
                          <a:noFill/>
                          <a:extLst>
                            <a:ext uri="{909E8E84-426E-40DD-AFC4-6F175D3DCCD1}">
                              <a14:hiddenFill xmlns:a14="http://schemas.microsoft.com/office/drawing/2010/main">
                                <a:solidFill>
                                  <a:srgbClr val="FFFFFF"/>
                                </a:solidFill>
                              </a14:hiddenFill>
                            </a:ext>
                          </a:extLst>
                        </pic:spPr>
                      </pic:pic>
                      <wps:wsp>
                        <wps:cNvPr id="3" name="TekstniOkvir 1"/>
                        <wps:cNvSpPr txBox="1">
                          <a:spLocks noChangeArrowheads="1"/>
                        </wps:cNvSpPr>
                        <wps:spPr bwMode="auto">
                          <a:xfrm rot="-5400000">
                            <a:off x="35669" y="8540"/>
                            <a:ext cx="4729" cy="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C1C" w:rsidRDefault="00526C1C" w:rsidP="00D661BF">
                              <w:pPr>
                                <w:pStyle w:val="NormalWeb"/>
                                <w:spacing w:before="0" w:beforeAutospacing="0" w:after="0" w:afterAutospacing="0"/>
                              </w:pPr>
                              <w:r>
                                <w:rPr>
                                  <w:rFonts w:asciiTheme="minorHAnsi" w:hAnsi="Calibri" w:cstheme="minorBidi"/>
                                  <w:sz w:val="16"/>
                                  <w:szCs w:val="16"/>
                                </w:rPr>
                                <w:t>th EUR</w:t>
                              </w:r>
                            </w:p>
                          </w:txbxContent>
                        </wps:txbx>
                        <wps:bodyPr rot="0" vert="horz" wrap="square" lIns="91440" tIns="45720" rIns="91440" bIns="45720" anchor="t" anchorCtr="0" upright="1">
                          <a:noAutofit/>
                        </wps:bodyPr>
                      </wps:wsp>
                    </wpg:wgp>
                  </a:graphicData>
                </a:graphic>
              </wp:inline>
            </w:drawing>
          </mc:Choice>
          <mc:Fallback>
            <w:pict>
              <v:group id="Grupa 10" o:spid="_x0000_s1026" style="width:288.75pt;height:142.5pt;mso-position-horizontal-relative:char;mso-position-vertical-relative:line" coordsize="39807,19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on 3" o:spid="_x0000_s1027" type="#_x0000_t75" style="position:absolute;width:39867;height:19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omPXEAAAA2gAAAA8AAABkcnMvZG93bnJldi54bWxEj0FrwkAUhO+C/2F5gjfdaEVK6hraQsH2&#10;UEkslN5es69JSPZt2F01/vuuIHgcZuYbZpMNphMncr6xrGAxT0AQl1Y3XCn4OrzNHkH4gKyxs0wK&#10;LuQh245HG0y1PXNOpyJUIkLYp6igDqFPpfRlTQb93PbE0fuzzmCI0lVSOzxHuOnkMknW0mDDcaHG&#10;nl5rKtviaBTscfdw+Plc/ZrvYvHihjZ/Dx+5UtPJ8PwEItAQ7uFbe6cVLOF6Jd4Auf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omPXEAAAA2gAAAA8AAAAAAAAAAAAAAAAA&#10;nwIAAGRycy9kb3ducmV2LnhtbFBLBQYAAAAABAAEAPcAAACQAwAAAAA=&#10;">
                  <v:imagedata r:id="rId10" o:title=""/>
                  <o:lock v:ext="edit" aspectratio="f"/>
                </v:shape>
                <v:shapetype id="_x0000_t202" coordsize="21600,21600" o:spt="202" path="m,l,21600r21600,l21600,xe">
                  <v:stroke joinstyle="miter"/>
                  <v:path gradientshapeok="t" o:connecttype="rect"/>
                </v:shapetype>
                <v:shape id="TekstniOkvir 1" o:spid="_x0000_s1028" type="#_x0000_t202" style="position:absolute;left:35669;top:8540;width:4729;height:21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1+cAA&#10;AADaAAAADwAAAGRycy9kb3ducmV2LnhtbESPQWvCQBSE7wX/w/KEXopurLRIdBO0peDVWO+P7DMJ&#10;Zt+G7KtJ/n23IPQ4zMw3zC4fXavu1IfGs4HVMgFFXHrbcGXg+/y12IAKgmyx9UwGJgqQZ7OnHabW&#10;D3yieyGVihAOKRqoRbpU61DW5DAsfUccvavvHUqUfaVtj0OEu1a/Jsm7dthwXKixo4+aylvx4wzI&#10;pzTeXl6Sqz8Nb4fpWATtJmOe5+N+C0polP/wo320BtbwdyXeAJ3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b1+cAAAADaAAAADwAAAAAAAAAAAAAAAACYAgAAZHJzL2Rvd25y&#10;ZXYueG1sUEsFBgAAAAAEAAQA9QAAAIUDAAAAAA==&#10;" filled="f" stroked="f">
                  <v:textbox>
                    <w:txbxContent>
                      <w:p w:rsidR="00526C1C" w:rsidRDefault="00526C1C" w:rsidP="00D661BF">
                        <w:pPr>
                          <w:pStyle w:val="NormalWeb"/>
                          <w:spacing w:before="0" w:beforeAutospacing="0" w:after="0" w:afterAutospacing="0"/>
                        </w:pPr>
                        <w:r>
                          <w:rPr>
                            <w:rFonts w:asciiTheme="minorHAnsi" w:hAnsi="Calibri" w:cstheme="minorBidi"/>
                            <w:sz w:val="16"/>
                            <w:szCs w:val="16"/>
                          </w:rPr>
                          <w:t>th EUR</w:t>
                        </w:r>
                      </w:p>
                    </w:txbxContent>
                  </v:textbox>
                </v:shape>
                <w10:anchorlock/>
              </v:group>
            </w:pict>
          </mc:Fallback>
        </mc:AlternateContent>
      </w:r>
    </w:p>
    <w:p w:rsidR="00D661BF" w:rsidRPr="00D661BF" w:rsidRDefault="00D661BF" w:rsidP="00D661BF">
      <w:pPr>
        <w:spacing w:before="120"/>
        <w:rPr>
          <w:i/>
          <w:sz w:val="16"/>
          <w:szCs w:val="16"/>
        </w:rPr>
      </w:pPr>
    </w:p>
    <w:p w:rsidR="00D661BF" w:rsidRPr="00D661BF" w:rsidRDefault="00D661BF" w:rsidP="00D661BF">
      <w:pPr>
        <w:ind w:left="708" w:firstLine="708"/>
        <w:jc w:val="both"/>
        <w:rPr>
          <w:sz w:val="16"/>
          <w:szCs w:val="16"/>
        </w:rPr>
      </w:pPr>
      <w:r w:rsidRPr="00D661BF">
        <w:rPr>
          <w:i/>
          <w:sz w:val="16"/>
          <w:szCs w:val="16"/>
        </w:rPr>
        <w:t xml:space="preserve">Source: According to the Bureau Van </w:t>
      </w:r>
      <w:proofErr w:type="spellStart"/>
      <w:r w:rsidRPr="00D661BF">
        <w:rPr>
          <w:i/>
          <w:sz w:val="16"/>
          <w:szCs w:val="16"/>
        </w:rPr>
        <w:t>Dijk</w:t>
      </w:r>
      <w:proofErr w:type="spellEnd"/>
      <w:r w:rsidRPr="00D661BF">
        <w:rPr>
          <w:i/>
          <w:sz w:val="16"/>
          <w:szCs w:val="16"/>
        </w:rPr>
        <w:t xml:space="preserve"> Amadeus database (2015)</w:t>
      </w:r>
    </w:p>
    <w:p w:rsidR="00D661BF" w:rsidRPr="00D661BF" w:rsidRDefault="00D661BF" w:rsidP="00C73DDE">
      <w:pPr>
        <w:spacing w:before="120"/>
        <w:ind w:left="1080" w:hanging="1080"/>
        <w:jc w:val="center"/>
        <w:rPr>
          <w:sz w:val="22"/>
          <w:szCs w:val="22"/>
          <w:lang w:val="en-GB"/>
        </w:rPr>
      </w:pPr>
      <w:r w:rsidRPr="00D661BF">
        <w:rPr>
          <w:sz w:val="22"/>
          <w:szCs w:val="22"/>
          <w:lang w:val="en-GB"/>
        </w:rPr>
        <w:t>Figure 1</w:t>
      </w:r>
      <w:r w:rsidRPr="00D661BF">
        <w:rPr>
          <w:sz w:val="22"/>
          <w:szCs w:val="22"/>
          <w:lang w:val="hr-HR"/>
        </w:rPr>
        <w:t xml:space="preserve">: </w:t>
      </w:r>
      <w:r w:rsidRPr="00D661BF">
        <w:rPr>
          <w:sz w:val="22"/>
          <w:szCs w:val="22"/>
          <w:lang w:val="en-GB"/>
        </w:rPr>
        <w:t>Average profit margin, ROE and average cost of employee of all selected countries</w:t>
      </w:r>
    </w:p>
    <w:p w:rsidR="00D661BF" w:rsidRPr="00D661BF" w:rsidRDefault="00D661BF" w:rsidP="00D661BF">
      <w:pPr>
        <w:jc w:val="both"/>
        <w:rPr>
          <w:lang w:val="en-GB"/>
        </w:rPr>
      </w:pPr>
    </w:p>
    <w:p w:rsidR="00D661BF" w:rsidRPr="00D661BF" w:rsidRDefault="00D661BF" w:rsidP="004A3E69">
      <w:pPr>
        <w:jc w:val="both"/>
        <w:rPr>
          <w:b/>
          <w:color w:val="FF0000"/>
          <w:lang w:val="en-GB"/>
        </w:rPr>
      </w:pPr>
      <w:r w:rsidRPr="00D661BF">
        <w:rPr>
          <w:bCs/>
        </w:rPr>
        <w:t>By observing average indicators for all companies per years (</w:t>
      </w:r>
      <w:r w:rsidR="008309D1">
        <w:rPr>
          <w:bCs/>
        </w:rPr>
        <w:t>f</w:t>
      </w:r>
      <w:r w:rsidRPr="00D661BF">
        <w:rPr>
          <w:bCs/>
        </w:rPr>
        <w:t xml:space="preserve">igure 1) it has been noted that </w:t>
      </w:r>
      <w:r w:rsidR="00F91BC0">
        <w:rPr>
          <w:bCs/>
        </w:rPr>
        <w:t>both profitability ratios</w:t>
      </w:r>
      <w:r w:rsidRPr="00D661BF">
        <w:rPr>
          <w:bCs/>
        </w:rPr>
        <w:t xml:space="preserve"> have </w:t>
      </w:r>
      <w:r w:rsidR="00F91BC0">
        <w:rPr>
          <w:bCs/>
        </w:rPr>
        <w:t xml:space="preserve">similar </w:t>
      </w:r>
      <w:r w:rsidRPr="00D661BF">
        <w:rPr>
          <w:bCs/>
        </w:rPr>
        <w:t>trends for all the periods</w:t>
      </w:r>
      <w:r w:rsidR="00F7697E">
        <w:rPr>
          <w:bCs/>
        </w:rPr>
        <w:t>.</w:t>
      </w:r>
      <w:r w:rsidRPr="00D661BF">
        <w:rPr>
          <w:bCs/>
        </w:rPr>
        <w:t xml:space="preserve"> </w:t>
      </w:r>
      <w:r w:rsidR="00F7697E">
        <w:rPr>
          <w:bCs/>
        </w:rPr>
        <w:t>On the other hand,</w:t>
      </w:r>
      <w:r w:rsidRPr="00D661BF">
        <w:rPr>
          <w:bCs/>
        </w:rPr>
        <w:t xml:space="preserve"> starting from </w:t>
      </w:r>
      <w:r w:rsidR="00514F80">
        <w:rPr>
          <w:bCs/>
        </w:rPr>
        <w:t xml:space="preserve">year </w:t>
      </w:r>
      <w:r w:rsidRPr="00D661BF">
        <w:rPr>
          <w:bCs/>
        </w:rPr>
        <w:t xml:space="preserve">2013 the </w:t>
      </w:r>
      <w:r w:rsidR="00583090">
        <w:rPr>
          <w:bCs/>
        </w:rPr>
        <w:t xml:space="preserve">AVCOSTE </w:t>
      </w:r>
      <w:r w:rsidRPr="00D661BF">
        <w:rPr>
          <w:bCs/>
        </w:rPr>
        <w:t xml:space="preserve">shows inversely proportional movements in comparison </w:t>
      </w:r>
      <w:r w:rsidR="00F91BC0">
        <w:rPr>
          <w:bCs/>
        </w:rPr>
        <w:t>to those ratios.</w:t>
      </w:r>
      <w:r w:rsidR="004A3E69">
        <w:rPr>
          <w:bCs/>
        </w:rPr>
        <w:t xml:space="preserve"> </w:t>
      </w:r>
      <w:r w:rsidRPr="00D661BF">
        <w:rPr>
          <w:rFonts w:eastAsia="Calibri"/>
        </w:rPr>
        <w:t xml:space="preserve">Descriptive statistics of all observed variables are shown in the table 3. Variables size, </w:t>
      </w:r>
      <w:r w:rsidR="00F91BC0">
        <w:rPr>
          <w:rFonts w:eastAsia="Calibri"/>
        </w:rPr>
        <w:t xml:space="preserve">listing status </w:t>
      </w:r>
      <w:r w:rsidRPr="00D661BF">
        <w:rPr>
          <w:rFonts w:eastAsia="Calibri"/>
        </w:rPr>
        <w:t xml:space="preserve">and number of trademarks </w:t>
      </w:r>
      <w:r w:rsidR="00514F80">
        <w:rPr>
          <w:rFonts w:eastAsia="Calibri"/>
        </w:rPr>
        <w:t xml:space="preserve">for each company are constant across observed </w:t>
      </w:r>
      <w:r w:rsidRPr="00D661BF">
        <w:rPr>
          <w:rFonts w:eastAsia="Calibri"/>
        </w:rPr>
        <w:t>time</w:t>
      </w:r>
      <w:r w:rsidR="00514F80">
        <w:rPr>
          <w:rFonts w:eastAsia="Calibri"/>
        </w:rPr>
        <w:t xml:space="preserve"> period</w:t>
      </w:r>
      <w:r w:rsidRPr="00D661BF">
        <w:rPr>
          <w:rFonts w:eastAsia="Calibri"/>
        </w:rPr>
        <w:t xml:space="preserve">. </w:t>
      </w:r>
    </w:p>
    <w:p w:rsidR="00D661BF" w:rsidRPr="00D661BF" w:rsidRDefault="00D661BF" w:rsidP="00D661BF">
      <w:pPr>
        <w:jc w:val="both"/>
        <w:rPr>
          <w:b/>
          <w:bCs/>
          <w:color w:val="000000"/>
          <w:lang w:val="en-GB"/>
        </w:rPr>
      </w:pPr>
    </w:p>
    <w:tbl>
      <w:tblPr>
        <w:tblW w:w="2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821"/>
        <w:gridCol w:w="821"/>
        <w:gridCol w:w="821"/>
        <w:gridCol w:w="785"/>
        <w:gridCol w:w="931"/>
      </w:tblGrid>
      <w:tr w:rsidR="00D661BF" w:rsidRPr="00D661BF" w:rsidTr="00786867">
        <w:trPr>
          <w:trHeight w:val="170"/>
        </w:trPr>
        <w:tc>
          <w:tcPr>
            <w:tcW w:w="1074" w:type="pct"/>
            <w:shd w:val="clear" w:color="000000" w:fill="FFFFFF"/>
            <w:vAlign w:val="center"/>
          </w:tcPr>
          <w:p w:rsidR="00D661BF" w:rsidRPr="00D661BF" w:rsidRDefault="00D661BF" w:rsidP="00D661BF">
            <w:pPr>
              <w:jc w:val="center"/>
              <w:rPr>
                <w:rFonts w:eastAsia="Calibri"/>
                <w:b/>
                <w:sz w:val="22"/>
                <w:szCs w:val="22"/>
              </w:rPr>
            </w:pPr>
            <w:r w:rsidRPr="00D661BF">
              <w:rPr>
                <w:rFonts w:eastAsia="Calibri"/>
                <w:b/>
                <w:sz w:val="22"/>
                <w:szCs w:val="22"/>
              </w:rPr>
              <w:t>Variable</w:t>
            </w:r>
          </w:p>
        </w:tc>
        <w:tc>
          <w:tcPr>
            <w:tcW w:w="740" w:type="pct"/>
            <w:shd w:val="clear" w:color="000000" w:fill="FFFFFF"/>
            <w:vAlign w:val="center"/>
          </w:tcPr>
          <w:p w:rsidR="00D661BF" w:rsidRPr="00D661BF" w:rsidRDefault="00D661BF" w:rsidP="00D661BF">
            <w:pPr>
              <w:jc w:val="center"/>
              <w:rPr>
                <w:rFonts w:eastAsia="Calibri"/>
                <w:b/>
                <w:sz w:val="22"/>
                <w:szCs w:val="22"/>
              </w:rPr>
            </w:pPr>
            <w:proofErr w:type="spellStart"/>
            <w:r w:rsidRPr="00D661BF">
              <w:rPr>
                <w:rFonts w:eastAsia="Calibri"/>
                <w:b/>
                <w:sz w:val="22"/>
                <w:szCs w:val="22"/>
              </w:rPr>
              <w:t>Obs</w:t>
            </w:r>
            <w:proofErr w:type="spellEnd"/>
          </w:p>
        </w:tc>
        <w:tc>
          <w:tcPr>
            <w:tcW w:w="739" w:type="pct"/>
            <w:shd w:val="clear" w:color="000000" w:fill="FFFFFF"/>
            <w:vAlign w:val="center"/>
          </w:tcPr>
          <w:p w:rsidR="00D661BF" w:rsidRPr="00D661BF" w:rsidRDefault="00D661BF" w:rsidP="00D661BF">
            <w:pPr>
              <w:jc w:val="center"/>
              <w:rPr>
                <w:rFonts w:eastAsia="Calibri"/>
                <w:b/>
                <w:sz w:val="22"/>
                <w:szCs w:val="22"/>
              </w:rPr>
            </w:pPr>
            <w:r w:rsidRPr="00D661BF">
              <w:rPr>
                <w:rFonts w:eastAsia="Calibri"/>
                <w:b/>
                <w:sz w:val="22"/>
                <w:szCs w:val="22"/>
              </w:rPr>
              <w:t>Mean</w:t>
            </w:r>
          </w:p>
        </w:tc>
        <w:tc>
          <w:tcPr>
            <w:tcW w:w="917" w:type="pct"/>
            <w:shd w:val="clear" w:color="000000" w:fill="FFFFFF"/>
          </w:tcPr>
          <w:p w:rsidR="00D661BF" w:rsidRPr="00D661BF" w:rsidRDefault="00D661BF" w:rsidP="00D661BF">
            <w:pPr>
              <w:jc w:val="center"/>
              <w:rPr>
                <w:rFonts w:eastAsia="Calibri"/>
                <w:b/>
                <w:sz w:val="22"/>
                <w:szCs w:val="22"/>
              </w:rPr>
            </w:pPr>
            <w:r w:rsidRPr="00D661BF">
              <w:rPr>
                <w:rFonts w:eastAsia="Calibri"/>
                <w:b/>
                <w:sz w:val="22"/>
                <w:szCs w:val="22"/>
              </w:rPr>
              <w:t>Std. Dev.</w:t>
            </w:r>
          </w:p>
        </w:tc>
        <w:tc>
          <w:tcPr>
            <w:tcW w:w="713" w:type="pct"/>
            <w:shd w:val="clear" w:color="000000" w:fill="FFFFFF"/>
            <w:vAlign w:val="center"/>
          </w:tcPr>
          <w:p w:rsidR="00D661BF" w:rsidRPr="00D661BF" w:rsidRDefault="00D661BF" w:rsidP="00D661BF">
            <w:pPr>
              <w:jc w:val="center"/>
              <w:rPr>
                <w:rFonts w:eastAsia="Calibri"/>
                <w:b/>
                <w:sz w:val="22"/>
                <w:szCs w:val="22"/>
              </w:rPr>
            </w:pPr>
            <w:r w:rsidRPr="00D661BF">
              <w:rPr>
                <w:rFonts w:eastAsia="Calibri"/>
                <w:b/>
                <w:sz w:val="22"/>
                <w:szCs w:val="22"/>
              </w:rPr>
              <w:t>Min</w:t>
            </w:r>
          </w:p>
        </w:tc>
        <w:tc>
          <w:tcPr>
            <w:tcW w:w="817" w:type="pct"/>
            <w:shd w:val="clear" w:color="000000" w:fill="FFFFFF"/>
            <w:vAlign w:val="center"/>
          </w:tcPr>
          <w:p w:rsidR="00D661BF" w:rsidRPr="00D661BF" w:rsidRDefault="00D661BF" w:rsidP="00D661BF">
            <w:pPr>
              <w:jc w:val="center"/>
              <w:rPr>
                <w:rFonts w:eastAsia="Calibri"/>
                <w:b/>
                <w:sz w:val="22"/>
                <w:szCs w:val="22"/>
              </w:rPr>
            </w:pPr>
            <w:r w:rsidRPr="00D661BF">
              <w:rPr>
                <w:rFonts w:eastAsia="Calibri"/>
                <w:b/>
                <w:sz w:val="22"/>
                <w:szCs w:val="22"/>
              </w:rPr>
              <w:t>Max</w:t>
            </w:r>
          </w:p>
        </w:tc>
      </w:tr>
      <w:tr w:rsidR="00D661BF" w:rsidRPr="00D661BF" w:rsidTr="00786867">
        <w:trPr>
          <w:trHeight w:val="170"/>
        </w:trPr>
        <w:tc>
          <w:tcPr>
            <w:tcW w:w="1074"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AVCOSTE</w:t>
            </w:r>
          </w:p>
        </w:tc>
        <w:tc>
          <w:tcPr>
            <w:tcW w:w="740"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24,920</w:t>
            </w:r>
          </w:p>
        </w:tc>
        <w:tc>
          <w:tcPr>
            <w:tcW w:w="739"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33.940</w:t>
            </w:r>
          </w:p>
        </w:tc>
        <w:tc>
          <w:tcPr>
            <w:tcW w:w="917"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36.608</w:t>
            </w:r>
          </w:p>
        </w:tc>
        <w:tc>
          <w:tcPr>
            <w:tcW w:w="713"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0</w:t>
            </w:r>
          </w:p>
        </w:tc>
        <w:tc>
          <w:tcPr>
            <w:tcW w:w="817" w:type="pct"/>
            <w:shd w:val="clear" w:color="000000" w:fill="FFFFFF"/>
            <w:noWrap/>
            <w:vAlign w:val="center"/>
          </w:tcPr>
          <w:p w:rsidR="00D661BF" w:rsidRPr="00D661BF" w:rsidRDefault="00D661BF" w:rsidP="00D661BF">
            <w:pPr>
              <w:jc w:val="center"/>
              <w:rPr>
                <w:rFonts w:eastAsia="Calibri"/>
                <w:bCs/>
                <w:sz w:val="22"/>
                <w:szCs w:val="22"/>
              </w:rPr>
            </w:pPr>
            <w:r w:rsidRPr="00D661BF">
              <w:rPr>
                <w:rFonts w:eastAsia="Calibri"/>
                <w:bCs/>
                <w:sz w:val="22"/>
                <w:szCs w:val="22"/>
              </w:rPr>
              <w:t>846.570</w:t>
            </w:r>
          </w:p>
        </w:tc>
      </w:tr>
      <w:tr w:rsidR="00D661BF" w:rsidRPr="00D661BF" w:rsidTr="00786867">
        <w:trPr>
          <w:trHeight w:val="170"/>
        </w:trPr>
        <w:tc>
          <w:tcPr>
            <w:tcW w:w="1074"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CATCOMP</w:t>
            </w:r>
          </w:p>
        </w:tc>
        <w:tc>
          <w:tcPr>
            <w:tcW w:w="740"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24,920</w:t>
            </w:r>
          </w:p>
        </w:tc>
        <w:tc>
          <w:tcPr>
            <w:tcW w:w="739"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1.318</w:t>
            </w:r>
          </w:p>
        </w:tc>
        <w:tc>
          <w:tcPr>
            <w:tcW w:w="917"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0.657</w:t>
            </w:r>
          </w:p>
        </w:tc>
        <w:tc>
          <w:tcPr>
            <w:tcW w:w="713"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1</w:t>
            </w:r>
          </w:p>
        </w:tc>
        <w:tc>
          <w:tcPr>
            <w:tcW w:w="817" w:type="pct"/>
            <w:shd w:val="clear" w:color="000000" w:fill="FFFFFF"/>
            <w:noWrap/>
            <w:vAlign w:val="center"/>
          </w:tcPr>
          <w:p w:rsidR="00D661BF" w:rsidRPr="00D661BF" w:rsidRDefault="00D661BF" w:rsidP="00D661BF">
            <w:pPr>
              <w:jc w:val="center"/>
              <w:rPr>
                <w:rFonts w:eastAsia="Calibri"/>
                <w:bCs/>
                <w:sz w:val="22"/>
                <w:szCs w:val="22"/>
              </w:rPr>
            </w:pPr>
            <w:r w:rsidRPr="00D661BF">
              <w:rPr>
                <w:rFonts w:eastAsia="Calibri"/>
                <w:bCs/>
                <w:sz w:val="22"/>
                <w:szCs w:val="22"/>
              </w:rPr>
              <w:t>4</w:t>
            </w:r>
          </w:p>
        </w:tc>
      </w:tr>
      <w:tr w:rsidR="00D661BF" w:rsidRPr="00D661BF" w:rsidTr="00786867">
        <w:trPr>
          <w:trHeight w:val="170"/>
        </w:trPr>
        <w:tc>
          <w:tcPr>
            <w:tcW w:w="1074"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PUBQOT*</w:t>
            </w:r>
          </w:p>
        </w:tc>
        <w:tc>
          <w:tcPr>
            <w:tcW w:w="740"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24,920</w:t>
            </w:r>
          </w:p>
        </w:tc>
        <w:tc>
          <w:tcPr>
            <w:tcW w:w="739"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w:t>
            </w:r>
          </w:p>
        </w:tc>
        <w:tc>
          <w:tcPr>
            <w:tcW w:w="917"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w:t>
            </w:r>
          </w:p>
        </w:tc>
        <w:tc>
          <w:tcPr>
            <w:tcW w:w="713"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w:t>
            </w:r>
          </w:p>
        </w:tc>
        <w:tc>
          <w:tcPr>
            <w:tcW w:w="817" w:type="pct"/>
            <w:shd w:val="clear" w:color="000000" w:fill="FFFFFF"/>
            <w:noWrap/>
            <w:vAlign w:val="center"/>
          </w:tcPr>
          <w:p w:rsidR="00D661BF" w:rsidRPr="00D661BF" w:rsidRDefault="00D661BF" w:rsidP="00D661BF">
            <w:pPr>
              <w:jc w:val="center"/>
              <w:rPr>
                <w:rFonts w:eastAsia="Calibri"/>
                <w:bCs/>
                <w:sz w:val="22"/>
                <w:szCs w:val="22"/>
              </w:rPr>
            </w:pPr>
            <w:r w:rsidRPr="00D661BF">
              <w:rPr>
                <w:rFonts w:eastAsia="Calibri"/>
                <w:bCs/>
                <w:sz w:val="22"/>
                <w:szCs w:val="22"/>
              </w:rPr>
              <w:t>-</w:t>
            </w:r>
          </w:p>
        </w:tc>
      </w:tr>
      <w:tr w:rsidR="00D661BF" w:rsidRPr="00D661BF" w:rsidTr="00786867">
        <w:trPr>
          <w:trHeight w:val="170"/>
        </w:trPr>
        <w:tc>
          <w:tcPr>
            <w:tcW w:w="1074"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PROFMAR</w:t>
            </w:r>
          </w:p>
        </w:tc>
        <w:tc>
          <w:tcPr>
            <w:tcW w:w="740"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24,920</w:t>
            </w:r>
          </w:p>
        </w:tc>
        <w:tc>
          <w:tcPr>
            <w:tcW w:w="739"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9.605</w:t>
            </w:r>
          </w:p>
        </w:tc>
        <w:tc>
          <w:tcPr>
            <w:tcW w:w="917"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24.980</w:t>
            </w:r>
          </w:p>
        </w:tc>
        <w:tc>
          <w:tcPr>
            <w:tcW w:w="713"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-100</w:t>
            </w:r>
          </w:p>
        </w:tc>
        <w:tc>
          <w:tcPr>
            <w:tcW w:w="817" w:type="pct"/>
            <w:shd w:val="clear" w:color="000000" w:fill="FFFFFF"/>
            <w:noWrap/>
            <w:vAlign w:val="center"/>
          </w:tcPr>
          <w:p w:rsidR="00D661BF" w:rsidRPr="00D661BF" w:rsidRDefault="00D661BF" w:rsidP="00D661BF">
            <w:pPr>
              <w:jc w:val="center"/>
              <w:rPr>
                <w:rFonts w:eastAsia="Calibri"/>
                <w:bCs/>
                <w:sz w:val="22"/>
                <w:szCs w:val="22"/>
              </w:rPr>
            </w:pPr>
            <w:r w:rsidRPr="00D661BF">
              <w:rPr>
                <w:rFonts w:eastAsia="Calibri"/>
                <w:bCs/>
                <w:sz w:val="22"/>
                <w:szCs w:val="22"/>
              </w:rPr>
              <w:t>100</w:t>
            </w:r>
          </w:p>
        </w:tc>
      </w:tr>
      <w:tr w:rsidR="00D661BF" w:rsidRPr="00D661BF" w:rsidTr="00786867">
        <w:trPr>
          <w:trHeight w:val="170"/>
        </w:trPr>
        <w:tc>
          <w:tcPr>
            <w:tcW w:w="1074"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ROE</w:t>
            </w:r>
          </w:p>
        </w:tc>
        <w:tc>
          <w:tcPr>
            <w:tcW w:w="740"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24,920</w:t>
            </w:r>
          </w:p>
        </w:tc>
        <w:tc>
          <w:tcPr>
            <w:tcW w:w="739"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15.455</w:t>
            </w:r>
          </w:p>
        </w:tc>
        <w:tc>
          <w:tcPr>
            <w:tcW w:w="917"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96.880</w:t>
            </w:r>
          </w:p>
        </w:tc>
        <w:tc>
          <w:tcPr>
            <w:tcW w:w="713"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-1,000</w:t>
            </w:r>
          </w:p>
        </w:tc>
        <w:tc>
          <w:tcPr>
            <w:tcW w:w="817" w:type="pct"/>
            <w:shd w:val="clear" w:color="000000" w:fill="FFFFFF"/>
            <w:noWrap/>
            <w:vAlign w:val="center"/>
          </w:tcPr>
          <w:p w:rsidR="00D661BF" w:rsidRPr="00D661BF" w:rsidRDefault="00D661BF" w:rsidP="00D661BF">
            <w:pPr>
              <w:jc w:val="center"/>
              <w:rPr>
                <w:rFonts w:eastAsia="Calibri"/>
                <w:bCs/>
                <w:sz w:val="22"/>
                <w:szCs w:val="22"/>
              </w:rPr>
            </w:pPr>
            <w:r w:rsidRPr="00D661BF">
              <w:rPr>
                <w:rFonts w:eastAsia="Calibri"/>
                <w:bCs/>
                <w:sz w:val="22"/>
                <w:szCs w:val="22"/>
              </w:rPr>
              <w:t>998.720</w:t>
            </w:r>
          </w:p>
        </w:tc>
      </w:tr>
      <w:tr w:rsidR="00D661BF" w:rsidRPr="00D661BF" w:rsidTr="00786867">
        <w:trPr>
          <w:trHeight w:val="170"/>
        </w:trPr>
        <w:tc>
          <w:tcPr>
            <w:tcW w:w="1074"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NBTRAD</w:t>
            </w:r>
          </w:p>
        </w:tc>
        <w:tc>
          <w:tcPr>
            <w:tcW w:w="740"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24,920</w:t>
            </w:r>
          </w:p>
        </w:tc>
        <w:tc>
          <w:tcPr>
            <w:tcW w:w="739"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0.407</w:t>
            </w:r>
          </w:p>
        </w:tc>
        <w:tc>
          <w:tcPr>
            <w:tcW w:w="917" w:type="pct"/>
            <w:shd w:val="clear" w:color="000000" w:fill="FFFFFF"/>
          </w:tcPr>
          <w:p w:rsidR="00D661BF" w:rsidRPr="00D661BF" w:rsidRDefault="00D661BF" w:rsidP="00D661BF">
            <w:pPr>
              <w:jc w:val="center"/>
              <w:rPr>
                <w:rFonts w:eastAsia="Calibri"/>
                <w:sz w:val="22"/>
                <w:szCs w:val="22"/>
              </w:rPr>
            </w:pPr>
            <w:r w:rsidRPr="00D661BF">
              <w:rPr>
                <w:rFonts w:eastAsia="Calibri"/>
                <w:sz w:val="22"/>
                <w:szCs w:val="22"/>
              </w:rPr>
              <w:t>3.472</w:t>
            </w:r>
          </w:p>
        </w:tc>
        <w:tc>
          <w:tcPr>
            <w:tcW w:w="713" w:type="pct"/>
            <w:shd w:val="clear" w:color="000000" w:fill="FFFFFF"/>
            <w:noWrap/>
            <w:vAlign w:val="center"/>
          </w:tcPr>
          <w:p w:rsidR="00D661BF" w:rsidRPr="00D661BF" w:rsidRDefault="00D661BF" w:rsidP="00D661BF">
            <w:pPr>
              <w:jc w:val="center"/>
              <w:rPr>
                <w:rFonts w:eastAsia="Calibri"/>
                <w:sz w:val="22"/>
                <w:szCs w:val="22"/>
              </w:rPr>
            </w:pPr>
            <w:r w:rsidRPr="00D661BF">
              <w:rPr>
                <w:rFonts w:eastAsia="Calibri"/>
                <w:sz w:val="22"/>
                <w:szCs w:val="22"/>
              </w:rPr>
              <w:t>0</w:t>
            </w:r>
          </w:p>
        </w:tc>
        <w:tc>
          <w:tcPr>
            <w:tcW w:w="817" w:type="pct"/>
            <w:shd w:val="clear" w:color="000000" w:fill="FFFFFF"/>
            <w:noWrap/>
            <w:vAlign w:val="center"/>
          </w:tcPr>
          <w:p w:rsidR="00D661BF" w:rsidRPr="00D661BF" w:rsidRDefault="00D661BF" w:rsidP="00D661BF">
            <w:pPr>
              <w:jc w:val="center"/>
              <w:rPr>
                <w:rFonts w:eastAsia="Calibri"/>
                <w:bCs/>
                <w:sz w:val="22"/>
                <w:szCs w:val="22"/>
              </w:rPr>
            </w:pPr>
            <w:r w:rsidRPr="00D661BF">
              <w:rPr>
                <w:rFonts w:eastAsia="Calibri"/>
                <w:bCs/>
                <w:sz w:val="22"/>
                <w:szCs w:val="22"/>
              </w:rPr>
              <w:t>139</w:t>
            </w:r>
          </w:p>
        </w:tc>
      </w:tr>
    </w:tbl>
    <w:p w:rsidR="00D661BF" w:rsidRPr="00D661BF" w:rsidRDefault="00D661BF" w:rsidP="00D661BF">
      <w:pPr>
        <w:contextualSpacing/>
        <w:rPr>
          <w:bCs/>
          <w:sz w:val="16"/>
          <w:szCs w:val="16"/>
        </w:rPr>
      </w:pPr>
      <w:r w:rsidRPr="00D661BF">
        <w:rPr>
          <w:bCs/>
          <w:sz w:val="16"/>
          <w:szCs w:val="16"/>
        </w:rPr>
        <w:t>*</w:t>
      </w:r>
      <w:proofErr w:type="spellStart"/>
      <w:r w:rsidRPr="00D661BF">
        <w:rPr>
          <w:bCs/>
          <w:sz w:val="16"/>
          <w:szCs w:val="16"/>
        </w:rPr>
        <w:t>Binar</w:t>
      </w:r>
      <w:proofErr w:type="spellEnd"/>
      <w:r w:rsidRPr="00D661BF">
        <w:rPr>
          <w:bCs/>
          <w:sz w:val="16"/>
          <w:szCs w:val="16"/>
        </w:rPr>
        <w:t xml:space="preserve"> variable (0-no, 1-yes)</w:t>
      </w:r>
    </w:p>
    <w:p w:rsidR="00D661BF" w:rsidRPr="00D661BF" w:rsidRDefault="00D661BF" w:rsidP="00D661BF">
      <w:pPr>
        <w:jc w:val="both"/>
        <w:rPr>
          <w:sz w:val="16"/>
          <w:szCs w:val="16"/>
        </w:rPr>
      </w:pPr>
      <w:r w:rsidRPr="00D661BF">
        <w:rPr>
          <w:i/>
          <w:sz w:val="16"/>
          <w:szCs w:val="16"/>
        </w:rPr>
        <w:t xml:space="preserve">Source: Calculated according to the Bureau Van </w:t>
      </w:r>
      <w:proofErr w:type="spellStart"/>
      <w:r w:rsidRPr="00D661BF">
        <w:rPr>
          <w:i/>
          <w:sz w:val="16"/>
          <w:szCs w:val="16"/>
        </w:rPr>
        <w:t>Dijk</w:t>
      </w:r>
      <w:proofErr w:type="spellEnd"/>
      <w:r w:rsidRPr="00D661BF">
        <w:rPr>
          <w:i/>
          <w:sz w:val="16"/>
          <w:szCs w:val="16"/>
        </w:rPr>
        <w:t xml:space="preserve"> Amadeus database (2015)</w:t>
      </w:r>
    </w:p>
    <w:p w:rsidR="000F2267" w:rsidRDefault="000F2267" w:rsidP="00D661BF">
      <w:pPr>
        <w:ind w:left="770" w:hanging="784"/>
        <w:rPr>
          <w:sz w:val="22"/>
          <w:szCs w:val="22"/>
          <w:lang w:val="en-GB"/>
        </w:rPr>
      </w:pPr>
    </w:p>
    <w:p w:rsidR="00D661BF" w:rsidRPr="00D661BF" w:rsidRDefault="00D661BF" w:rsidP="00D661BF">
      <w:pPr>
        <w:ind w:left="770" w:hanging="784"/>
        <w:rPr>
          <w:sz w:val="22"/>
          <w:szCs w:val="22"/>
          <w:lang w:val="en-GB"/>
        </w:rPr>
      </w:pPr>
      <w:proofErr w:type="gramStart"/>
      <w:r w:rsidRPr="00D661BF">
        <w:rPr>
          <w:sz w:val="22"/>
          <w:szCs w:val="22"/>
          <w:lang w:val="en-GB"/>
        </w:rPr>
        <w:t>Table 3: Descriptive statistics of dependent and independent variables.</w:t>
      </w:r>
      <w:proofErr w:type="gramEnd"/>
    </w:p>
    <w:p w:rsidR="004A6629" w:rsidRDefault="004A6629" w:rsidP="004A6629">
      <w:pPr>
        <w:spacing w:before="120"/>
        <w:jc w:val="both"/>
        <w:rPr>
          <w:lang w:val="en-GB" w:eastAsia="hr-HR"/>
        </w:rPr>
      </w:pPr>
      <w:r w:rsidRPr="00E5221F">
        <w:rPr>
          <w:rFonts w:eastAsia="Calibri"/>
        </w:rPr>
        <w:t>Prior to model</w:t>
      </w:r>
      <w:r w:rsidR="001F1D2E">
        <w:rPr>
          <w:rFonts w:eastAsia="Calibri"/>
        </w:rPr>
        <w:t xml:space="preserve"> estimation</w:t>
      </w:r>
      <w:r w:rsidRPr="00E5221F">
        <w:rPr>
          <w:rFonts w:eastAsia="Calibri"/>
        </w:rPr>
        <w:t>, it is necessary to check correlation between potential independent variables in order to identify potential multicollinearity problem. Correlation</w:t>
      </w:r>
      <w:r w:rsidRPr="002775DA">
        <w:rPr>
          <w:rFonts w:eastAsia="Calibri"/>
        </w:rPr>
        <w:t xml:space="preserve"> coefficients are shown in table 4. </w:t>
      </w:r>
      <w:r>
        <w:rPr>
          <w:rFonts w:eastAsia="Calibri"/>
        </w:rPr>
        <w:t>Calculated</w:t>
      </w:r>
      <w:r w:rsidRPr="002775DA">
        <w:rPr>
          <w:rFonts w:eastAsia="Calibri"/>
        </w:rPr>
        <w:t xml:space="preserve"> coefficients do not exceed 0.5 and their absolut</w:t>
      </w:r>
      <w:r>
        <w:rPr>
          <w:rFonts w:eastAsia="Calibri"/>
        </w:rPr>
        <w:t xml:space="preserve">e </w:t>
      </w:r>
      <w:r w:rsidRPr="002775DA">
        <w:rPr>
          <w:rFonts w:eastAsia="Calibri"/>
        </w:rPr>
        <w:t xml:space="preserve">values do not indicate the presence of </w:t>
      </w:r>
      <w:r>
        <w:rPr>
          <w:rFonts w:eastAsia="Calibri"/>
        </w:rPr>
        <w:t>multicollinearity</w:t>
      </w:r>
      <w:r w:rsidRPr="002775DA">
        <w:rPr>
          <w:rFonts w:eastAsia="Calibri"/>
        </w:rPr>
        <w:t xml:space="preserve"> </w:t>
      </w:r>
      <w:r w:rsidR="00AC5FAB" w:rsidRPr="002775DA">
        <w:rPr>
          <w:rFonts w:eastAsia="Calibri"/>
        </w:rPr>
        <w:t xml:space="preserve">problem </w:t>
      </w:r>
      <w:r w:rsidRPr="002775DA">
        <w:rPr>
          <w:rFonts w:eastAsia="Calibri"/>
        </w:rPr>
        <w:t>between the independent</w:t>
      </w:r>
      <w:r w:rsidR="00DB11E5">
        <w:rPr>
          <w:rFonts w:eastAsia="Calibri"/>
        </w:rPr>
        <w:t xml:space="preserve">s </w:t>
      </w:r>
      <w:r w:rsidR="006E76CC">
        <w:rPr>
          <w:lang w:val="en-GB" w:eastAsia="hr-HR"/>
        </w:rPr>
        <w:t>[1</w:t>
      </w:r>
      <w:r w:rsidR="009E0310">
        <w:rPr>
          <w:lang w:val="en-GB" w:eastAsia="hr-HR"/>
        </w:rPr>
        <w:t>5</w:t>
      </w:r>
      <w:r w:rsidR="006E76CC">
        <w:rPr>
          <w:lang w:val="en-GB" w:eastAsia="hr-HR"/>
        </w:rPr>
        <w:t>].</w:t>
      </w:r>
    </w:p>
    <w:p w:rsidR="001832F1" w:rsidRDefault="001832F1" w:rsidP="004A6629">
      <w:pPr>
        <w:spacing w:before="120"/>
        <w:jc w:val="both"/>
        <w:rPr>
          <w:b/>
          <w:color w:val="FF0000"/>
          <w:lang w:val="en-GB"/>
        </w:rPr>
      </w:pPr>
    </w:p>
    <w:tbl>
      <w:tblPr>
        <w:tblW w:w="3797" w:type="pct"/>
        <w:tblLook w:val="00A0" w:firstRow="1" w:lastRow="0" w:firstColumn="1" w:lastColumn="0" w:noHBand="0" w:noVBand="0"/>
      </w:tblPr>
      <w:tblGrid>
        <w:gridCol w:w="1280"/>
        <w:gridCol w:w="1280"/>
        <w:gridCol w:w="1097"/>
        <w:gridCol w:w="1268"/>
        <w:gridCol w:w="1006"/>
        <w:gridCol w:w="1121"/>
      </w:tblGrid>
      <w:tr w:rsidR="004A6629" w:rsidRPr="00A35D1B" w:rsidTr="001832F1">
        <w:trPr>
          <w:trHeight w:val="170"/>
        </w:trPr>
        <w:tc>
          <w:tcPr>
            <w:tcW w:w="908" w:type="pct"/>
            <w:tcBorders>
              <w:top w:val="single" w:sz="4" w:space="0" w:color="auto"/>
              <w:left w:val="single" w:sz="4" w:space="0" w:color="auto"/>
              <w:bottom w:val="single" w:sz="8" w:space="0" w:color="auto"/>
              <w:right w:val="single" w:sz="4" w:space="0" w:color="auto"/>
            </w:tcBorders>
            <w:shd w:val="clear" w:color="000000" w:fill="FFFFFF"/>
            <w:vAlign w:val="center"/>
          </w:tcPr>
          <w:p w:rsidR="004A6629" w:rsidRPr="008C019D" w:rsidRDefault="004A6629" w:rsidP="009615B3">
            <w:pPr>
              <w:jc w:val="center"/>
              <w:rPr>
                <w:rFonts w:eastAsia="Calibri"/>
                <w:b/>
                <w:sz w:val="22"/>
                <w:szCs w:val="22"/>
              </w:rPr>
            </w:pPr>
          </w:p>
        </w:tc>
        <w:tc>
          <w:tcPr>
            <w:tcW w:w="908" w:type="pct"/>
            <w:tcBorders>
              <w:top w:val="single" w:sz="4" w:space="0" w:color="auto"/>
              <w:left w:val="single" w:sz="4" w:space="0" w:color="auto"/>
              <w:bottom w:val="single" w:sz="8" w:space="0" w:color="auto"/>
              <w:right w:val="nil"/>
            </w:tcBorders>
            <w:shd w:val="clear" w:color="000000" w:fill="FFFFFF"/>
          </w:tcPr>
          <w:p w:rsidR="004A6629" w:rsidRPr="008C019D" w:rsidRDefault="004A6629" w:rsidP="009615B3">
            <w:pPr>
              <w:jc w:val="center"/>
              <w:rPr>
                <w:rFonts w:eastAsia="Calibri"/>
                <w:b/>
                <w:sz w:val="22"/>
                <w:szCs w:val="22"/>
              </w:rPr>
            </w:pPr>
            <w:r w:rsidRPr="008C019D">
              <w:rPr>
                <w:rFonts w:eastAsia="Calibri"/>
                <w:sz w:val="22"/>
                <w:szCs w:val="22"/>
              </w:rPr>
              <w:t>CATCOMP</w:t>
            </w:r>
          </w:p>
        </w:tc>
        <w:tc>
          <w:tcPr>
            <w:tcW w:w="778" w:type="pct"/>
            <w:tcBorders>
              <w:top w:val="single" w:sz="4" w:space="0" w:color="auto"/>
              <w:left w:val="nil"/>
              <w:bottom w:val="single" w:sz="8" w:space="0" w:color="auto"/>
              <w:right w:val="nil"/>
            </w:tcBorders>
            <w:shd w:val="clear" w:color="000000" w:fill="FFFFFF"/>
          </w:tcPr>
          <w:p w:rsidR="004A6629" w:rsidRPr="008C019D" w:rsidRDefault="004A6629" w:rsidP="009615B3">
            <w:pPr>
              <w:jc w:val="center"/>
              <w:rPr>
                <w:rFonts w:eastAsia="Calibri"/>
                <w:b/>
                <w:sz w:val="22"/>
                <w:szCs w:val="22"/>
              </w:rPr>
            </w:pPr>
            <w:r w:rsidRPr="008C019D">
              <w:rPr>
                <w:rFonts w:eastAsia="Calibri"/>
                <w:sz w:val="22"/>
                <w:szCs w:val="22"/>
              </w:rPr>
              <w:t>PUBQOT</w:t>
            </w:r>
          </w:p>
        </w:tc>
        <w:tc>
          <w:tcPr>
            <w:tcW w:w="899" w:type="pct"/>
            <w:tcBorders>
              <w:top w:val="single" w:sz="4" w:space="0" w:color="auto"/>
              <w:left w:val="nil"/>
              <w:bottom w:val="single" w:sz="8" w:space="0" w:color="auto"/>
              <w:right w:val="nil"/>
            </w:tcBorders>
            <w:shd w:val="clear" w:color="000000" w:fill="FFFFFF"/>
            <w:vAlign w:val="center"/>
          </w:tcPr>
          <w:p w:rsidR="004A6629" w:rsidRPr="008C019D" w:rsidRDefault="004A6629" w:rsidP="009615B3">
            <w:pPr>
              <w:jc w:val="center"/>
              <w:rPr>
                <w:rFonts w:eastAsia="Calibri"/>
                <w:sz w:val="22"/>
                <w:szCs w:val="22"/>
              </w:rPr>
            </w:pPr>
            <w:r w:rsidRPr="008C019D">
              <w:rPr>
                <w:rFonts w:eastAsia="Calibri"/>
                <w:sz w:val="22"/>
                <w:szCs w:val="22"/>
              </w:rPr>
              <w:t>PROFMAR</w:t>
            </w:r>
          </w:p>
        </w:tc>
        <w:tc>
          <w:tcPr>
            <w:tcW w:w="713" w:type="pct"/>
            <w:tcBorders>
              <w:top w:val="single" w:sz="4" w:space="0" w:color="auto"/>
              <w:left w:val="nil"/>
              <w:bottom w:val="single" w:sz="8" w:space="0" w:color="auto"/>
              <w:right w:val="nil"/>
            </w:tcBorders>
            <w:shd w:val="clear" w:color="000000" w:fill="FFFFFF"/>
            <w:vAlign w:val="center"/>
          </w:tcPr>
          <w:p w:rsidR="004A6629" w:rsidRPr="008C019D" w:rsidRDefault="004A6629" w:rsidP="009615B3">
            <w:pPr>
              <w:jc w:val="center"/>
              <w:rPr>
                <w:rFonts w:eastAsia="Calibri"/>
                <w:b/>
                <w:sz w:val="22"/>
                <w:szCs w:val="22"/>
              </w:rPr>
            </w:pPr>
            <w:r w:rsidRPr="008C019D">
              <w:rPr>
                <w:rFonts w:eastAsia="Calibri"/>
                <w:sz w:val="22"/>
                <w:szCs w:val="22"/>
              </w:rPr>
              <w:t>ROE</w:t>
            </w:r>
          </w:p>
        </w:tc>
        <w:tc>
          <w:tcPr>
            <w:tcW w:w="795" w:type="pct"/>
            <w:tcBorders>
              <w:top w:val="single" w:sz="4" w:space="0" w:color="auto"/>
              <w:left w:val="nil"/>
              <w:bottom w:val="single" w:sz="8" w:space="0" w:color="auto"/>
              <w:right w:val="single" w:sz="4" w:space="0" w:color="auto"/>
            </w:tcBorders>
            <w:shd w:val="clear" w:color="000000" w:fill="FFFFFF"/>
            <w:vAlign w:val="center"/>
          </w:tcPr>
          <w:p w:rsidR="004A6629" w:rsidRPr="008C019D" w:rsidRDefault="004A6629" w:rsidP="009615B3">
            <w:pPr>
              <w:jc w:val="center"/>
              <w:rPr>
                <w:rFonts w:eastAsia="Calibri"/>
                <w:b/>
                <w:sz w:val="22"/>
                <w:szCs w:val="22"/>
              </w:rPr>
            </w:pPr>
            <w:r w:rsidRPr="008C019D">
              <w:rPr>
                <w:rFonts w:eastAsia="Calibri"/>
                <w:sz w:val="22"/>
                <w:szCs w:val="22"/>
              </w:rPr>
              <w:t>NBTRAD</w:t>
            </w:r>
          </w:p>
        </w:tc>
      </w:tr>
      <w:tr w:rsidR="004A6629" w:rsidRPr="00A35D1B" w:rsidTr="001832F1">
        <w:trPr>
          <w:trHeight w:val="170"/>
        </w:trPr>
        <w:tc>
          <w:tcPr>
            <w:tcW w:w="908" w:type="pct"/>
            <w:tcBorders>
              <w:left w:val="single" w:sz="4" w:space="0" w:color="auto"/>
              <w:bottom w:val="nil"/>
              <w:right w:val="single" w:sz="4" w:space="0" w:color="auto"/>
            </w:tcBorders>
            <w:shd w:val="clear" w:color="000000" w:fill="FFFFFF"/>
            <w:noWrap/>
            <w:vAlign w:val="center"/>
          </w:tcPr>
          <w:p w:rsidR="004A6629" w:rsidRPr="008C019D" w:rsidRDefault="004A6629" w:rsidP="009615B3">
            <w:pPr>
              <w:jc w:val="center"/>
              <w:rPr>
                <w:rFonts w:eastAsia="Calibri"/>
                <w:sz w:val="22"/>
                <w:szCs w:val="22"/>
              </w:rPr>
            </w:pPr>
            <w:r w:rsidRPr="008C019D">
              <w:rPr>
                <w:rFonts w:eastAsia="Calibri"/>
                <w:sz w:val="22"/>
                <w:szCs w:val="22"/>
              </w:rPr>
              <w:t>CATCOMP</w:t>
            </w:r>
          </w:p>
        </w:tc>
        <w:tc>
          <w:tcPr>
            <w:tcW w:w="908" w:type="pct"/>
            <w:tcBorders>
              <w:left w:val="single" w:sz="4" w:space="0" w:color="auto"/>
              <w:bottom w:val="nil"/>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1</w:t>
            </w:r>
          </w:p>
        </w:tc>
        <w:tc>
          <w:tcPr>
            <w:tcW w:w="778" w:type="pct"/>
            <w:tcBorders>
              <w:left w:val="nil"/>
              <w:bottom w:val="nil"/>
              <w:right w:val="nil"/>
            </w:tcBorders>
            <w:shd w:val="clear" w:color="000000" w:fill="FFFFFF"/>
          </w:tcPr>
          <w:p w:rsidR="004A6629" w:rsidRPr="008C019D" w:rsidRDefault="004A6629" w:rsidP="009615B3">
            <w:pPr>
              <w:jc w:val="center"/>
              <w:rPr>
                <w:rFonts w:eastAsia="Calibri"/>
                <w:sz w:val="22"/>
                <w:szCs w:val="22"/>
              </w:rPr>
            </w:pPr>
          </w:p>
        </w:tc>
        <w:tc>
          <w:tcPr>
            <w:tcW w:w="899" w:type="pct"/>
            <w:tcBorders>
              <w:left w:val="nil"/>
              <w:bottom w:val="nil"/>
              <w:right w:val="nil"/>
            </w:tcBorders>
            <w:shd w:val="clear" w:color="000000" w:fill="FFFFFF"/>
          </w:tcPr>
          <w:p w:rsidR="004A6629" w:rsidRPr="008C019D" w:rsidRDefault="004A6629" w:rsidP="009615B3">
            <w:pPr>
              <w:jc w:val="center"/>
              <w:rPr>
                <w:rFonts w:eastAsia="Calibri"/>
                <w:sz w:val="22"/>
                <w:szCs w:val="22"/>
              </w:rPr>
            </w:pPr>
          </w:p>
        </w:tc>
        <w:tc>
          <w:tcPr>
            <w:tcW w:w="713" w:type="pct"/>
            <w:tcBorders>
              <w:top w:val="nil"/>
              <w:left w:val="nil"/>
              <w:bottom w:val="nil"/>
              <w:right w:val="nil"/>
            </w:tcBorders>
            <w:shd w:val="clear" w:color="000000" w:fill="FFFFFF"/>
            <w:noWrap/>
            <w:vAlign w:val="center"/>
          </w:tcPr>
          <w:p w:rsidR="004A6629" w:rsidRPr="008C019D" w:rsidRDefault="004A6629" w:rsidP="009615B3">
            <w:pPr>
              <w:jc w:val="center"/>
              <w:rPr>
                <w:rFonts w:eastAsia="Calibri"/>
                <w:sz w:val="22"/>
                <w:szCs w:val="22"/>
              </w:rPr>
            </w:pPr>
          </w:p>
        </w:tc>
        <w:tc>
          <w:tcPr>
            <w:tcW w:w="795" w:type="pct"/>
            <w:tcBorders>
              <w:top w:val="nil"/>
              <w:left w:val="nil"/>
              <w:bottom w:val="nil"/>
              <w:right w:val="single" w:sz="4" w:space="0" w:color="auto"/>
            </w:tcBorders>
            <w:shd w:val="clear" w:color="000000" w:fill="FFFFFF"/>
            <w:noWrap/>
            <w:vAlign w:val="center"/>
          </w:tcPr>
          <w:p w:rsidR="004A6629" w:rsidRPr="008C019D" w:rsidRDefault="004A6629" w:rsidP="009615B3">
            <w:pPr>
              <w:jc w:val="center"/>
              <w:rPr>
                <w:rFonts w:eastAsia="Calibri"/>
                <w:bCs/>
                <w:sz w:val="22"/>
                <w:szCs w:val="22"/>
              </w:rPr>
            </w:pPr>
          </w:p>
        </w:tc>
      </w:tr>
      <w:tr w:rsidR="004A6629" w:rsidRPr="00A35D1B" w:rsidTr="001832F1">
        <w:trPr>
          <w:trHeight w:val="170"/>
        </w:trPr>
        <w:tc>
          <w:tcPr>
            <w:tcW w:w="908" w:type="pct"/>
            <w:tcBorders>
              <w:top w:val="nil"/>
              <w:left w:val="single" w:sz="4" w:space="0" w:color="auto"/>
              <w:bottom w:val="nil"/>
              <w:right w:val="single" w:sz="4" w:space="0" w:color="auto"/>
            </w:tcBorders>
            <w:shd w:val="clear" w:color="000000" w:fill="FFFFFF"/>
            <w:noWrap/>
            <w:vAlign w:val="center"/>
          </w:tcPr>
          <w:p w:rsidR="004A6629" w:rsidRPr="008C019D" w:rsidRDefault="004A6629" w:rsidP="009615B3">
            <w:pPr>
              <w:jc w:val="center"/>
              <w:rPr>
                <w:rFonts w:eastAsia="Calibri"/>
                <w:sz w:val="22"/>
                <w:szCs w:val="22"/>
              </w:rPr>
            </w:pPr>
            <w:r w:rsidRPr="008C019D">
              <w:rPr>
                <w:rFonts w:eastAsia="Calibri"/>
                <w:sz w:val="22"/>
                <w:szCs w:val="22"/>
              </w:rPr>
              <w:t>PUBQOT</w:t>
            </w:r>
          </w:p>
        </w:tc>
        <w:tc>
          <w:tcPr>
            <w:tcW w:w="908" w:type="pct"/>
            <w:tcBorders>
              <w:top w:val="nil"/>
              <w:left w:val="single" w:sz="4" w:space="0" w:color="auto"/>
              <w:bottom w:val="nil"/>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0.4631*</w:t>
            </w:r>
          </w:p>
        </w:tc>
        <w:tc>
          <w:tcPr>
            <w:tcW w:w="778" w:type="pct"/>
            <w:tcBorders>
              <w:top w:val="nil"/>
              <w:left w:val="nil"/>
              <w:bottom w:val="nil"/>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1</w:t>
            </w:r>
          </w:p>
        </w:tc>
        <w:tc>
          <w:tcPr>
            <w:tcW w:w="899" w:type="pct"/>
            <w:tcBorders>
              <w:top w:val="nil"/>
              <w:left w:val="nil"/>
              <w:bottom w:val="nil"/>
              <w:right w:val="nil"/>
            </w:tcBorders>
            <w:shd w:val="clear" w:color="000000" w:fill="FFFFFF"/>
          </w:tcPr>
          <w:p w:rsidR="004A6629" w:rsidRPr="008C019D" w:rsidRDefault="004A6629" w:rsidP="009615B3">
            <w:pPr>
              <w:jc w:val="center"/>
              <w:rPr>
                <w:rFonts w:eastAsia="Calibri"/>
                <w:sz w:val="22"/>
                <w:szCs w:val="22"/>
              </w:rPr>
            </w:pPr>
          </w:p>
        </w:tc>
        <w:tc>
          <w:tcPr>
            <w:tcW w:w="713" w:type="pct"/>
            <w:tcBorders>
              <w:top w:val="nil"/>
              <w:left w:val="nil"/>
              <w:bottom w:val="nil"/>
              <w:right w:val="nil"/>
            </w:tcBorders>
            <w:shd w:val="clear" w:color="000000" w:fill="FFFFFF"/>
            <w:noWrap/>
            <w:vAlign w:val="center"/>
          </w:tcPr>
          <w:p w:rsidR="004A6629" w:rsidRPr="008C019D" w:rsidRDefault="004A6629" w:rsidP="009615B3">
            <w:pPr>
              <w:jc w:val="center"/>
              <w:rPr>
                <w:rFonts w:eastAsia="Calibri"/>
                <w:sz w:val="22"/>
                <w:szCs w:val="22"/>
              </w:rPr>
            </w:pPr>
          </w:p>
        </w:tc>
        <w:tc>
          <w:tcPr>
            <w:tcW w:w="795" w:type="pct"/>
            <w:tcBorders>
              <w:top w:val="nil"/>
              <w:left w:val="nil"/>
              <w:bottom w:val="nil"/>
              <w:right w:val="single" w:sz="4" w:space="0" w:color="auto"/>
            </w:tcBorders>
            <w:shd w:val="clear" w:color="000000" w:fill="FFFFFF"/>
            <w:noWrap/>
            <w:vAlign w:val="center"/>
          </w:tcPr>
          <w:p w:rsidR="004A6629" w:rsidRPr="008C019D" w:rsidRDefault="004A6629" w:rsidP="009615B3">
            <w:pPr>
              <w:jc w:val="center"/>
              <w:rPr>
                <w:rFonts w:eastAsia="Calibri"/>
                <w:bCs/>
                <w:sz w:val="22"/>
                <w:szCs w:val="22"/>
              </w:rPr>
            </w:pPr>
          </w:p>
        </w:tc>
      </w:tr>
      <w:tr w:rsidR="004A6629" w:rsidRPr="00A35D1B" w:rsidTr="001832F1">
        <w:trPr>
          <w:trHeight w:val="170"/>
        </w:trPr>
        <w:tc>
          <w:tcPr>
            <w:tcW w:w="908" w:type="pct"/>
            <w:tcBorders>
              <w:top w:val="nil"/>
              <w:left w:val="single" w:sz="4" w:space="0" w:color="auto"/>
              <w:bottom w:val="nil"/>
              <w:right w:val="single" w:sz="4" w:space="0" w:color="auto"/>
            </w:tcBorders>
            <w:shd w:val="clear" w:color="000000" w:fill="FFFFFF"/>
            <w:noWrap/>
            <w:vAlign w:val="center"/>
          </w:tcPr>
          <w:p w:rsidR="004A6629" w:rsidRPr="008C019D" w:rsidRDefault="004A6629" w:rsidP="009615B3">
            <w:pPr>
              <w:jc w:val="center"/>
              <w:rPr>
                <w:rFonts w:eastAsia="Calibri"/>
                <w:sz w:val="22"/>
                <w:szCs w:val="22"/>
              </w:rPr>
            </w:pPr>
            <w:r w:rsidRPr="008C019D">
              <w:rPr>
                <w:rFonts w:eastAsia="Calibri"/>
                <w:sz w:val="22"/>
                <w:szCs w:val="22"/>
              </w:rPr>
              <w:t>PROFMAR</w:t>
            </w:r>
          </w:p>
        </w:tc>
        <w:tc>
          <w:tcPr>
            <w:tcW w:w="908" w:type="pct"/>
            <w:tcBorders>
              <w:top w:val="nil"/>
              <w:left w:val="single" w:sz="4" w:space="0" w:color="auto"/>
              <w:bottom w:val="nil"/>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-0.0956*</w:t>
            </w:r>
          </w:p>
        </w:tc>
        <w:tc>
          <w:tcPr>
            <w:tcW w:w="778" w:type="pct"/>
            <w:tcBorders>
              <w:top w:val="nil"/>
              <w:left w:val="nil"/>
              <w:bottom w:val="nil"/>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-0.0692*</w:t>
            </w:r>
          </w:p>
        </w:tc>
        <w:tc>
          <w:tcPr>
            <w:tcW w:w="899" w:type="pct"/>
            <w:tcBorders>
              <w:top w:val="nil"/>
              <w:left w:val="nil"/>
              <w:bottom w:val="nil"/>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1</w:t>
            </w:r>
          </w:p>
        </w:tc>
        <w:tc>
          <w:tcPr>
            <w:tcW w:w="713" w:type="pct"/>
            <w:tcBorders>
              <w:top w:val="nil"/>
              <w:left w:val="nil"/>
              <w:bottom w:val="nil"/>
              <w:right w:val="nil"/>
            </w:tcBorders>
            <w:shd w:val="clear" w:color="000000" w:fill="FFFFFF"/>
            <w:noWrap/>
            <w:vAlign w:val="center"/>
          </w:tcPr>
          <w:p w:rsidR="004A6629" w:rsidRPr="008C019D" w:rsidRDefault="004A6629" w:rsidP="009615B3">
            <w:pPr>
              <w:jc w:val="center"/>
              <w:rPr>
                <w:rFonts w:eastAsia="Calibri"/>
                <w:sz w:val="22"/>
                <w:szCs w:val="22"/>
              </w:rPr>
            </w:pPr>
          </w:p>
        </w:tc>
        <w:tc>
          <w:tcPr>
            <w:tcW w:w="795" w:type="pct"/>
            <w:tcBorders>
              <w:top w:val="nil"/>
              <w:left w:val="nil"/>
              <w:bottom w:val="nil"/>
              <w:right w:val="single" w:sz="4" w:space="0" w:color="auto"/>
            </w:tcBorders>
            <w:shd w:val="clear" w:color="000000" w:fill="FFFFFF"/>
            <w:noWrap/>
            <w:vAlign w:val="center"/>
          </w:tcPr>
          <w:p w:rsidR="004A6629" w:rsidRPr="008C019D" w:rsidRDefault="004A6629" w:rsidP="009615B3">
            <w:pPr>
              <w:jc w:val="center"/>
              <w:rPr>
                <w:rFonts w:eastAsia="Calibri"/>
                <w:bCs/>
                <w:sz w:val="22"/>
                <w:szCs w:val="22"/>
              </w:rPr>
            </w:pPr>
          </w:p>
        </w:tc>
      </w:tr>
      <w:tr w:rsidR="004A6629" w:rsidRPr="00A35D1B" w:rsidTr="001832F1">
        <w:trPr>
          <w:trHeight w:val="170"/>
        </w:trPr>
        <w:tc>
          <w:tcPr>
            <w:tcW w:w="908" w:type="pct"/>
            <w:tcBorders>
              <w:top w:val="nil"/>
              <w:left w:val="single" w:sz="4" w:space="0" w:color="auto"/>
              <w:right w:val="single" w:sz="4" w:space="0" w:color="auto"/>
            </w:tcBorders>
            <w:shd w:val="clear" w:color="000000" w:fill="FFFFFF"/>
            <w:noWrap/>
            <w:vAlign w:val="center"/>
          </w:tcPr>
          <w:p w:rsidR="004A6629" w:rsidRPr="008C019D" w:rsidRDefault="004A6629" w:rsidP="009615B3">
            <w:pPr>
              <w:jc w:val="center"/>
              <w:rPr>
                <w:rFonts w:eastAsia="Calibri"/>
                <w:sz w:val="22"/>
                <w:szCs w:val="22"/>
              </w:rPr>
            </w:pPr>
            <w:r w:rsidRPr="008C019D">
              <w:rPr>
                <w:rFonts w:eastAsia="Calibri"/>
                <w:sz w:val="22"/>
                <w:szCs w:val="22"/>
              </w:rPr>
              <w:t>ROE</w:t>
            </w:r>
          </w:p>
        </w:tc>
        <w:tc>
          <w:tcPr>
            <w:tcW w:w="908" w:type="pct"/>
            <w:tcBorders>
              <w:top w:val="nil"/>
              <w:left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-0.0413*</w:t>
            </w:r>
          </w:p>
        </w:tc>
        <w:tc>
          <w:tcPr>
            <w:tcW w:w="778" w:type="pct"/>
            <w:tcBorders>
              <w:top w:val="nil"/>
              <w:left w:val="nil"/>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-0.0913*</w:t>
            </w:r>
          </w:p>
        </w:tc>
        <w:tc>
          <w:tcPr>
            <w:tcW w:w="899" w:type="pct"/>
            <w:tcBorders>
              <w:top w:val="nil"/>
              <w:left w:val="nil"/>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0.3306*</w:t>
            </w:r>
          </w:p>
        </w:tc>
        <w:tc>
          <w:tcPr>
            <w:tcW w:w="713" w:type="pct"/>
            <w:tcBorders>
              <w:top w:val="nil"/>
              <w:left w:val="nil"/>
              <w:right w:val="nil"/>
            </w:tcBorders>
            <w:shd w:val="clear" w:color="000000" w:fill="FFFFFF"/>
            <w:noWrap/>
            <w:vAlign w:val="center"/>
          </w:tcPr>
          <w:p w:rsidR="004A6629" w:rsidRPr="008C019D" w:rsidRDefault="004A6629" w:rsidP="009615B3">
            <w:pPr>
              <w:jc w:val="center"/>
              <w:rPr>
                <w:rFonts w:eastAsia="Calibri"/>
                <w:sz w:val="22"/>
                <w:szCs w:val="22"/>
              </w:rPr>
            </w:pPr>
            <w:r w:rsidRPr="008C019D">
              <w:rPr>
                <w:rFonts w:eastAsia="Calibri"/>
                <w:sz w:val="22"/>
                <w:szCs w:val="22"/>
              </w:rPr>
              <w:t>1</w:t>
            </w:r>
          </w:p>
        </w:tc>
        <w:tc>
          <w:tcPr>
            <w:tcW w:w="795" w:type="pct"/>
            <w:tcBorders>
              <w:top w:val="nil"/>
              <w:left w:val="nil"/>
              <w:right w:val="single" w:sz="4" w:space="0" w:color="auto"/>
            </w:tcBorders>
            <w:shd w:val="clear" w:color="000000" w:fill="FFFFFF"/>
            <w:noWrap/>
            <w:vAlign w:val="center"/>
          </w:tcPr>
          <w:p w:rsidR="004A6629" w:rsidRPr="008C019D" w:rsidRDefault="004A6629" w:rsidP="009615B3">
            <w:pPr>
              <w:jc w:val="center"/>
              <w:rPr>
                <w:rFonts w:eastAsia="Calibri"/>
                <w:bCs/>
                <w:sz w:val="22"/>
                <w:szCs w:val="22"/>
              </w:rPr>
            </w:pPr>
          </w:p>
        </w:tc>
      </w:tr>
      <w:tr w:rsidR="004A6629" w:rsidRPr="00A35D1B" w:rsidTr="001832F1">
        <w:trPr>
          <w:trHeight w:val="170"/>
        </w:trPr>
        <w:tc>
          <w:tcPr>
            <w:tcW w:w="908" w:type="pct"/>
            <w:tcBorders>
              <w:top w:val="nil"/>
              <w:left w:val="single" w:sz="4" w:space="0" w:color="auto"/>
              <w:bottom w:val="single" w:sz="4" w:space="0" w:color="auto"/>
              <w:right w:val="single" w:sz="4" w:space="0" w:color="auto"/>
            </w:tcBorders>
            <w:shd w:val="clear" w:color="000000" w:fill="FFFFFF"/>
            <w:noWrap/>
            <w:vAlign w:val="center"/>
          </w:tcPr>
          <w:p w:rsidR="004A6629" w:rsidRPr="008C019D" w:rsidRDefault="004A6629" w:rsidP="009615B3">
            <w:pPr>
              <w:jc w:val="center"/>
              <w:rPr>
                <w:rFonts w:eastAsia="Calibri"/>
                <w:sz w:val="22"/>
                <w:szCs w:val="22"/>
              </w:rPr>
            </w:pPr>
            <w:r w:rsidRPr="008C019D">
              <w:rPr>
                <w:rFonts w:eastAsia="Calibri"/>
                <w:sz w:val="22"/>
                <w:szCs w:val="22"/>
              </w:rPr>
              <w:t>NBTRAD</w:t>
            </w:r>
          </w:p>
        </w:tc>
        <w:tc>
          <w:tcPr>
            <w:tcW w:w="908" w:type="pct"/>
            <w:tcBorders>
              <w:top w:val="nil"/>
              <w:left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0.3219*</w:t>
            </w:r>
          </w:p>
        </w:tc>
        <w:tc>
          <w:tcPr>
            <w:tcW w:w="778" w:type="pct"/>
            <w:tcBorders>
              <w:top w:val="nil"/>
              <w:left w:val="nil"/>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0.3704*</w:t>
            </w:r>
          </w:p>
        </w:tc>
        <w:tc>
          <w:tcPr>
            <w:tcW w:w="899" w:type="pct"/>
            <w:tcBorders>
              <w:top w:val="nil"/>
              <w:left w:val="nil"/>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-0.0501*</w:t>
            </w:r>
          </w:p>
        </w:tc>
        <w:tc>
          <w:tcPr>
            <w:tcW w:w="713" w:type="pct"/>
            <w:tcBorders>
              <w:top w:val="nil"/>
              <w:left w:val="nil"/>
              <w:bottom w:val="single" w:sz="4" w:space="0" w:color="auto"/>
              <w:right w:val="nil"/>
            </w:tcBorders>
            <w:shd w:val="clear" w:color="000000" w:fill="FFFFFF"/>
            <w:noWrap/>
            <w:vAlign w:val="center"/>
          </w:tcPr>
          <w:p w:rsidR="004A6629" w:rsidRPr="008C019D" w:rsidRDefault="004A6629" w:rsidP="009615B3">
            <w:pPr>
              <w:jc w:val="center"/>
              <w:rPr>
                <w:rFonts w:eastAsia="Calibri"/>
                <w:sz w:val="22"/>
                <w:szCs w:val="22"/>
              </w:rPr>
            </w:pPr>
            <w:r w:rsidRPr="008C019D">
              <w:rPr>
                <w:rFonts w:eastAsia="Calibri"/>
                <w:sz w:val="22"/>
                <w:szCs w:val="22"/>
              </w:rPr>
              <w:t>-0.0417*</w:t>
            </w:r>
          </w:p>
        </w:tc>
        <w:tc>
          <w:tcPr>
            <w:tcW w:w="795" w:type="pct"/>
            <w:tcBorders>
              <w:top w:val="nil"/>
              <w:left w:val="nil"/>
              <w:bottom w:val="single" w:sz="4" w:space="0" w:color="auto"/>
              <w:right w:val="single" w:sz="4" w:space="0" w:color="auto"/>
            </w:tcBorders>
            <w:shd w:val="clear" w:color="000000" w:fill="FFFFFF"/>
            <w:noWrap/>
            <w:vAlign w:val="center"/>
          </w:tcPr>
          <w:p w:rsidR="004A6629" w:rsidRPr="008C019D" w:rsidRDefault="004A6629" w:rsidP="009615B3">
            <w:pPr>
              <w:jc w:val="center"/>
              <w:rPr>
                <w:rFonts w:eastAsia="Calibri"/>
                <w:bCs/>
                <w:sz w:val="22"/>
                <w:szCs w:val="22"/>
              </w:rPr>
            </w:pPr>
            <w:r w:rsidRPr="008C019D">
              <w:rPr>
                <w:rFonts w:eastAsia="Calibri"/>
                <w:bCs/>
                <w:sz w:val="22"/>
                <w:szCs w:val="22"/>
              </w:rPr>
              <w:t>1</w:t>
            </w:r>
          </w:p>
        </w:tc>
      </w:tr>
    </w:tbl>
    <w:p w:rsidR="004A6629" w:rsidRDefault="004A6629" w:rsidP="004A6629">
      <w:pPr>
        <w:contextualSpacing/>
        <w:rPr>
          <w:sz w:val="16"/>
          <w:szCs w:val="16"/>
        </w:rPr>
      </w:pPr>
      <w:r w:rsidRPr="009266C4">
        <w:rPr>
          <w:sz w:val="16"/>
          <w:szCs w:val="16"/>
        </w:rPr>
        <w:t xml:space="preserve">* </w:t>
      </w:r>
      <w:proofErr w:type="gramStart"/>
      <w:r w:rsidRPr="009266C4">
        <w:rPr>
          <w:i/>
          <w:iCs/>
          <w:sz w:val="16"/>
          <w:szCs w:val="16"/>
        </w:rPr>
        <w:t>p</w:t>
      </w:r>
      <w:proofErr w:type="gramEnd"/>
      <w:r w:rsidRPr="009266C4">
        <w:rPr>
          <w:sz w:val="16"/>
          <w:szCs w:val="16"/>
        </w:rPr>
        <w:t xml:space="preserve"> &lt; 0.05</w:t>
      </w:r>
    </w:p>
    <w:p w:rsidR="004A6629" w:rsidRPr="009266C4" w:rsidRDefault="004A6629" w:rsidP="004A6629">
      <w:pPr>
        <w:contextualSpacing/>
        <w:rPr>
          <w:bCs/>
          <w:i/>
          <w:sz w:val="16"/>
          <w:szCs w:val="16"/>
          <w:highlight w:val="yellow"/>
        </w:rPr>
      </w:pPr>
      <w:r w:rsidRPr="008E7B26">
        <w:rPr>
          <w:i/>
          <w:sz w:val="16"/>
          <w:szCs w:val="16"/>
        </w:rPr>
        <w:t xml:space="preserve">Source: Calculated according to the Bureau Van </w:t>
      </w:r>
      <w:proofErr w:type="spellStart"/>
      <w:r w:rsidRPr="008E7B26">
        <w:rPr>
          <w:i/>
          <w:sz w:val="16"/>
          <w:szCs w:val="16"/>
        </w:rPr>
        <w:t>Dijk</w:t>
      </w:r>
      <w:proofErr w:type="spellEnd"/>
      <w:r w:rsidRPr="008E7B26">
        <w:rPr>
          <w:i/>
          <w:sz w:val="16"/>
          <w:szCs w:val="16"/>
        </w:rPr>
        <w:t xml:space="preserve"> Amadeus database (2015)</w:t>
      </w:r>
    </w:p>
    <w:p w:rsidR="004A6629" w:rsidRPr="00AA113E" w:rsidRDefault="004A6629" w:rsidP="004A6629">
      <w:pPr>
        <w:pStyle w:val="BodyText"/>
        <w:ind w:left="770" w:hanging="784"/>
        <w:jc w:val="left"/>
        <w:rPr>
          <w:b w:val="0"/>
          <w:sz w:val="22"/>
          <w:szCs w:val="22"/>
        </w:rPr>
      </w:pPr>
      <w:proofErr w:type="gramStart"/>
      <w:r w:rsidRPr="00AA113E">
        <w:rPr>
          <w:b w:val="0"/>
          <w:sz w:val="22"/>
          <w:szCs w:val="22"/>
        </w:rPr>
        <w:t xml:space="preserve">Table </w:t>
      </w:r>
      <w:r>
        <w:rPr>
          <w:b w:val="0"/>
          <w:sz w:val="22"/>
          <w:szCs w:val="22"/>
        </w:rPr>
        <w:t>4</w:t>
      </w:r>
      <w:r w:rsidRPr="00AA113E">
        <w:rPr>
          <w:b w:val="0"/>
          <w:sz w:val="22"/>
          <w:szCs w:val="22"/>
        </w:rPr>
        <w:t xml:space="preserve">: </w:t>
      </w:r>
      <w:r w:rsidRPr="001F4FAB">
        <w:rPr>
          <w:b w:val="0"/>
          <w:sz w:val="22"/>
          <w:szCs w:val="22"/>
        </w:rPr>
        <w:t>Correlation matrix of independent variables</w:t>
      </w:r>
      <w:r w:rsidRPr="00AA113E">
        <w:rPr>
          <w:b w:val="0"/>
          <w:sz w:val="22"/>
          <w:szCs w:val="22"/>
        </w:rPr>
        <w:t>.</w:t>
      </w:r>
      <w:proofErr w:type="gramEnd"/>
    </w:p>
    <w:p w:rsidR="004A6629" w:rsidRPr="008460EB" w:rsidRDefault="001832F1" w:rsidP="004A6629">
      <w:pPr>
        <w:contextualSpacing/>
        <w:jc w:val="both"/>
        <w:rPr>
          <w:lang w:val="en-GB"/>
        </w:rPr>
      </w:pPr>
      <w:r>
        <w:rPr>
          <w:bCs/>
        </w:rPr>
        <w:t>The</w:t>
      </w:r>
      <w:r w:rsidR="004A6629" w:rsidRPr="00B804D9">
        <w:rPr>
          <w:bCs/>
        </w:rPr>
        <w:t xml:space="preserve"> </w:t>
      </w:r>
      <w:r w:rsidR="00140A1A">
        <w:rPr>
          <w:bCs/>
        </w:rPr>
        <w:t>next</w:t>
      </w:r>
      <w:r w:rsidR="004A6629" w:rsidRPr="00B804D9">
        <w:rPr>
          <w:bCs/>
        </w:rPr>
        <w:t xml:space="preserve"> step in the empirical analysis is an estimat</w:t>
      </w:r>
      <w:r w:rsidR="00140A1A">
        <w:rPr>
          <w:bCs/>
        </w:rPr>
        <w:t>ion</w:t>
      </w:r>
      <w:r w:rsidR="004A6629" w:rsidRPr="00B804D9">
        <w:rPr>
          <w:bCs/>
        </w:rPr>
        <w:t xml:space="preserve"> o</w:t>
      </w:r>
      <w:r w:rsidR="004A6629">
        <w:rPr>
          <w:bCs/>
        </w:rPr>
        <w:t xml:space="preserve">f the </w:t>
      </w:r>
      <w:r w:rsidR="004A6629" w:rsidRPr="00805853">
        <w:rPr>
          <w:bCs/>
        </w:rPr>
        <w:t>adequate</w:t>
      </w:r>
      <w:r w:rsidR="004A6629">
        <w:rPr>
          <w:bCs/>
        </w:rPr>
        <w:t xml:space="preserve"> panel data model</w:t>
      </w:r>
      <w:r w:rsidR="004A6629" w:rsidRPr="00B804D9">
        <w:rPr>
          <w:bCs/>
        </w:rPr>
        <w:t>.</w:t>
      </w:r>
      <w:r w:rsidR="004A6629">
        <w:rPr>
          <w:bCs/>
        </w:rPr>
        <w:t xml:space="preserve"> </w:t>
      </w:r>
      <w:r w:rsidR="004A6629" w:rsidRPr="00B804D9">
        <w:rPr>
          <w:bCs/>
        </w:rPr>
        <w:t xml:space="preserve">Wooldridge test for autocorrelation in </w:t>
      </w:r>
      <w:r w:rsidR="004A6629">
        <w:rPr>
          <w:bCs/>
        </w:rPr>
        <w:t xml:space="preserve">panel </w:t>
      </w:r>
      <w:r w:rsidR="004A6629" w:rsidRPr="00B804D9">
        <w:rPr>
          <w:bCs/>
        </w:rPr>
        <w:t>data</w:t>
      </w:r>
      <w:r w:rsidR="004A6629">
        <w:rPr>
          <w:bCs/>
        </w:rPr>
        <w:t xml:space="preserve"> </w:t>
      </w:r>
      <w:r w:rsidR="004A6629" w:rsidRPr="00E5221F">
        <w:rPr>
          <w:bCs/>
        </w:rPr>
        <w:t>(</w:t>
      </w:r>
      <m:oMath>
        <m:r>
          <w:rPr>
            <w:rFonts w:ascii="Cambria Math" w:hAnsi="Cambria Math"/>
            <w:sz w:val="22"/>
            <w:szCs w:val="22"/>
          </w:rPr>
          <m:t>p≤0.001</m:t>
        </m:r>
      </m:oMath>
      <w:r w:rsidR="004A6629" w:rsidRPr="00E5221F">
        <w:rPr>
          <w:bCs/>
        </w:rPr>
        <w:t xml:space="preserve">) confirms the autocorrelation of the residuals and points to the implementation of a dynamic panel model </w:t>
      </w:r>
      <w:r w:rsidR="00F75167" w:rsidRPr="00E5221F">
        <w:rPr>
          <w:lang w:val="en-GB" w:eastAsia="hr-HR"/>
        </w:rPr>
        <w:t>[2</w:t>
      </w:r>
      <w:r w:rsidR="003A6B79">
        <w:rPr>
          <w:lang w:val="en-GB" w:eastAsia="hr-HR"/>
        </w:rPr>
        <w:t>1</w:t>
      </w:r>
      <w:r w:rsidR="00F75167" w:rsidRPr="00E5221F">
        <w:rPr>
          <w:lang w:val="en-GB" w:eastAsia="hr-HR"/>
        </w:rPr>
        <w:t>].</w:t>
      </w:r>
      <w:r w:rsidR="00F75167" w:rsidRPr="00E5221F">
        <w:rPr>
          <w:rFonts w:eastAsiaTheme="minorEastAsia"/>
          <w:bCs/>
        </w:rPr>
        <w:t xml:space="preserve"> </w:t>
      </w:r>
      <w:r w:rsidR="004A6629" w:rsidRPr="00E5221F">
        <w:rPr>
          <w:bCs/>
        </w:rPr>
        <w:t xml:space="preserve">The assumption of a static panel model as a quality estimator has been disturbed. Dynamic panel model effectively solves the problem of </w:t>
      </w:r>
      <w:proofErr w:type="spellStart"/>
      <w:r w:rsidR="004A6629" w:rsidRPr="00E5221F">
        <w:rPr>
          <w:bCs/>
        </w:rPr>
        <w:t>endogenity</w:t>
      </w:r>
      <w:proofErr w:type="spellEnd"/>
      <w:r w:rsidR="004A6629" w:rsidRPr="00E5221F">
        <w:rPr>
          <w:bCs/>
        </w:rPr>
        <w:t xml:space="preserve"> and manages the problems of heteroscedasticity and autocorrelation of residuals </w:t>
      </w:r>
      <w:r w:rsidR="000051C0" w:rsidRPr="00E5221F">
        <w:rPr>
          <w:lang w:val="en-GB" w:eastAsia="hr-HR"/>
        </w:rPr>
        <w:t>[3].</w:t>
      </w:r>
      <w:r w:rsidR="004A6629" w:rsidRPr="00E5221F">
        <w:rPr>
          <w:bCs/>
        </w:rPr>
        <w:t xml:space="preserve"> The empirical analysis continues with evaluation of dynamic panel models. Blundell-Bond (BB) estimator is used</w:t>
      </w:r>
      <w:r w:rsidR="00735D97">
        <w:rPr>
          <w:bCs/>
        </w:rPr>
        <w:t xml:space="preserve"> </w:t>
      </w:r>
      <w:r w:rsidR="00735D97" w:rsidRPr="00E5221F">
        <w:rPr>
          <w:lang w:val="en-GB" w:eastAsia="hr-HR"/>
        </w:rPr>
        <w:t>[1</w:t>
      </w:r>
      <w:r w:rsidR="00735D97">
        <w:rPr>
          <w:lang w:val="en-GB" w:eastAsia="hr-HR"/>
        </w:rPr>
        <w:t>7</w:t>
      </w:r>
      <w:r w:rsidR="00735D97" w:rsidRPr="00E5221F">
        <w:rPr>
          <w:lang w:val="en-GB" w:eastAsia="hr-HR"/>
        </w:rPr>
        <w:t>]</w:t>
      </w:r>
      <w:r w:rsidR="004A6629" w:rsidRPr="00E5221F">
        <w:rPr>
          <w:bCs/>
        </w:rPr>
        <w:t xml:space="preserve">. The selection is based on the characteristics of the sample. The number of units of observation (company) exceeds the number of periods of observation satisfying condition of applying Arellano-Bond (AB) estimator or Blundell-Bond (BB) estimator </w:t>
      </w:r>
      <w:r w:rsidR="000051C0" w:rsidRPr="00E5221F">
        <w:rPr>
          <w:lang w:val="en-GB" w:eastAsia="hr-HR"/>
        </w:rPr>
        <w:t>[1</w:t>
      </w:r>
      <w:r w:rsidR="00F35D31">
        <w:rPr>
          <w:lang w:val="en-GB" w:eastAsia="hr-HR"/>
        </w:rPr>
        <w:t>5</w:t>
      </w:r>
      <w:r w:rsidR="000051C0" w:rsidRPr="00E5221F">
        <w:rPr>
          <w:lang w:val="en-GB" w:eastAsia="hr-HR"/>
        </w:rPr>
        <w:t>].</w:t>
      </w:r>
      <w:r w:rsidR="004A6629" w:rsidRPr="00E5221F">
        <w:rPr>
          <w:bCs/>
        </w:rPr>
        <w:t xml:space="preserve"> The fact that the BB model is a result of correction of AB model and that the higher number of instrumental variables in the observed set does not compromise the bias estimator determine the choice of BB model </w:t>
      </w:r>
      <w:r w:rsidR="000051C0" w:rsidRPr="00E5221F">
        <w:rPr>
          <w:lang w:val="en-GB" w:eastAsia="hr-HR"/>
        </w:rPr>
        <w:t>[6].</w:t>
      </w:r>
      <w:r w:rsidR="000051C0" w:rsidRPr="00E5221F">
        <w:rPr>
          <w:bCs/>
        </w:rPr>
        <w:t xml:space="preserve"> </w:t>
      </w:r>
      <w:r w:rsidR="004A6629" w:rsidRPr="00E5221F">
        <w:rPr>
          <w:bCs/>
        </w:rPr>
        <w:t>Analytical note of the model equations is as follows:</w:t>
      </w:r>
    </w:p>
    <w:p w:rsidR="004A6629" w:rsidRPr="008460EB" w:rsidRDefault="004D40BA" w:rsidP="004A6629">
      <w:pPr>
        <w:spacing w:before="120" w:line="360" w:lineRule="auto"/>
        <w:jc w:val="right"/>
        <w:rPr>
          <w:b/>
          <w:color w:val="FF0000"/>
          <w:lang w:val="en-GB"/>
        </w:rPr>
      </w:pPr>
      <m:oMath>
        <m:sSub>
          <m:sSubPr>
            <m:ctrlPr>
              <w:rPr>
                <w:rFonts w:ascii="Cambria Math" w:hAnsi="Cambria Math"/>
                <w:bCs/>
                <w:i/>
              </w:rPr>
            </m:ctrlPr>
          </m:sSubPr>
          <m:e>
            <m:r>
              <w:rPr>
                <w:rFonts w:ascii="Cambria Math" w:hAnsi="Cambria Math"/>
              </w:rPr>
              <m:t>AVCOSTE</m:t>
            </m:r>
          </m:e>
          <m:sub>
            <m:r>
              <w:rPr>
                <w:rFonts w:ascii="Cambria Math" w:hAnsi="Cambria Math"/>
              </w:rPr>
              <m:t>it</m:t>
            </m:r>
          </m:sub>
        </m:sSub>
        <m:r>
          <w:rPr>
            <w:rFonts w:ascii="Cambria Math" w:hAnsi="Cambria Math"/>
            <w:lang w:val="it-IT"/>
          </w:rPr>
          <m:t>=</m:t>
        </m:r>
        <m:r>
          <w:rPr>
            <w:rFonts w:ascii="Cambria Math" w:hAnsi="Cambria Math"/>
          </w:rPr>
          <m:t>μ</m:t>
        </m:r>
        <m:r>
          <w:rPr>
            <w:rFonts w:ascii="Cambria Math" w:hAnsi="Cambria Math"/>
            <w:lang w:val="it-IT"/>
          </w:rPr>
          <m:t>+</m:t>
        </m:r>
        <m:r>
          <w:rPr>
            <w:rFonts w:ascii="Cambria Math" w:hAnsi="Cambria Math"/>
          </w:rPr>
          <m:t>γ</m:t>
        </m:r>
        <m:sSub>
          <m:sSubPr>
            <m:ctrlPr>
              <w:rPr>
                <w:rFonts w:ascii="Cambria Math" w:hAnsi="Cambria Math"/>
                <w:bCs/>
                <w:i/>
              </w:rPr>
            </m:ctrlPr>
          </m:sSubPr>
          <m:e>
            <m:r>
              <w:rPr>
                <w:rFonts w:ascii="Cambria Math" w:hAnsi="Cambria Math"/>
              </w:rPr>
              <m:t>AVCOSTE</m:t>
            </m:r>
          </m:e>
          <m:sub>
            <m:r>
              <w:rPr>
                <w:rFonts w:ascii="Cambria Math" w:hAnsi="Cambria Math"/>
              </w:rPr>
              <m:t>it</m:t>
            </m:r>
            <m:r>
              <w:rPr>
                <w:rFonts w:ascii="Cambria Math" w:hAnsi="Cambria Math"/>
                <w:lang w:val="it-IT"/>
              </w:rPr>
              <m:t>-1</m:t>
            </m:r>
          </m:sub>
        </m:sSub>
        <m:r>
          <w:rPr>
            <w:rFonts w:ascii="Cambria Math" w:hAnsi="Cambria Math"/>
            <w:lang w:val="it-IT"/>
          </w:rPr>
          <m:t>+</m:t>
        </m:r>
        <m:sSub>
          <m:sSubPr>
            <m:ctrlPr>
              <w:rPr>
                <w:rFonts w:ascii="Cambria Math" w:hAnsi="Cambria Math"/>
                <w:bCs/>
                <w:i/>
              </w:rPr>
            </m:ctrlPr>
          </m:sSubPr>
          <m:e>
            <m:r>
              <w:rPr>
                <w:rFonts w:ascii="Cambria Math" w:hAnsi="Cambria Math"/>
              </w:rPr>
              <m:t>β</m:t>
            </m:r>
          </m:e>
          <m:sub>
            <m:r>
              <w:rPr>
                <w:rFonts w:ascii="Cambria Math" w:hAnsi="Cambria Math"/>
                <w:lang w:val="it-IT"/>
              </w:rPr>
              <m:t>1</m:t>
            </m:r>
          </m:sub>
        </m:sSub>
        <m:sSub>
          <m:sSubPr>
            <m:ctrlPr>
              <w:rPr>
                <w:rFonts w:ascii="Cambria Math" w:hAnsi="Cambria Math"/>
                <w:bCs/>
                <w:i/>
              </w:rPr>
            </m:ctrlPr>
          </m:sSubPr>
          <m:e>
            <m:r>
              <w:rPr>
                <w:rFonts w:ascii="Cambria Math" w:hAnsi="Cambria Math"/>
              </w:rPr>
              <m:t>CATCOMP</m:t>
            </m:r>
          </m:e>
          <m:sub>
            <m:r>
              <w:rPr>
                <w:rFonts w:ascii="Cambria Math" w:hAnsi="Cambria Math"/>
              </w:rPr>
              <m:t>it</m:t>
            </m:r>
          </m:sub>
        </m:sSub>
        <m:r>
          <w:rPr>
            <w:rFonts w:ascii="Cambria Math" w:hAnsi="Cambria Math"/>
            <w:lang w:val="it-IT"/>
          </w:rPr>
          <m:t>+</m:t>
        </m:r>
        <m:sSub>
          <m:sSubPr>
            <m:ctrlPr>
              <w:rPr>
                <w:rFonts w:ascii="Cambria Math" w:hAnsi="Cambria Math"/>
                <w:bCs/>
                <w:i/>
              </w:rPr>
            </m:ctrlPr>
          </m:sSubPr>
          <m:e>
            <m:r>
              <w:rPr>
                <w:rFonts w:ascii="Cambria Math" w:hAnsi="Cambria Math"/>
              </w:rPr>
              <m:t>β</m:t>
            </m:r>
          </m:e>
          <m:sub>
            <m:r>
              <w:rPr>
                <w:rFonts w:ascii="Cambria Math" w:hAnsi="Cambria Math"/>
                <w:lang w:val="it-IT"/>
              </w:rPr>
              <m:t>2</m:t>
            </m:r>
          </m:sub>
        </m:sSub>
        <m:sSub>
          <m:sSubPr>
            <m:ctrlPr>
              <w:rPr>
                <w:rFonts w:ascii="Cambria Math" w:hAnsi="Cambria Math"/>
                <w:bCs/>
                <w:i/>
              </w:rPr>
            </m:ctrlPr>
          </m:sSubPr>
          <m:e>
            <m:r>
              <w:rPr>
                <w:rFonts w:ascii="Cambria Math" w:hAnsi="Cambria Math"/>
              </w:rPr>
              <m:t>PUBQOT</m:t>
            </m:r>
          </m:e>
          <m:sub>
            <m:r>
              <w:rPr>
                <w:rFonts w:ascii="Cambria Math" w:hAnsi="Cambria Math"/>
              </w:rPr>
              <m:t>it</m:t>
            </m:r>
          </m:sub>
        </m:sSub>
        <m:r>
          <w:rPr>
            <w:rFonts w:ascii="Cambria Math" w:hAnsi="Cambria Math"/>
            <w:lang w:val="it-IT"/>
          </w:rPr>
          <m:t>+</m:t>
        </m:r>
        <m:sSub>
          <m:sSubPr>
            <m:ctrlPr>
              <w:rPr>
                <w:rFonts w:ascii="Cambria Math" w:hAnsi="Cambria Math"/>
                <w:bCs/>
                <w:i/>
              </w:rPr>
            </m:ctrlPr>
          </m:sSubPr>
          <m:e>
            <m:r>
              <w:rPr>
                <w:rFonts w:ascii="Cambria Math" w:hAnsi="Cambria Math"/>
              </w:rPr>
              <m:t>β</m:t>
            </m:r>
          </m:e>
          <m:sub>
            <m:r>
              <w:rPr>
                <w:rFonts w:ascii="Cambria Math" w:hAnsi="Cambria Math"/>
                <w:lang w:val="it-IT"/>
              </w:rPr>
              <m:t>3</m:t>
            </m:r>
          </m:sub>
        </m:sSub>
        <m:sSub>
          <m:sSubPr>
            <m:ctrlPr>
              <w:rPr>
                <w:rFonts w:ascii="Cambria Math" w:hAnsi="Cambria Math"/>
                <w:bCs/>
                <w:i/>
              </w:rPr>
            </m:ctrlPr>
          </m:sSubPr>
          <m:e>
            <m:r>
              <w:rPr>
                <w:rFonts w:ascii="Cambria Math" w:hAnsi="Cambria Math"/>
              </w:rPr>
              <m:t>PROFMAR</m:t>
            </m:r>
          </m:e>
          <m:sub>
            <m:r>
              <w:rPr>
                <w:rFonts w:ascii="Cambria Math" w:hAnsi="Cambria Math"/>
              </w:rPr>
              <m:t>it</m:t>
            </m:r>
          </m:sub>
        </m:sSub>
        <m:r>
          <w:rPr>
            <w:rFonts w:ascii="Cambria Math" w:hAnsi="Cambria Math"/>
            <w:lang w:val="it-IT"/>
          </w:rPr>
          <m:t>+</m:t>
        </m:r>
        <m:sSub>
          <m:sSubPr>
            <m:ctrlPr>
              <w:rPr>
                <w:rFonts w:ascii="Cambria Math" w:hAnsi="Cambria Math"/>
                <w:bCs/>
                <w:i/>
              </w:rPr>
            </m:ctrlPr>
          </m:sSubPr>
          <m:e>
            <m:r>
              <w:rPr>
                <w:rFonts w:ascii="Cambria Math" w:hAnsi="Cambria Math"/>
              </w:rPr>
              <m:t>β</m:t>
            </m:r>
          </m:e>
          <m:sub>
            <m:r>
              <w:rPr>
                <w:rFonts w:ascii="Cambria Math" w:hAnsi="Cambria Math"/>
                <w:lang w:val="it-IT"/>
              </w:rPr>
              <m:t>4</m:t>
            </m:r>
          </m:sub>
        </m:sSub>
        <m:sSub>
          <m:sSubPr>
            <m:ctrlPr>
              <w:rPr>
                <w:rFonts w:ascii="Cambria Math" w:hAnsi="Cambria Math"/>
                <w:bCs/>
                <w:i/>
              </w:rPr>
            </m:ctrlPr>
          </m:sSubPr>
          <m:e>
            <m:r>
              <w:rPr>
                <w:rFonts w:ascii="Cambria Math" w:hAnsi="Cambria Math"/>
              </w:rPr>
              <m:t>ROE</m:t>
            </m:r>
          </m:e>
          <m:sub>
            <m:r>
              <w:rPr>
                <w:rFonts w:ascii="Cambria Math" w:hAnsi="Cambria Math"/>
              </w:rPr>
              <m:t>it</m:t>
            </m:r>
          </m:sub>
        </m:sSub>
        <m:r>
          <w:rPr>
            <w:rFonts w:ascii="Cambria Math" w:hAnsi="Cambria Math"/>
            <w:lang w:val="it-IT"/>
          </w:rPr>
          <m:t>+</m:t>
        </m:r>
        <m:sSub>
          <m:sSubPr>
            <m:ctrlPr>
              <w:rPr>
                <w:rFonts w:ascii="Cambria Math" w:hAnsi="Cambria Math"/>
                <w:bCs/>
                <w:i/>
              </w:rPr>
            </m:ctrlPr>
          </m:sSubPr>
          <m:e>
            <m:r>
              <w:rPr>
                <w:rFonts w:ascii="Cambria Math" w:hAnsi="Cambria Math"/>
              </w:rPr>
              <m:t>β</m:t>
            </m:r>
          </m:e>
          <m:sub>
            <m:r>
              <w:rPr>
                <w:rFonts w:ascii="Cambria Math" w:hAnsi="Cambria Math"/>
                <w:lang w:val="it-IT"/>
              </w:rPr>
              <m:t>5</m:t>
            </m:r>
          </m:sub>
        </m:sSub>
        <m:sSub>
          <m:sSubPr>
            <m:ctrlPr>
              <w:rPr>
                <w:rFonts w:ascii="Cambria Math" w:hAnsi="Cambria Math"/>
                <w:bCs/>
                <w:i/>
              </w:rPr>
            </m:ctrlPr>
          </m:sSubPr>
          <m:e>
            <m:r>
              <w:rPr>
                <w:rFonts w:ascii="Cambria Math" w:hAnsi="Cambria Math"/>
              </w:rPr>
              <m:t>NBTRAD</m:t>
            </m:r>
          </m:e>
          <m:sub>
            <m:r>
              <w:rPr>
                <w:rFonts w:ascii="Cambria Math" w:hAnsi="Cambria Math"/>
              </w:rPr>
              <m:t>it</m:t>
            </m:r>
          </m:sub>
        </m:sSub>
        <m:r>
          <w:rPr>
            <w:rFonts w:ascii="Cambria Math" w:hAnsi="Cambria Math"/>
            <w:lang w:val="it-IT"/>
          </w:rPr>
          <m:t>+</m:t>
        </m:r>
        <m:sSub>
          <m:sSubPr>
            <m:ctrlPr>
              <w:rPr>
                <w:rFonts w:ascii="Cambria Math" w:hAnsi="Cambria Math"/>
                <w:bCs/>
                <w:i/>
              </w:rPr>
            </m:ctrlPr>
          </m:sSubPr>
          <m:e>
            <m:r>
              <w:rPr>
                <w:rFonts w:ascii="Cambria Math" w:hAnsi="Cambria Math"/>
              </w:rPr>
              <m:t>α</m:t>
            </m:r>
          </m:e>
          <m:sub>
            <m:r>
              <w:rPr>
                <w:rFonts w:ascii="Cambria Math" w:hAnsi="Cambria Math"/>
              </w:rPr>
              <m:t>i</m:t>
            </m:r>
          </m:sub>
        </m:sSub>
        <m:r>
          <w:rPr>
            <w:rFonts w:ascii="Cambria Math" w:hAnsi="Cambria Math"/>
            <w:lang w:val="it-IT"/>
          </w:rPr>
          <m:t>+</m:t>
        </m:r>
        <m:sSub>
          <m:sSubPr>
            <m:ctrlPr>
              <w:rPr>
                <w:rFonts w:ascii="Cambria Math" w:hAnsi="Cambria Math"/>
                <w:bCs/>
                <w:i/>
              </w:rPr>
            </m:ctrlPr>
          </m:sSubPr>
          <m:e>
            <m:r>
              <w:rPr>
                <w:rFonts w:ascii="Cambria Math" w:hAnsi="Cambria Math"/>
              </w:rPr>
              <m:t>ε</m:t>
            </m:r>
          </m:e>
          <m:sub>
            <m:r>
              <w:rPr>
                <w:rFonts w:ascii="Cambria Math" w:hAnsi="Cambria Math"/>
              </w:rPr>
              <m:t>it</m:t>
            </m:r>
          </m:sub>
        </m:sSub>
        <m:r>
          <w:rPr>
            <w:rFonts w:ascii="Cambria Math" w:hAnsi="Cambria Math"/>
            <w:lang w:val="it-IT"/>
          </w:rPr>
          <m:t>;</m:t>
        </m:r>
        <m:r>
          <w:rPr>
            <w:rFonts w:ascii="Cambria Math" w:hAnsi="Cambria Math"/>
          </w:rPr>
          <m:t>i=1,2,…,N;t=1,2,…,T</m:t>
        </m:r>
      </m:oMath>
      <w:r w:rsidR="004A6629">
        <w:t>,</w:t>
      </w:r>
      <w:r w:rsidR="004A6629">
        <w:tab/>
      </w:r>
      <w:r w:rsidR="004A6629">
        <w:tab/>
      </w:r>
      <w:r w:rsidR="004A6629">
        <w:tab/>
      </w:r>
      <w:r w:rsidR="004A6629" w:rsidRPr="008460EB">
        <w:t xml:space="preserve">        (1)</w:t>
      </w:r>
    </w:p>
    <w:p w:rsidR="004A6629" w:rsidRDefault="004A6629" w:rsidP="004A6629">
      <w:pPr>
        <w:tabs>
          <w:tab w:val="left" w:pos="9000"/>
        </w:tabs>
        <w:spacing w:before="120"/>
        <w:ind w:right="68"/>
        <w:jc w:val="both"/>
      </w:pPr>
      <w:proofErr w:type="gramStart"/>
      <w:r>
        <w:t>w</w:t>
      </w:r>
      <w:r w:rsidRPr="00254C31">
        <w:t>here</w:t>
      </w:r>
      <w:proofErr w:type="gramEnd"/>
      <w:r w:rsidRPr="00254C31">
        <w:t xml:space="preserve"> </w:t>
      </w:r>
      <m:oMath>
        <m:r>
          <w:rPr>
            <w:rFonts w:ascii="Cambria Math" w:hAnsi="Cambria Math"/>
          </w:rPr>
          <m:t>N</m:t>
        </m:r>
      </m:oMath>
      <w:r w:rsidRPr="00254C31">
        <w:t xml:space="preserve"> is the number of units of observation</w:t>
      </w:r>
      <w:r>
        <w:t xml:space="preserve"> (</w:t>
      </w:r>
      <w:r>
        <w:rPr>
          <w:rFonts w:eastAsiaTheme="minorEastAsia"/>
          <w:bCs/>
        </w:rPr>
        <w:t>4.984 companies)</w:t>
      </w:r>
      <w:r w:rsidRPr="00254C31">
        <w:t xml:space="preserve">, </w:t>
      </w:r>
      <m:oMath>
        <m:r>
          <w:rPr>
            <w:rFonts w:ascii="Cambria Math" w:hAnsi="Cambria Math"/>
          </w:rPr>
          <m:t>T</m:t>
        </m:r>
      </m:oMath>
      <w:r w:rsidRPr="00254C31">
        <w:t xml:space="preserve"> is the number of periods</w:t>
      </w:r>
      <w:r>
        <w:t xml:space="preserve"> (5 years)</w:t>
      </w:r>
      <w:r w:rsidRPr="00254C31">
        <w:t xml:space="preserve">. </w:t>
      </w:r>
      <w:proofErr w:type="gramStart"/>
      <w:r w:rsidRPr="00254C31">
        <w:t xml:space="preserve">Parameter </w:t>
      </w:r>
      <m:oMath>
        <m:r>
          <w:rPr>
            <w:rFonts w:ascii="Cambria Math" w:hAnsi="Cambria Math"/>
          </w:rPr>
          <m:t>μ</m:t>
        </m:r>
      </m:oMath>
      <w:r w:rsidRPr="00254C31">
        <w:t xml:space="preserve"> is a constant member,</w:t>
      </w:r>
      <w:r>
        <w:rPr>
          <w:rFonts w:eastAsiaTheme="minorEastAsia"/>
        </w:rPr>
        <w:t xml:space="preserve">  </w:t>
      </w:r>
      <m:oMath>
        <m:r>
          <w:rPr>
            <w:rFonts w:ascii="Cambria Math" w:hAnsi="Cambria Math"/>
          </w:rPr>
          <m:t>γ</m:t>
        </m:r>
      </m:oMath>
      <w:r>
        <w:rPr>
          <w:rFonts w:eastAsiaTheme="minorEastAsia"/>
        </w:rPr>
        <w:t xml:space="preserve"> is a</w:t>
      </w:r>
      <w:r>
        <w:rPr>
          <w:rFonts w:eastAsiaTheme="minorEastAsia"/>
          <w:bCs/>
        </w:rPr>
        <w:t xml:space="preserve"> parameter of the lagged dependent variable, </w:t>
      </w:r>
      <w:r w:rsidRPr="00254C31">
        <w:t xml:space="preserve"> </w:t>
      </w:r>
      <m:oMath>
        <m:sSub>
          <m:sSubPr>
            <m:ctrlPr>
              <w:rPr>
                <w:rFonts w:ascii="Cambria Math" w:hAnsi="Cambria Math"/>
                <w:bCs/>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β</m:t>
            </m:r>
          </m:e>
          <m:sub>
            <m:r>
              <w:rPr>
                <w:rFonts w:ascii="Cambria Math" w:hAnsi="Cambria Math"/>
              </w:rPr>
              <m:t>5</m:t>
            </m:r>
          </m:sub>
        </m:sSub>
      </m:oMath>
      <w:r w:rsidRPr="00254C31">
        <w:t xml:space="preserve"> are</w:t>
      </w:r>
      <w:proofErr w:type="gramEnd"/>
      <w:r w:rsidRPr="00254C31">
        <w:t xml:space="preserve"> parameters </w:t>
      </w:r>
      <w:r>
        <w:t>of the independent variables</w:t>
      </w:r>
      <w:r w:rsidRPr="00254C31">
        <w:t>. Furthermore</w:t>
      </w:r>
      <w:r>
        <w:t xml:space="preserve">, </w:t>
      </w:r>
      <m:oMath>
        <m:sSub>
          <m:sSubPr>
            <m:ctrlPr>
              <w:rPr>
                <w:rFonts w:ascii="Cambria Math" w:hAnsi="Cambria Math"/>
                <w:bCs/>
                <w:i/>
              </w:rPr>
            </m:ctrlPr>
          </m:sSubPr>
          <m:e>
            <m:r>
              <w:rPr>
                <w:rFonts w:ascii="Cambria Math" w:hAnsi="Cambria Math"/>
              </w:rPr>
              <m:t>α</m:t>
            </m:r>
          </m:e>
          <m:sub>
            <m:r>
              <w:rPr>
                <w:rFonts w:ascii="Cambria Math" w:hAnsi="Cambria Math"/>
              </w:rPr>
              <m:t>i</m:t>
            </m:r>
          </m:sub>
        </m:sSub>
      </m:oMath>
      <w:r w:rsidRPr="00254C31">
        <w:t xml:space="preserve"> </w:t>
      </w:r>
      <w:r>
        <w:t xml:space="preserve"> is the random variable for each unit of </w:t>
      </w:r>
      <w:proofErr w:type="gramStart"/>
      <w:r>
        <w:t xml:space="preserve">observation </w:t>
      </w:r>
      <w:proofErr w:type="gramEnd"/>
      <m:oMath>
        <m:r>
          <w:rPr>
            <w:rFonts w:ascii="Cambria Math" w:hAnsi="Cambria Math"/>
          </w:rPr>
          <m:t>i</m:t>
        </m:r>
      </m:oMath>
      <w:r>
        <w:rPr>
          <w:rFonts w:eastAsia="Calibri"/>
        </w:rPr>
        <w:t>,</w:t>
      </w:r>
      <w:r>
        <w:t xml:space="preserve"> and </w:t>
      </w:r>
      <m:oMath>
        <m:sSub>
          <m:sSubPr>
            <m:ctrlPr>
              <w:rPr>
                <w:rFonts w:ascii="Cambria Math" w:hAnsi="Cambria Math"/>
                <w:bCs/>
                <w:i/>
              </w:rPr>
            </m:ctrlPr>
          </m:sSubPr>
          <m:e>
            <m:r>
              <w:rPr>
                <w:rFonts w:ascii="Cambria Math" w:hAnsi="Cambria Math"/>
              </w:rPr>
              <m:t>ε</m:t>
            </m:r>
          </m:e>
          <m:sub>
            <m:r>
              <w:rPr>
                <w:rFonts w:ascii="Cambria Math" w:hAnsi="Cambria Math"/>
              </w:rPr>
              <m:t>it</m:t>
            </m:r>
          </m:sub>
        </m:sSub>
      </m:oMath>
      <w:r w:rsidRPr="00254C31">
        <w:t xml:space="preserve"> is the estimation error</w:t>
      </w:r>
      <w:r>
        <w:t>, both</w:t>
      </w:r>
      <w:r w:rsidRPr="00254C31">
        <w:t xml:space="preserve"> </w:t>
      </w:r>
      <w:r>
        <w:t>are</w:t>
      </w:r>
      <w:r w:rsidRPr="00254C31">
        <w:t xml:space="preserve"> assumed to follow a white noise process</w:t>
      </w:r>
      <w:r>
        <w:t>.</w:t>
      </w:r>
    </w:p>
    <w:p w:rsidR="004A6629" w:rsidRDefault="004A6629" w:rsidP="004A6629">
      <w:pPr>
        <w:tabs>
          <w:tab w:val="left" w:pos="9000"/>
        </w:tabs>
        <w:spacing w:before="120"/>
        <w:ind w:right="68"/>
        <w:jc w:val="both"/>
        <w:rPr>
          <w:rFonts w:eastAsiaTheme="minorEastAsia"/>
          <w:bCs/>
        </w:rPr>
      </w:pPr>
      <w:r w:rsidRPr="00E5221F">
        <w:rPr>
          <w:rFonts w:eastAsiaTheme="minorEastAsia"/>
          <w:bCs/>
        </w:rPr>
        <w:t xml:space="preserve">BB </w:t>
      </w:r>
      <w:r w:rsidR="00AF74BE">
        <w:rPr>
          <w:rFonts w:eastAsiaTheme="minorEastAsia"/>
          <w:bCs/>
        </w:rPr>
        <w:t>two</w:t>
      </w:r>
      <w:r w:rsidR="008835E7">
        <w:rPr>
          <w:rFonts w:eastAsiaTheme="minorEastAsia"/>
          <w:bCs/>
        </w:rPr>
        <w:t>-</w:t>
      </w:r>
      <w:r w:rsidRPr="00E5221F">
        <w:rPr>
          <w:rFonts w:eastAsiaTheme="minorEastAsia"/>
          <w:bCs/>
        </w:rPr>
        <w:t xml:space="preserve">steps estimator is used for the evaluation of the dynamic panel model due to its robustness on </w:t>
      </w:r>
      <w:r w:rsidRPr="00E5221F">
        <w:rPr>
          <w:bCs/>
        </w:rPr>
        <w:t xml:space="preserve">heteroscedasticity </w:t>
      </w:r>
      <w:r w:rsidRPr="00E5221F">
        <w:rPr>
          <w:rFonts w:eastAsiaTheme="minorEastAsia"/>
          <w:bCs/>
        </w:rPr>
        <w:t xml:space="preserve">and due being more efficient than the estimator in one step </w:t>
      </w:r>
      <w:r w:rsidR="000051C0" w:rsidRPr="00E5221F">
        <w:rPr>
          <w:lang w:val="en-GB" w:eastAsia="hr-HR"/>
        </w:rPr>
        <w:t>[1</w:t>
      </w:r>
      <w:r w:rsidR="00F35D31">
        <w:rPr>
          <w:lang w:val="en-GB" w:eastAsia="hr-HR"/>
        </w:rPr>
        <w:t>5</w:t>
      </w:r>
      <w:r w:rsidR="000051C0" w:rsidRPr="00E5221F">
        <w:rPr>
          <w:lang w:val="en-GB" w:eastAsia="hr-HR"/>
        </w:rPr>
        <w:t>].</w:t>
      </w:r>
      <w:r w:rsidRPr="00E5221F">
        <w:rPr>
          <w:rFonts w:eastAsiaTheme="minorEastAsia"/>
          <w:bCs/>
        </w:rPr>
        <w:t xml:space="preserve"> Evaluation</w:t>
      </w:r>
      <w:r w:rsidRPr="002A0088">
        <w:rPr>
          <w:rFonts w:eastAsiaTheme="minorEastAsia"/>
          <w:bCs/>
        </w:rPr>
        <w:t xml:space="preserve"> of the model through BB </w:t>
      </w:r>
      <w:r>
        <w:rPr>
          <w:rFonts w:eastAsiaTheme="minorEastAsia"/>
          <w:bCs/>
        </w:rPr>
        <w:t>estimator</w:t>
      </w:r>
      <w:r w:rsidRPr="002A0088">
        <w:rPr>
          <w:rFonts w:eastAsiaTheme="minorEastAsia"/>
          <w:bCs/>
        </w:rPr>
        <w:t xml:space="preserve"> in two steps gives a biased estimate of the standard error</w:t>
      </w:r>
      <w:r>
        <w:rPr>
          <w:rFonts w:eastAsiaTheme="minorEastAsia"/>
          <w:bCs/>
        </w:rPr>
        <w:t xml:space="preserve"> </w:t>
      </w:r>
      <w:r w:rsidR="000051C0">
        <w:rPr>
          <w:lang w:val="en-GB" w:eastAsia="hr-HR"/>
        </w:rPr>
        <w:t>[1</w:t>
      </w:r>
      <w:r w:rsidR="00F35D31">
        <w:rPr>
          <w:lang w:val="en-GB" w:eastAsia="hr-HR"/>
        </w:rPr>
        <w:t>5</w:t>
      </w:r>
      <w:r w:rsidR="000051C0">
        <w:rPr>
          <w:lang w:val="en-GB" w:eastAsia="hr-HR"/>
        </w:rPr>
        <w:t>].</w:t>
      </w:r>
      <w:r w:rsidR="000051C0" w:rsidRPr="002A0088">
        <w:rPr>
          <w:rFonts w:eastAsiaTheme="minorEastAsia"/>
          <w:bCs/>
        </w:rPr>
        <w:t xml:space="preserve"> </w:t>
      </w:r>
      <w:r w:rsidRPr="002A0088">
        <w:rPr>
          <w:rFonts w:eastAsiaTheme="minorEastAsia"/>
          <w:bCs/>
        </w:rPr>
        <w:t xml:space="preserve">Therefore, the robust option is introduced </w:t>
      </w:r>
      <w:r>
        <w:rPr>
          <w:rFonts w:eastAsiaTheme="minorEastAsia"/>
          <w:bCs/>
        </w:rPr>
        <w:t>achieving</w:t>
      </w:r>
      <w:r w:rsidRPr="002A0088">
        <w:rPr>
          <w:rFonts w:eastAsiaTheme="minorEastAsia"/>
          <w:bCs/>
        </w:rPr>
        <w:t xml:space="preserve"> </w:t>
      </w:r>
      <w:r>
        <w:rPr>
          <w:rFonts w:eastAsiaTheme="minorEastAsia"/>
          <w:bCs/>
        </w:rPr>
        <w:t>non-biased estimators</w:t>
      </w:r>
      <w:r w:rsidRPr="002A0088">
        <w:rPr>
          <w:rFonts w:eastAsiaTheme="minorEastAsia"/>
          <w:bCs/>
        </w:rPr>
        <w:t xml:space="preserve">. The validity of the instruments that are selected for the assessment of the model is tested </w:t>
      </w:r>
      <w:r>
        <w:rPr>
          <w:rFonts w:eastAsiaTheme="minorEastAsia"/>
          <w:bCs/>
        </w:rPr>
        <w:t xml:space="preserve">by the </w:t>
      </w:r>
      <w:proofErr w:type="spellStart"/>
      <w:r w:rsidRPr="002A0088">
        <w:rPr>
          <w:rFonts w:eastAsiaTheme="minorEastAsia"/>
          <w:bCs/>
        </w:rPr>
        <w:t>Sargan</w:t>
      </w:r>
      <w:proofErr w:type="spellEnd"/>
      <w:r w:rsidRPr="002A0088">
        <w:rPr>
          <w:rFonts w:eastAsiaTheme="minorEastAsia"/>
          <w:bCs/>
        </w:rPr>
        <w:t xml:space="preserve"> test</w:t>
      </w:r>
      <w:r>
        <w:rPr>
          <w:rFonts w:eastAsiaTheme="minorEastAsia"/>
          <w:bCs/>
        </w:rPr>
        <w:t xml:space="preserve"> </w:t>
      </w:r>
      <w:r w:rsidR="000051C0">
        <w:rPr>
          <w:lang w:val="en-GB" w:eastAsia="hr-HR"/>
        </w:rPr>
        <w:t>[3].</w:t>
      </w:r>
      <w:r w:rsidRPr="002A0088">
        <w:rPr>
          <w:rFonts w:eastAsiaTheme="minorEastAsia"/>
          <w:bCs/>
        </w:rPr>
        <w:t xml:space="preserve"> </w:t>
      </w:r>
      <w:r w:rsidR="00DC6489">
        <w:rPr>
          <w:rFonts w:eastAsiaTheme="minorEastAsia"/>
          <w:bCs/>
        </w:rPr>
        <w:t>This</w:t>
      </w:r>
      <w:r w:rsidRPr="002A0088">
        <w:rPr>
          <w:rFonts w:eastAsiaTheme="minorEastAsia"/>
          <w:bCs/>
        </w:rPr>
        <w:t xml:space="preserve"> test cannot be performed if the</w:t>
      </w:r>
      <w:r>
        <w:rPr>
          <w:rFonts w:eastAsiaTheme="minorEastAsia"/>
          <w:bCs/>
        </w:rPr>
        <w:t xml:space="preserve"> </w:t>
      </w:r>
      <w:r w:rsidRPr="002A0088">
        <w:rPr>
          <w:rFonts w:eastAsiaTheme="minorEastAsia"/>
          <w:bCs/>
        </w:rPr>
        <w:t>robust option to estimate</w:t>
      </w:r>
      <w:r>
        <w:rPr>
          <w:rFonts w:eastAsiaTheme="minorEastAsia"/>
          <w:bCs/>
        </w:rPr>
        <w:t xml:space="preserve"> is </w:t>
      </w:r>
      <w:proofErr w:type="gramStart"/>
      <w:r>
        <w:rPr>
          <w:rFonts w:eastAsiaTheme="minorEastAsia"/>
          <w:bCs/>
        </w:rPr>
        <w:t>used,</w:t>
      </w:r>
      <w:proofErr w:type="gramEnd"/>
      <w:r>
        <w:rPr>
          <w:rFonts w:eastAsiaTheme="minorEastAsia"/>
          <w:bCs/>
        </w:rPr>
        <w:t xml:space="preserve"> therefore</w:t>
      </w:r>
      <w:r w:rsidRPr="002A0088">
        <w:rPr>
          <w:rFonts w:eastAsiaTheme="minorEastAsia"/>
          <w:bCs/>
        </w:rPr>
        <w:t xml:space="preserve"> the results of the diagnost</w:t>
      </w:r>
      <w:r>
        <w:rPr>
          <w:rFonts w:eastAsiaTheme="minorEastAsia"/>
          <w:bCs/>
        </w:rPr>
        <w:t>ic tests without robust options are enclosed.</w:t>
      </w:r>
    </w:p>
    <w:p w:rsidR="004A6629" w:rsidRDefault="004A6629" w:rsidP="004A6629">
      <w:pPr>
        <w:jc w:val="both"/>
        <w:rPr>
          <w:b/>
          <w:bCs/>
          <w:color w:val="000000"/>
          <w:lang w:val="en-GB"/>
        </w:rPr>
      </w:pPr>
    </w:p>
    <w:tbl>
      <w:tblPr>
        <w:tblW w:w="2317" w:type="pct"/>
        <w:tblLayout w:type="fixed"/>
        <w:tblLook w:val="00A0" w:firstRow="1" w:lastRow="0" w:firstColumn="1" w:lastColumn="0" w:noHBand="0" w:noVBand="0"/>
      </w:tblPr>
      <w:tblGrid>
        <w:gridCol w:w="1594"/>
        <w:gridCol w:w="1348"/>
        <w:gridCol w:w="1361"/>
      </w:tblGrid>
      <w:tr w:rsidR="004A6629" w:rsidRPr="00A35D1B" w:rsidTr="001832F1">
        <w:trPr>
          <w:trHeight w:val="170"/>
        </w:trPr>
        <w:tc>
          <w:tcPr>
            <w:tcW w:w="1852" w:type="pct"/>
            <w:tcBorders>
              <w:top w:val="single" w:sz="4" w:space="0" w:color="auto"/>
              <w:left w:val="single" w:sz="4" w:space="0" w:color="auto"/>
              <w:bottom w:val="single" w:sz="4" w:space="0" w:color="auto"/>
            </w:tcBorders>
            <w:shd w:val="clear" w:color="000000" w:fill="FFFFFF"/>
            <w:vAlign w:val="center"/>
          </w:tcPr>
          <w:p w:rsidR="004A6629" w:rsidRPr="008C019D" w:rsidRDefault="004A6629" w:rsidP="009615B3">
            <w:pPr>
              <w:jc w:val="center"/>
              <w:rPr>
                <w:rFonts w:eastAsia="Calibri"/>
                <w:b/>
                <w:sz w:val="22"/>
                <w:szCs w:val="22"/>
              </w:rPr>
            </w:pPr>
            <w:r w:rsidRPr="008C019D">
              <w:rPr>
                <w:rFonts w:eastAsia="Calibri"/>
                <w:b/>
                <w:sz w:val="22"/>
                <w:szCs w:val="22"/>
              </w:rPr>
              <w:t>Variables</w:t>
            </w:r>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b/>
                <w:sz w:val="22"/>
                <w:szCs w:val="22"/>
              </w:rPr>
            </w:pPr>
            <w:r w:rsidRPr="008C019D">
              <w:rPr>
                <w:rFonts w:eastAsia="Calibri"/>
                <w:b/>
                <w:sz w:val="22"/>
                <w:szCs w:val="22"/>
              </w:rPr>
              <w:t>BB2st</w:t>
            </w:r>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b/>
                <w:sz w:val="22"/>
                <w:szCs w:val="22"/>
              </w:rPr>
            </w:pPr>
            <w:r w:rsidRPr="008C019D">
              <w:rPr>
                <w:rFonts w:eastAsia="Calibri"/>
                <w:b/>
                <w:sz w:val="22"/>
                <w:szCs w:val="22"/>
              </w:rPr>
              <w:t>BB2st_rb</w:t>
            </w:r>
          </w:p>
        </w:tc>
      </w:tr>
      <w:tr w:rsidR="004A6629" w:rsidRPr="004011BF" w:rsidTr="001832F1">
        <w:trPr>
          <w:trHeight w:val="170"/>
        </w:trPr>
        <w:tc>
          <w:tcPr>
            <w:tcW w:w="1852" w:type="pct"/>
            <w:tcBorders>
              <w:top w:val="single" w:sz="4" w:space="0" w:color="auto"/>
              <w:left w:val="single" w:sz="4" w:space="0" w:color="auto"/>
              <w:bottom w:val="single" w:sz="4" w:space="0" w:color="auto"/>
            </w:tcBorders>
            <w:shd w:val="clear" w:color="000000" w:fill="FFFFFF"/>
            <w:noWrap/>
            <w:vAlign w:val="center"/>
          </w:tcPr>
          <w:p w:rsidR="004A6629" w:rsidRPr="008C019D" w:rsidRDefault="004D40BA" w:rsidP="009615B3">
            <w:pPr>
              <w:jc w:val="center"/>
              <w:rPr>
                <w:rFonts w:eastAsia="Calibri"/>
                <w:bCs/>
                <w:sz w:val="22"/>
                <w:szCs w:val="22"/>
              </w:rPr>
            </w:pPr>
            <m:oMathPara>
              <m:oMath>
                <m:sSub>
                  <m:sSubPr>
                    <m:ctrlPr>
                      <w:rPr>
                        <w:rFonts w:ascii="Cambria Math" w:hAnsi="Cambria Math"/>
                        <w:bCs/>
                        <w:i/>
                        <w:sz w:val="22"/>
                        <w:szCs w:val="22"/>
                      </w:rPr>
                    </m:ctrlPr>
                  </m:sSubPr>
                  <m:e>
                    <m:r>
                      <w:rPr>
                        <w:rFonts w:ascii="Cambria Math" w:hAnsi="Cambria Math"/>
                        <w:sz w:val="22"/>
                        <w:szCs w:val="22"/>
                      </w:rPr>
                      <m:t>AVCOSTE</m:t>
                    </m:r>
                  </m:e>
                  <m:sub>
                    <m:r>
                      <w:rPr>
                        <w:rFonts w:ascii="Cambria Math" w:hAnsi="Cambria Math"/>
                        <w:sz w:val="22"/>
                        <w:szCs w:val="22"/>
                      </w:rPr>
                      <m:t>it-1</m:t>
                    </m:r>
                  </m:sub>
                </m:sSub>
              </m:oMath>
            </m:oMathPara>
          </w:p>
          <w:p w:rsidR="004A6629" w:rsidRPr="008C019D" w:rsidRDefault="004A6629" w:rsidP="009615B3">
            <w:pPr>
              <w:rPr>
                <w:rFonts w:eastAsia="Calibri"/>
                <w:sz w:val="22"/>
                <w:szCs w:val="22"/>
              </w:rPr>
            </w:pPr>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0.2508***</w:t>
            </w:r>
          </w:p>
          <w:p w:rsidR="004A6629" w:rsidRPr="008C019D" w:rsidRDefault="004A6629" w:rsidP="009615B3">
            <w:pPr>
              <w:jc w:val="center"/>
              <w:rPr>
                <w:rFonts w:eastAsia="Calibri"/>
                <w:sz w:val="22"/>
                <w:szCs w:val="22"/>
              </w:rPr>
            </w:pPr>
            <w:r w:rsidRPr="008C019D">
              <w:rPr>
                <w:rFonts w:eastAsia="Calibri"/>
                <w:sz w:val="22"/>
                <w:szCs w:val="22"/>
              </w:rPr>
              <w:t>(0.0423)</w:t>
            </w:r>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0.2508***</w:t>
            </w:r>
          </w:p>
          <w:p w:rsidR="004A6629" w:rsidRPr="008C019D" w:rsidRDefault="004A6629" w:rsidP="009615B3">
            <w:pPr>
              <w:jc w:val="center"/>
              <w:rPr>
                <w:rFonts w:eastAsia="Calibri"/>
                <w:sz w:val="22"/>
                <w:szCs w:val="22"/>
              </w:rPr>
            </w:pPr>
            <w:r w:rsidRPr="008C019D">
              <w:rPr>
                <w:rFonts w:eastAsia="Calibri"/>
                <w:sz w:val="22"/>
                <w:szCs w:val="22"/>
              </w:rPr>
              <w:t>(0.0613)</w:t>
            </w:r>
          </w:p>
        </w:tc>
      </w:tr>
      <w:tr w:rsidR="004A6629" w:rsidRPr="004011BF" w:rsidTr="001832F1">
        <w:trPr>
          <w:trHeight w:val="170"/>
        </w:trPr>
        <w:tc>
          <w:tcPr>
            <w:tcW w:w="1852" w:type="pct"/>
            <w:tcBorders>
              <w:top w:val="single" w:sz="4" w:space="0" w:color="auto"/>
              <w:left w:val="single" w:sz="4" w:space="0" w:color="auto"/>
              <w:bottom w:val="single" w:sz="4" w:space="0" w:color="auto"/>
            </w:tcBorders>
            <w:shd w:val="clear" w:color="000000" w:fill="FFFFFF"/>
            <w:noWrap/>
            <w:vAlign w:val="center"/>
          </w:tcPr>
          <w:p w:rsidR="004A6629" w:rsidRPr="008C019D" w:rsidRDefault="004D40BA" w:rsidP="009615B3">
            <w:pPr>
              <w:jc w:val="center"/>
              <w:rPr>
                <w:rFonts w:eastAsia="Calibri"/>
                <w:bCs/>
                <w:sz w:val="22"/>
                <w:szCs w:val="22"/>
              </w:rPr>
            </w:pPr>
            <m:oMathPara>
              <m:oMath>
                <m:sSub>
                  <m:sSubPr>
                    <m:ctrlPr>
                      <w:rPr>
                        <w:rFonts w:ascii="Cambria Math" w:hAnsi="Cambria Math"/>
                        <w:bCs/>
                        <w:i/>
                        <w:sz w:val="22"/>
                        <w:szCs w:val="22"/>
                      </w:rPr>
                    </m:ctrlPr>
                  </m:sSubPr>
                  <m:e>
                    <m:r>
                      <w:rPr>
                        <w:rFonts w:ascii="Cambria Math" w:hAnsi="Cambria Math"/>
                        <w:sz w:val="22"/>
                        <w:szCs w:val="22"/>
                      </w:rPr>
                      <m:t>CATCOMP</m:t>
                    </m:r>
                  </m:e>
                  <m:sub>
                    <m:r>
                      <w:rPr>
                        <w:rFonts w:ascii="Cambria Math" w:hAnsi="Cambria Math"/>
                        <w:sz w:val="22"/>
                        <w:szCs w:val="22"/>
                      </w:rPr>
                      <m:t>it</m:t>
                    </m:r>
                  </m:sub>
                </m:sSub>
              </m:oMath>
            </m:oMathPara>
          </w:p>
          <w:p w:rsidR="004A6629" w:rsidRPr="008C019D" w:rsidRDefault="004A6629" w:rsidP="009615B3">
            <w:pPr>
              <w:rPr>
                <w:rFonts w:eastAsia="Calibri"/>
                <w:sz w:val="22"/>
                <w:szCs w:val="22"/>
              </w:rPr>
            </w:pPr>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lastRenderedPageBreak/>
              <w:t>85.8415***</w:t>
            </w:r>
          </w:p>
          <w:p w:rsidR="004A6629" w:rsidRPr="008C019D" w:rsidRDefault="004A6629" w:rsidP="009615B3">
            <w:pPr>
              <w:jc w:val="center"/>
              <w:rPr>
                <w:rFonts w:eastAsia="Calibri"/>
                <w:sz w:val="22"/>
                <w:szCs w:val="22"/>
              </w:rPr>
            </w:pPr>
            <w:r w:rsidRPr="008C019D">
              <w:rPr>
                <w:rFonts w:eastAsia="Calibri"/>
                <w:sz w:val="22"/>
                <w:szCs w:val="22"/>
              </w:rPr>
              <w:lastRenderedPageBreak/>
              <w:t>(23.7522)</w:t>
            </w:r>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lastRenderedPageBreak/>
              <w:t>85.8415***</w:t>
            </w:r>
          </w:p>
          <w:p w:rsidR="004A6629" w:rsidRPr="008C019D" w:rsidRDefault="004A6629" w:rsidP="009615B3">
            <w:pPr>
              <w:jc w:val="center"/>
              <w:rPr>
                <w:rFonts w:eastAsia="Calibri"/>
                <w:sz w:val="22"/>
                <w:szCs w:val="22"/>
              </w:rPr>
            </w:pPr>
            <w:r w:rsidRPr="008C019D">
              <w:rPr>
                <w:rFonts w:eastAsia="Calibri"/>
                <w:sz w:val="22"/>
                <w:szCs w:val="22"/>
              </w:rPr>
              <w:lastRenderedPageBreak/>
              <w:t>(29.6637)</w:t>
            </w:r>
          </w:p>
        </w:tc>
      </w:tr>
      <w:tr w:rsidR="004A6629" w:rsidRPr="004011BF" w:rsidTr="001832F1">
        <w:trPr>
          <w:trHeight w:val="170"/>
        </w:trPr>
        <w:tc>
          <w:tcPr>
            <w:tcW w:w="1852" w:type="pct"/>
            <w:tcBorders>
              <w:top w:val="single" w:sz="4" w:space="0" w:color="auto"/>
              <w:left w:val="single" w:sz="4" w:space="0" w:color="auto"/>
              <w:bottom w:val="single" w:sz="4" w:space="0" w:color="auto"/>
            </w:tcBorders>
            <w:shd w:val="clear" w:color="000000" w:fill="FFFFFF"/>
            <w:noWrap/>
            <w:vAlign w:val="center"/>
          </w:tcPr>
          <w:p w:rsidR="004A6629" w:rsidRPr="008C019D" w:rsidRDefault="004D40BA" w:rsidP="009615B3">
            <w:pPr>
              <w:jc w:val="center"/>
              <w:rPr>
                <w:rFonts w:eastAsia="Calibri"/>
                <w:bCs/>
                <w:sz w:val="22"/>
                <w:szCs w:val="22"/>
              </w:rPr>
            </w:pPr>
            <m:oMathPara>
              <m:oMath>
                <m:sSub>
                  <m:sSubPr>
                    <m:ctrlPr>
                      <w:rPr>
                        <w:rFonts w:ascii="Cambria Math" w:hAnsi="Cambria Math"/>
                        <w:bCs/>
                        <w:i/>
                        <w:sz w:val="22"/>
                        <w:szCs w:val="22"/>
                      </w:rPr>
                    </m:ctrlPr>
                  </m:sSubPr>
                  <m:e>
                    <m:r>
                      <w:rPr>
                        <w:rFonts w:ascii="Cambria Math" w:hAnsi="Cambria Math"/>
                        <w:sz w:val="22"/>
                        <w:szCs w:val="22"/>
                      </w:rPr>
                      <m:t>PUBQOT</m:t>
                    </m:r>
                  </m:e>
                  <m:sub>
                    <m:r>
                      <w:rPr>
                        <w:rFonts w:ascii="Cambria Math" w:hAnsi="Cambria Math"/>
                        <w:sz w:val="22"/>
                        <w:szCs w:val="22"/>
                      </w:rPr>
                      <m:t>it</m:t>
                    </m:r>
                  </m:sub>
                </m:sSub>
              </m:oMath>
            </m:oMathPara>
          </w:p>
          <w:p w:rsidR="004A6629" w:rsidRPr="008C019D" w:rsidRDefault="004A6629" w:rsidP="009615B3">
            <w:pPr>
              <w:rPr>
                <w:rFonts w:eastAsia="Calibri"/>
                <w:sz w:val="22"/>
                <w:szCs w:val="22"/>
              </w:rPr>
            </w:pPr>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-54.5236</w:t>
            </w:r>
          </w:p>
          <w:p w:rsidR="004A6629" w:rsidRPr="008C019D" w:rsidRDefault="004A6629" w:rsidP="009615B3">
            <w:pPr>
              <w:jc w:val="center"/>
              <w:rPr>
                <w:rFonts w:eastAsia="Calibri"/>
                <w:sz w:val="22"/>
                <w:szCs w:val="22"/>
              </w:rPr>
            </w:pPr>
            <w:r w:rsidRPr="008C019D">
              <w:rPr>
                <w:rFonts w:eastAsia="Calibri"/>
                <w:sz w:val="22"/>
                <w:szCs w:val="22"/>
              </w:rPr>
              <w:t>(112.9417)</w:t>
            </w:r>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-54.5236</w:t>
            </w:r>
          </w:p>
          <w:p w:rsidR="004A6629" w:rsidRPr="008C019D" w:rsidRDefault="004A6629" w:rsidP="009615B3">
            <w:pPr>
              <w:jc w:val="center"/>
              <w:rPr>
                <w:rFonts w:eastAsia="Calibri"/>
                <w:sz w:val="22"/>
                <w:szCs w:val="22"/>
              </w:rPr>
            </w:pPr>
            <w:r w:rsidRPr="008C019D">
              <w:rPr>
                <w:rFonts w:eastAsia="Calibri"/>
                <w:sz w:val="22"/>
                <w:szCs w:val="22"/>
              </w:rPr>
              <w:t>(147.3411)</w:t>
            </w:r>
          </w:p>
        </w:tc>
      </w:tr>
      <w:tr w:rsidR="004A6629" w:rsidRPr="004011BF" w:rsidTr="001832F1">
        <w:trPr>
          <w:trHeight w:val="170"/>
        </w:trPr>
        <w:tc>
          <w:tcPr>
            <w:tcW w:w="1852" w:type="pct"/>
            <w:tcBorders>
              <w:top w:val="single" w:sz="4" w:space="0" w:color="auto"/>
              <w:left w:val="single" w:sz="4" w:space="0" w:color="auto"/>
              <w:bottom w:val="single" w:sz="4" w:space="0" w:color="auto"/>
            </w:tcBorders>
            <w:shd w:val="clear" w:color="000000" w:fill="FFFFFF"/>
            <w:noWrap/>
            <w:vAlign w:val="center"/>
          </w:tcPr>
          <w:p w:rsidR="004A6629" w:rsidRPr="008C019D" w:rsidRDefault="004D40BA" w:rsidP="009615B3">
            <w:pPr>
              <w:jc w:val="center"/>
              <w:rPr>
                <w:rFonts w:eastAsia="Calibri"/>
                <w:bCs/>
                <w:sz w:val="22"/>
                <w:szCs w:val="22"/>
              </w:rPr>
            </w:pPr>
            <m:oMathPara>
              <m:oMath>
                <m:sSub>
                  <m:sSubPr>
                    <m:ctrlPr>
                      <w:rPr>
                        <w:rFonts w:ascii="Cambria Math" w:hAnsi="Cambria Math"/>
                        <w:bCs/>
                        <w:i/>
                        <w:sz w:val="22"/>
                        <w:szCs w:val="22"/>
                      </w:rPr>
                    </m:ctrlPr>
                  </m:sSubPr>
                  <m:e>
                    <m:r>
                      <w:rPr>
                        <w:rFonts w:ascii="Cambria Math" w:hAnsi="Cambria Math"/>
                        <w:sz w:val="22"/>
                        <w:szCs w:val="22"/>
                      </w:rPr>
                      <m:t>PROFMAR</m:t>
                    </m:r>
                  </m:e>
                  <m:sub>
                    <m:r>
                      <w:rPr>
                        <w:rFonts w:ascii="Cambria Math" w:hAnsi="Cambria Math"/>
                        <w:sz w:val="22"/>
                        <w:szCs w:val="22"/>
                      </w:rPr>
                      <m:t>it</m:t>
                    </m:r>
                  </m:sub>
                </m:sSub>
              </m:oMath>
            </m:oMathPara>
          </w:p>
          <w:p w:rsidR="004A6629" w:rsidRPr="008C019D" w:rsidRDefault="004A6629" w:rsidP="009615B3">
            <w:pPr>
              <w:rPr>
                <w:rFonts w:eastAsia="Calibri"/>
                <w:sz w:val="22"/>
                <w:szCs w:val="22"/>
              </w:rPr>
            </w:pPr>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-0.0014</w:t>
            </w:r>
          </w:p>
          <w:p w:rsidR="004A6629" w:rsidRPr="008C019D" w:rsidRDefault="004A6629" w:rsidP="009615B3">
            <w:pPr>
              <w:jc w:val="center"/>
              <w:rPr>
                <w:rFonts w:eastAsia="Calibri"/>
                <w:sz w:val="22"/>
                <w:szCs w:val="22"/>
              </w:rPr>
            </w:pPr>
            <w:r w:rsidRPr="008C019D">
              <w:rPr>
                <w:rFonts w:eastAsia="Calibri"/>
                <w:sz w:val="22"/>
                <w:szCs w:val="22"/>
              </w:rPr>
              <w:t>(0.0088)</w:t>
            </w:r>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-0.0014</w:t>
            </w:r>
          </w:p>
          <w:p w:rsidR="004A6629" w:rsidRPr="008C019D" w:rsidRDefault="004A6629" w:rsidP="009615B3">
            <w:pPr>
              <w:jc w:val="center"/>
              <w:rPr>
                <w:rFonts w:eastAsia="Calibri"/>
                <w:sz w:val="22"/>
                <w:szCs w:val="22"/>
              </w:rPr>
            </w:pPr>
            <w:r w:rsidRPr="008C019D">
              <w:rPr>
                <w:rFonts w:eastAsia="Calibri"/>
                <w:sz w:val="22"/>
                <w:szCs w:val="22"/>
              </w:rPr>
              <w:t>(0.0089)</w:t>
            </w:r>
          </w:p>
        </w:tc>
      </w:tr>
      <w:tr w:rsidR="004A6629" w:rsidRPr="004011BF" w:rsidTr="001832F1">
        <w:trPr>
          <w:trHeight w:val="170"/>
        </w:trPr>
        <w:tc>
          <w:tcPr>
            <w:tcW w:w="1852" w:type="pct"/>
            <w:tcBorders>
              <w:top w:val="single" w:sz="4" w:space="0" w:color="auto"/>
              <w:left w:val="single" w:sz="4" w:space="0" w:color="auto"/>
              <w:bottom w:val="single" w:sz="4" w:space="0" w:color="auto"/>
            </w:tcBorders>
            <w:shd w:val="clear" w:color="000000" w:fill="FFFFFF"/>
            <w:noWrap/>
            <w:vAlign w:val="center"/>
          </w:tcPr>
          <w:p w:rsidR="004A6629" w:rsidRPr="008C019D" w:rsidRDefault="004D40BA" w:rsidP="009615B3">
            <w:pPr>
              <w:jc w:val="center"/>
              <w:rPr>
                <w:rFonts w:eastAsia="Calibri"/>
                <w:bCs/>
                <w:sz w:val="22"/>
                <w:szCs w:val="22"/>
              </w:rPr>
            </w:pPr>
            <m:oMathPara>
              <m:oMath>
                <m:sSub>
                  <m:sSubPr>
                    <m:ctrlPr>
                      <w:rPr>
                        <w:rFonts w:ascii="Cambria Math" w:hAnsi="Cambria Math"/>
                        <w:bCs/>
                        <w:i/>
                        <w:sz w:val="22"/>
                        <w:szCs w:val="22"/>
                      </w:rPr>
                    </m:ctrlPr>
                  </m:sSubPr>
                  <m:e>
                    <m:r>
                      <w:rPr>
                        <w:rFonts w:ascii="Cambria Math" w:hAnsi="Cambria Math"/>
                        <w:sz w:val="22"/>
                        <w:szCs w:val="22"/>
                      </w:rPr>
                      <m:t>ROE</m:t>
                    </m:r>
                  </m:e>
                  <m:sub>
                    <m:r>
                      <w:rPr>
                        <w:rFonts w:ascii="Cambria Math" w:hAnsi="Cambria Math"/>
                        <w:sz w:val="22"/>
                        <w:szCs w:val="22"/>
                      </w:rPr>
                      <m:t>it</m:t>
                    </m:r>
                  </m:sub>
                </m:sSub>
              </m:oMath>
            </m:oMathPara>
          </w:p>
          <w:p w:rsidR="004A6629" w:rsidRPr="008C019D" w:rsidRDefault="004A6629" w:rsidP="009615B3">
            <w:pPr>
              <w:rPr>
                <w:rFonts w:eastAsia="Calibri"/>
                <w:sz w:val="22"/>
                <w:szCs w:val="22"/>
              </w:rPr>
            </w:pPr>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0.0003</w:t>
            </w:r>
          </w:p>
          <w:p w:rsidR="004A6629" w:rsidRPr="008C019D" w:rsidRDefault="004A6629" w:rsidP="009615B3">
            <w:pPr>
              <w:jc w:val="center"/>
              <w:rPr>
                <w:rFonts w:eastAsia="Calibri"/>
                <w:sz w:val="22"/>
                <w:szCs w:val="22"/>
              </w:rPr>
            </w:pPr>
            <w:r w:rsidRPr="008C019D">
              <w:rPr>
                <w:rFonts w:eastAsia="Calibri"/>
                <w:sz w:val="22"/>
                <w:szCs w:val="22"/>
              </w:rPr>
              <w:t>(0.0025)</w:t>
            </w:r>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0.0003</w:t>
            </w:r>
          </w:p>
          <w:p w:rsidR="004A6629" w:rsidRPr="008C019D" w:rsidRDefault="004A6629" w:rsidP="009615B3">
            <w:pPr>
              <w:jc w:val="center"/>
              <w:rPr>
                <w:rFonts w:eastAsia="Calibri"/>
                <w:sz w:val="22"/>
                <w:szCs w:val="22"/>
              </w:rPr>
            </w:pPr>
            <w:r w:rsidRPr="008C019D">
              <w:rPr>
                <w:rFonts w:eastAsia="Calibri"/>
                <w:sz w:val="22"/>
                <w:szCs w:val="22"/>
              </w:rPr>
              <w:t>(0.0026)</w:t>
            </w:r>
          </w:p>
        </w:tc>
      </w:tr>
      <w:tr w:rsidR="004A6629" w:rsidRPr="004011BF" w:rsidTr="001832F1">
        <w:trPr>
          <w:trHeight w:val="170"/>
        </w:trPr>
        <w:tc>
          <w:tcPr>
            <w:tcW w:w="1852" w:type="pct"/>
            <w:tcBorders>
              <w:top w:val="single" w:sz="4" w:space="0" w:color="auto"/>
              <w:left w:val="single" w:sz="4" w:space="0" w:color="auto"/>
              <w:bottom w:val="single" w:sz="4" w:space="0" w:color="auto"/>
            </w:tcBorders>
            <w:shd w:val="clear" w:color="000000" w:fill="FFFFFF"/>
            <w:noWrap/>
            <w:vAlign w:val="center"/>
          </w:tcPr>
          <w:p w:rsidR="004A6629" w:rsidRPr="008C019D" w:rsidRDefault="004D40BA" w:rsidP="009615B3">
            <w:pPr>
              <w:contextualSpacing/>
              <w:jc w:val="center"/>
              <w:rPr>
                <w:rFonts w:eastAsia="Calibri"/>
                <w:bCs/>
                <w:i/>
                <w:sz w:val="22"/>
                <w:szCs w:val="22"/>
              </w:rPr>
            </w:pPr>
            <m:oMathPara>
              <m:oMath>
                <m:sSub>
                  <m:sSubPr>
                    <m:ctrlPr>
                      <w:rPr>
                        <w:rFonts w:ascii="Cambria Math" w:hAnsi="Cambria Math"/>
                        <w:bCs/>
                        <w:i/>
                        <w:sz w:val="22"/>
                        <w:szCs w:val="22"/>
                      </w:rPr>
                    </m:ctrlPr>
                  </m:sSubPr>
                  <m:e>
                    <m:r>
                      <w:rPr>
                        <w:rFonts w:ascii="Cambria Math" w:hAnsi="Cambria Math"/>
                        <w:sz w:val="22"/>
                        <w:szCs w:val="22"/>
                      </w:rPr>
                      <m:t>NBTRAD</m:t>
                    </m:r>
                  </m:e>
                  <m:sub>
                    <m:r>
                      <w:rPr>
                        <w:rFonts w:ascii="Cambria Math" w:hAnsi="Cambria Math"/>
                        <w:sz w:val="22"/>
                        <w:szCs w:val="22"/>
                      </w:rPr>
                      <m:t>it</m:t>
                    </m:r>
                  </m:sub>
                </m:sSub>
              </m:oMath>
            </m:oMathPara>
          </w:p>
          <w:p w:rsidR="004A6629" w:rsidRPr="008C019D" w:rsidRDefault="004A6629" w:rsidP="009615B3">
            <w:pPr>
              <w:rPr>
                <w:rFonts w:eastAsia="Calibri"/>
                <w:sz w:val="22"/>
                <w:szCs w:val="22"/>
              </w:rPr>
            </w:pPr>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0.1753</w:t>
            </w:r>
          </w:p>
          <w:p w:rsidR="004A6629" w:rsidRPr="008C019D" w:rsidRDefault="004A6629" w:rsidP="009615B3">
            <w:pPr>
              <w:jc w:val="center"/>
              <w:rPr>
                <w:rFonts w:eastAsia="Calibri"/>
                <w:sz w:val="22"/>
                <w:szCs w:val="22"/>
              </w:rPr>
            </w:pPr>
            <w:r w:rsidRPr="008C019D">
              <w:rPr>
                <w:rFonts w:eastAsia="Calibri"/>
                <w:sz w:val="22"/>
                <w:szCs w:val="22"/>
              </w:rPr>
              <w:t>(3.3606)</w:t>
            </w:r>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0.1753</w:t>
            </w:r>
          </w:p>
          <w:p w:rsidR="004A6629" w:rsidRPr="008C019D" w:rsidRDefault="004A6629" w:rsidP="009615B3">
            <w:pPr>
              <w:jc w:val="center"/>
              <w:rPr>
                <w:rFonts w:eastAsia="Calibri"/>
                <w:sz w:val="22"/>
                <w:szCs w:val="22"/>
              </w:rPr>
            </w:pPr>
            <w:r w:rsidRPr="008C019D">
              <w:rPr>
                <w:rFonts w:eastAsia="Calibri"/>
                <w:sz w:val="22"/>
                <w:szCs w:val="22"/>
              </w:rPr>
              <w:t>(3.6612)</w:t>
            </w:r>
          </w:p>
        </w:tc>
      </w:tr>
      <w:tr w:rsidR="004A6629" w:rsidRPr="004011BF" w:rsidTr="001832F1">
        <w:trPr>
          <w:trHeight w:val="170"/>
        </w:trPr>
        <w:tc>
          <w:tcPr>
            <w:tcW w:w="1852" w:type="pct"/>
            <w:tcBorders>
              <w:top w:val="single" w:sz="4" w:space="0" w:color="auto"/>
              <w:left w:val="single" w:sz="4" w:space="0" w:color="auto"/>
              <w:bottom w:val="single" w:sz="4" w:space="0" w:color="auto"/>
            </w:tcBorders>
            <w:shd w:val="clear" w:color="000000" w:fill="FFFFFF"/>
            <w:noWrap/>
          </w:tcPr>
          <w:p w:rsidR="004A6629" w:rsidRPr="003540AF" w:rsidRDefault="004A6629" w:rsidP="009615B3">
            <w:pPr>
              <w:jc w:val="center"/>
              <w:rPr>
                <w:rFonts w:eastAsia="Calibri"/>
                <w:sz w:val="22"/>
                <w:szCs w:val="22"/>
              </w:rPr>
            </w:pPr>
            <m:oMath>
              <m:r>
                <w:rPr>
                  <w:rFonts w:ascii="Cambria Math" w:hAnsi="Cambria Math"/>
                  <w:sz w:val="22"/>
                  <w:szCs w:val="22"/>
                </w:rPr>
                <m:t>μ</m:t>
              </m:r>
            </m:oMath>
            <w:r w:rsidRPr="008C019D">
              <w:rPr>
                <w:rFonts w:eastAsia="Calibri"/>
                <w:sz w:val="22"/>
                <w:szCs w:val="22"/>
              </w:rPr>
              <w:t xml:space="preserve"> </w:t>
            </w:r>
            <w:r w:rsidRPr="008C019D">
              <w:rPr>
                <w:rFonts w:eastAsia="Calibri"/>
                <w:i/>
                <w:sz w:val="22"/>
                <w:szCs w:val="22"/>
              </w:rPr>
              <w:t>(cons)</w:t>
            </w:r>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-87.0431***</w:t>
            </w:r>
          </w:p>
          <w:p w:rsidR="004A6629" w:rsidRPr="008C019D" w:rsidRDefault="004A6629" w:rsidP="009615B3">
            <w:pPr>
              <w:jc w:val="center"/>
              <w:rPr>
                <w:rFonts w:eastAsia="Calibri"/>
                <w:sz w:val="22"/>
                <w:szCs w:val="22"/>
              </w:rPr>
            </w:pPr>
            <w:r w:rsidRPr="008C019D">
              <w:rPr>
                <w:rFonts w:eastAsia="Calibri"/>
                <w:sz w:val="22"/>
                <w:szCs w:val="22"/>
              </w:rPr>
              <w:t>(29.1877)</w:t>
            </w:r>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-87.0431**</w:t>
            </w:r>
          </w:p>
          <w:p w:rsidR="004A6629" w:rsidRPr="008C019D" w:rsidRDefault="004A6629" w:rsidP="009615B3">
            <w:pPr>
              <w:jc w:val="center"/>
              <w:rPr>
                <w:rFonts w:eastAsia="Calibri"/>
                <w:sz w:val="22"/>
                <w:szCs w:val="22"/>
              </w:rPr>
            </w:pPr>
            <w:r w:rsidRPr="008C019D">
              <w:rPr>
                <w:rFonts w:eastAsia="Calibri"/>
                <w:sz w:val="22"/>
                <w:szCs w:val="22"/>
              </w:rPr>
              <w:t>(36.0023)</w:t>
            </w:r>
          </w:p>
        </w:tc>
      </w:tr>
      <w:tr w:rsidR="004A6629" w:rsidRPr="004011BF" w:rsidTr="001832F1">
        <w:trPr>
          <w:trHeight w:val="170"/>
        </w:trPr>
        <w:tc>
          <w:tcPr>
            <w:tcW w:w="1852" w:type="pct"/>
            <w:tcBorders>
              <w:top w:val="single" w:sz="4" w:space="0" w:color="auto"/>
              <w:left w:val="single" w:sz="4" w:space="0" w:color="auto"/>
              <w:bottom w:val="single" w:sz="4" w:space="0" w:color="auto"/>
            </w:tcBorders>
            <w:shd w:val="clear" w:color="000000" w:fill="FFFFFF"/>
            <w:noWrap/>
            <w:vAlign w:val="center"/>
          </w:tcPr>
          <w:p w:rsidR="004A6629" w:rsidRPr="008C019D" w:rsidRDefault="004A6629" w:rsidP="009615B3">
            <w:pPr>
              <w:contextualSpacing/>
              <w:jc w:val="center"/>
              <w:rPr>
                <w:rFonts w:ascii="Calibri" w:eastAsia="Calibri" w:hAnsi="Calibri"/>
                <w:bCs/>
                <w:sz w:val="22"/>
                <w:szCs w:val="22"/>
              </w:rPr>
            </w:pPr>
            <m:oMathPara>
              <m:oMath>
                <m:r>
                  <w:rPr>
                    <w:rFonts w:ascii="Cambria Math" w:hAnsi="Cambria Math"/>
                    <w:sz w:val="22"/>
                    <w:szCs w:val="22"/>
                  </w:rPr>
                  <m:t>N</m:t>
                </m:r>
              </m:oMath>
            </m:oMathPara>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19,936</w:t>
            </w:r>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19,936</w:t>
            </w:r>
          </w:p>
        </w:tc>
      </w:tr>
      <w:tr w:rsidR="004A6629" w:rsidRPr="004011BF" w:rsidTr="001832F1">
        <w:trPr>
          <w:trHeight w:val="170"/>
        </w:trPr>
        <w:tc>
          <w:tcPr>
            <w:tcW w:w="1852" w:type="pct"/>
            <w:tcBorders>
              <w:top w:val="single" w:sz="4" w:space="0" w:color="auto"/>
              <w:left w:val="single" w:sz="4" w:space="0" w:color="auto"/>
              <w:bottom w:val="single" w:sz="4" w:space="0" w:color="auto"/>
            </w:tcBorders>
            <w:shd w:val="clear" w:color="000000" w:fill="FFFFFF"/>
            <w:noWrap/>
            <w:vAlign w:val="center"/>
          </w:tcPr>
          <w:p w:rsidR="004A6629" w:rsidRPr="008C019D" w:rsidRDefault="004A6629" w:rsidP="009615B3">
            <w:pPr>
              <w:contextualSpacing/>
              <w:jc w:val="center"/>
              <w:rPr>
                <w:rFonts w:eastAsia="Calibri"/>
                <w:sz w:val="22"/>
                <w:szCs w:val="22"/>
              </w:rPr>
            </w:pPr>
            <w:proofErr w:type="spellStart"/>
            <w:r w:rsidRPr="008C019D">
              <w:rPr>
                <w:rFonts w:eastAsia="Calibri"/>
                <w:sz w:val="22"/>
                <w:szCs w:val="22"/>
              </w:rPr>
              <w:t>Sargan</w:t>
            </w:r>
            <w:proofErr w:type="spellEnd"/>
            <w:r w:rsidRPr="008C019D">
              <w:rPr>
                <w:rFonts w:eastAsia="Calibri"/>
                <w:sz w:val="22"/>
                <w:szCs w:val="22"/>
              </w:rPr>
              <w:t xml:space="preserve"> test</w:t>
            </w:r>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0.0760</w:t>
            </w:r>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w:t>
            </w:r>
          </w:p>
        </w:tc>
      </w:tr>
      <w:tr w:rsidR="004A6629" w:rsidRPr="004011BF" w:rsidTr="001832F1">
        <w:trPr>
          <w:trHeight w:val="170"/>
        </w:trPr>
        <w:tc>
          <w:tcPr>
            <w:tcW w:w="1852" w:type="pct"/>
            <w:tcBorders>
              <w:top w:val="single" w:sz="4" w:space="0" w:color="auto"/>
              <w:left w:val="single" w:sz="4" w:space="0" w:color="auto"/>
              <w:bottom w:val="single" w:sz="4" w:space="0" w:color="auto"/>
            </w:tcBorders>
            <w:shd w:val="clear" w:color="000000" w:fill="FFFFFF"/>
            <w:noWrap/>
            <w:vAlign w:val="center"/>
          </w:tcPr>
          <w:p w:rsidR="004A6629" w:rsidRPr="008C019D" w:rsidRDefault="004A6629" w:rsidP="009615B3">
            <w:pPr>
              <w:contextualSpacing/>
              <w:jc w:val="center"/>
              <w:rPr>
                <w:rFonts w:eastAsia="Calibri"/>
                <w:sz w:val="22"/>
                <w:szCs w:val="22"/>
              </w:rPr>
            </w:pPr>
            <w:r w:rsidRPr="008C019D">
              <w:rPr>
                <w:rFonts w:eastAsia="Calibri"/>
                <w:sz w:val="22"/>
                <w:szCs w:val="22"/>
              </w:rPr>
              <w:t>AR(1) test</w:t>
            </w:r>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m:oMathPara>
              <m:oMath>
                <m:r>
                  <w:rPr>
                    <w:rFonts w:ascii="Cambria Math" w:hAnsi="Cambria Math"/>
                    <w:sz w:val="22"/>
                    <w:szCs w:val="22"/>
                  </w:rPr>
                  <m:t>≤0.001</m:t>
                </m:r>
              </m:oMath>
            </m:oMathPara>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sz w:val="22"/>
                <w:szCs w:val="22"/>
              </w:rPr>
            </w:pPr>
            <m:oMathPara>
              <m:oMath>
                <m:r>
                  <w:rPr>
                    <w:rFonts w:ascii="Cambria Math" w:hAnsi="Cambria Math"/>
                    <w:sz w:val="22"/>
                    <w:szCs w:val="22"/>
                  </w:rPr>
                  <m:t>≤0.001</m:t>
                </m:r>
              </m:oMath>
            </m:oMathPara>
          </w:p>
        </w:tc>
      </w:tr>
      <w:tr w:rsidR="004A6629" w:rsidRPr="004011BF" w:rsidTr="001832F1">
        <w:trPr>
          <w:trHeight w:val="170"/>
        </w:trPr>
        <w:tc>
          <w:tcPr>
            <w:tcW w:w="1852" w:type="pct"/>
            <w:tcBorders>
              <w:top w:val="single" w:sz="4" w:space="0" w:color="auto"/>
              <w:left w:val="single" w:sz="4" w:space="0" w:color="auto"/>
              <w:bottom w:val="single" w:sz="4" w:space="0" w:color="auto"/>
            </w:tcBorders>
            <w:shd w:val="clear" w:color="000000" w:fill="FFFFFF"/>
            <w:noWrap/>
            <w:vAlign w:val="center"/>
          </w:tcPr>
          <w:p w:rsidR="004A6629" w:rsidRPr="008C019D" w:rsidRDefault="004A6629" w:rsidP="009615B3">
            <w:pPr>
              <w:contextualSpacing/>
              <w:jc w:val="center"/>
              <w:rPr>
                <w:rFonts w:eastAsia="Calibri"/>
                <w:bCs/>
                <w:sz w:val="22"/>
                <w:szCs w:val="22"/>
              </w:rPr>
            </w:pPr>
            <w:r w:rsidRPr="008C019D">
              <w:rPr>
                <w:rFonts w:eastAsia="Calibri"/>
                <w:bCs/>
                <w:sz w:val="22"/>
                <w:szCs w:val="22"/>
              </w:rPr>
              <w:t>AR(2) test</w:t>
            </w:r>
          </w:p>
        </w:tc>
        <w:tc>
          <w:tcPr>
            <w:tcW w:w="1566" w:type="pct"/>
            <w:tcBorders>
              <w:top w:val="single" w:sz="4" w:space="0" w:color="auto"/>
              <w:bottom w:val="single" w:sz="4" w:space="0" w:color="auto"/>
              <w:right w:val="nil"/>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0.6433</w:t>
            </w:r>
          </w:p>
        </w:tc>
        <w:tc>
          <w:tcPr>
            <w:tcW w:w="1581" w:type="pct"/>
            <w:tcBorders>
              <w:top w:val="single" w:sz="4" w:space="0" w:color="auto"/>
              <w:left w:val="nil"/>
              <w:bottom w:val="single" w:sz="4" w:space="0" w:color="auto"/>
              <w:right w:val="single" w:sz="4" w:space="0" w:color="auto"/>
            </w:tcBorders>
            <w:shd w:val="clear" w:color="000000" w:fill="FFFFFF"/>
          </w:tcPr>
          <w:p w:rsidR="004A6629" w:rsidRPr="008C019D" w:rsidRDefault="004A6629" w:rsidP="009615B3">
            <w:pPr>
              <w:jc w:val="center"/>
              <w:rPr>
                <w:rFonts w:eastAsia="Calibri"/>
                <w:sz w:val="22"/>
                <w:szCs w:val="22"/>
              </w:rPr>
            </w:pPr>
            <w:r w:rsidRPr="008C019D">
              <w:rPr>
                <w:rFonts w:eastAsia="Calibri"/>
                <w:sz w:val="22"/>
                <w:szCs w:val="22"/>
              </w:rPr>
              <w:t>0.6465</w:t>
            </w:r>
          </w:p>
        </w:tc>
      </w:tr>
    </w:tbl>
    <w:p w:rsidR="004A6629" w:rsidRDefault="004A6629" w:rsidP="004A6629">
      <w:pPr>
        <w:contextualSpacing/>
        <w:jc w:val="both"/>
        <w:rPr>
          <w:rFonts w:eastAsia="Calibri"/>
          <w:sz w:val="16"/>
          <w:szCs w:val="16"/>
        </w:rPr>
      </w:pPr>
      <w:r>
        <w:rPr>
          <w:rFonts w:eastAsia="Calibri"/>
          <w:sz w:val="16"/>
          <w:szCs w:val="16"/>
        </w:rPr>
        <w:t xml:space="preserve">Note: 2st – </w:t>
      </w:r>
      <w:r w:rsidRPr="005D6B80">
        <w:rPr>
          <w:rFonts w:eastAsia="Calibri"/>
          <w:sz w:val="16"/>
          <w:szCs w:val="16"/>
        </w:rPr>
        <w:t>2 steps estimator</w:t>
      </w:r>
      <w:r>
        <w:rPr>
          <w:rFonts w:eastAsia="Calibri"/>
          <w:sz w:val="16"/>
          <w:szCs w:val="16"/>
        </w:rPr>
        <w:t xml:space="preserve">, </w:t>
      </w:r>
      <w:proofErr w:type="spellStart"/>
      <w:proofErr w:type="gramStart"/>
      <w:r>
        <w:rPr>
          <w:rFonts w:eastAsia="Calibri"/>
          <w:sz w:val="16"/>
          <w:szCs w:val="16"/>
        </w:rPr>
        <w:t>rb</w:t>
      </w:r>
      <w:proofErr w:type="spellEnd"/>
      <w:proofErr w:type="gramEnd"/>
      <w:r>
        <w:rPr>
          <w:rFonts w:eastAsia="Calibri"/>
          <w:sz w:val="16"/>
          <w:szCs w:val="16"/>
        </w:rPr>
        <w:t xml:space="preserve"> – </w:t>
      </w:r>
      <w:r w:rsidRPr="005D6B80">
        <w:rPr>
          <w:rFonts w:eastAsia="Calibri"/>
          <w:sz w:val="16"/>
          <w:szCs w:val="16"/>
        </w:rPr>
        <w:t>robust option</w:t>
      </w:r>
    </w:p>
    <w:p w:rsidR="004A6629" w:rsidRDefault="004A6629" w:rsidP="004A6629">
      <w:pPr>
        <w:contextualSpacing/>
        <w:jc w:val="both"/>
        <w:rPr>
          <w:rFonts w:eastAsia="Calibri"/>
          <w:sz w:val="16"/>
          <w:szCs w:val="16"/>
        </w:rPr>
      </w:pPr>
      <w:r>
        <w:rPr>
          <w:rFonts w:eastAsia="Calibri"/>
          <w:sz w:val="16"/>
          <w:szCs w:val="16"/>
        </w:rPr>
        <w:t xml:space="preserve">Standard </w:t>
      </w:r>
      <w:r w:rsidR="00342D4B">
        <w:rPr>
          <w:rFonts w:eastAsia="Calibri"/>
          <w:sz w:val="16"/>
          <w:szCs w:val="16"/>
        </w:rPr>
        <w:t>errors</w:t>
      </w:r>
      <w:r>
        <w:rPr>
          <w:rFonts w:eastAsia="Calibri"/>
          <w:sz w:val="16"/>
          <w:szCs w:val="16"/>
        </w:rPr>
        <w:t xml:space="preserve"> in parentheses</w:t>
      </w:r>
    </w:p>
    <w:p w:rsidR="004A6629" w:rsidRPr="0058195F" w:rsidRDefault="004A6629" w:rsidP="004A6629">
      <w:pPr>
        <w:contextualSpacing/>
        <w:jc w:val="both"/>
        <w:rPr>
          <w:rFonts w:eastAsia="Calibri"/>
          <w:sz w:val="16"/>
          <w:szCs w:val="16"/>
        </w:rPr>
      </w:pPr>
      <m:oMath>
        <m:r>
          <w:rPr>
            <w:rFonts w:ascii="Cambria Math" w:hAnsi="Cambria Math"/>
            <w:sz w:val="16"/>
            <w:szCs w:val="16"/>
          </w:rPr>
          <m:t>*p&lt;0.10</m:t>
        </m:r>
      </m:oMath>
      <w:r>
        <w:rPr>
          <w:rFonts w:eastAsia="Calibri"/>
          <w:sz w:val="16"/>
          <w:szCs w:val="16"/>
        </w:rPr>
        <w:t xml:space="preserve"> ,  </w:t>
      </w:r>
      <m:oMath>
        <m:r>
          <w:rPr>
            <w:rFonts w:ascii="Cambria Math" w:hAnsi="Cambria Math"/>
            <w:sz w:val="16"/>
            <w:szCs w:val="16"/>
          </w:rPr>
          <m:t>**p&lt;0.05</m:t>
        </m:r>
      </m:oMath>
      <w:r>
        <w:rPr>
          <w:rFonts w:eastAsia="Calibri"/>
          <w:sz w:val="16"/>
          <w:szCs w:val="16"/>
        </w:rPr>
        <w:t xml:space="preserve">  , </w:t>
      </w:r>
      <m:oMath>
        <m:r>
          <w:rPr>
            <w:rFonts w:ascii="Cambria Math" w:hAnsi="Cambria Math"/>
            <w:sz w:val="16"/>
            <w:szCs w:val="16"/>
          </w:rPr>
          <m:t>***p&lt;0.01</m:t>
        </m:r>
      </m:oMath>
    </w:p>
    <w:p w:rsidR="004A6629" w:rsidRPr="009266C4" w:rsidRDefault="004A6629" w:rsidP="004A6629">
      <w:pPr>
        <w:contextualSpacing/>
        <w:rPr>
          <w:bCs/>
          <w:i/>
          <w:sz w:val="16"/>
          <w:szCs w:val="16"/>
          <w:highlight w:val="yellow"/>
        </w:rPr>
      </w:pPr>
      <w:r w:rsidRPr="008E7B26">
        <w:rPr>
          <w:i/>
          <w:sz w:val="16"/>
          <w:szCs w:val="16"/>
        </w:rPr>
        <w:t xml:space="preserve">Source: </w:t>
      </w:r>
      <w:r w:rsidR="00342D4B">
        <w:rPr>
          <w:i/>
          <w:sz w:val="16"/>
          <w:szCs w:val="16"/>
        </w:rPr>
        <w:t>Estimat</w:t>
      </w:r>
      <w:r w:rsidR="00342D4B" w:rsidRPr="008E7B26">
        <w:rPr>
          <w:i/>
          <w:sz w:val="16"/>
          <w:szCs w:val="16"/>
        </w:rPr>
        <w:t>ed</w:t>
      </w:r>
      <w:r w:rsidRPr="008E7B26">
        <w:rPr>
          <w:i/>
          <w:sz w:val="16"/>
          <w:szCs w:val="16"/>
        </w:rPr>
        <w:t xml:space="preserve"> according to the Bureau Van </w:t>
      </w:r>
      <w:proofErr w:type="spellStart"/>
      <w:r w:rsidRPr="008E7B26">
        <w:rPr>
          <w:i/>
          <w:sz w:val="16"/>
          <w:szCs w:val="16"/>
        </w:rPr>
        <w:t>Dijk</w:t>
      </w:r>
      <w:proofErr w:type="spellEnd"/>
      <w:r w:rsidRPr="008E7B26">
        <w:rPr>
          <w:i/>
          <w:sz w:val="16"/>
          <w:szCs w:val="16"/>
        </w:rPr>
        <w:t xml:space="preserve"> Amadeus database (2015)</w:t>
      </w:r>
    </w:p>
    <w:p w:rsidR="004A6629" w:rsidRDefault="004A6629" w:rsidP="004A6629">
      <w:pPr>
        <w:rPr>
          <w:lang w:val="en-GB"/>
        </w:rPr>
      </w:pPr>
    </w:p>
    <w:p w:rsidR="004A6629" w:rsidRDefault="004A6629" w:rsidP="004A6629">
      <w:pPr>
        <w:pStyle w:val="BodyText"/>
        <w:ind w:left="770" w:hanging="784"/>
        <w:jc w:val="left"/>
        <w:rPr>
          <w:b w:val="0"/>
          <w:sz w:val="22"/>
          <w:szCs w:val="22"/>
        </w:rPr>
      </w:pPr>
      <w:proofErr w:type="gramStart"/>
      <w:r w:rsidRPr="00AA113E">
        <w:rPr>
          <w:b w:val="0"/>
          <w:sz w:val="22"/>
          <w:szCs w:val="22"/>
        </w:rPr>
        <w:t xml:space="preserve">Table </w:t>
      </w:r>
      <w:r>
        <w:rPr>
          <w:b w:val="0"/>
          <w:sz w:val="22"/>
          <w:szCs w:val="22"/>
        </w:rPr>
        <w:t>5</w:t>
      </w:r>
      <w:r w:rsidRPr="00AA113E">
        <w:rPr>
          <w:b w:val="0"/>
          <w:sz w:val="22"/>
          <w:szCs w:val="22"/>
        </w:rPr>
        <w:t xml:space="preserve">: </w:t>
      </w:r>
      <w:r w:rsidR="0006121A" w:rsidRPr="00EB6F70">
        <w:rPr>
          <w:b w:val="0"/>
          <w:sz w:val="22"/>
          <w:szCs w:val="22"/>
        </w:rPr>
        <w:t>Dy</w:t>
      </w:r>
      <w:r w:rsidRPr="00EB6F70">
        <w:rPr>
          <w:b w:val="0"/>
          <w:sz w:val="22"/>
          <w:szCs w:val="22"/>
        </w:rPr>
        <w:t>namic p</w:t>
      </w:r>
      <w:r w:rsidRPr="001F4FAB">
        <w:rPr>
          <w:b w:val="0"/>
          <w:sz w:val="22"/>
          <w:szCs w:val="22"/>
        </w:rPr>
        <w:t>anel</w:t>
      </w:r>
      <w:r w:rsidR="00EB6F70">
        <w:rPr>
          <w:b w:val="0"/>
          <w:sz w:val="22"/>
          <w:szCs w:val="22"/>
        </w:rPr>
        <w:t xml:space="preserve"> data </w:t>
      </w:r>
      <w:r w:rsidRPr="001F4FAB">
        <w:rPr>
          <w:b w:val="0"/>
          <w:sz w:val="22"/>
          <w:szCs w:val="22"/>
        </w:rPr>
        <w:t>models - average cost of employee is dependent variable</w:t>
      </w:r>
      <w:r w:rsidRPr="00AA113E">
        <w:rPr>
          <w:b w:val="0"/>
          <w:sz w:val="22"/>
          <w:szCs w:val="22"/>
        </w:rPr>
        <w:t>.</w:t>
      </w:r>
      <w:proofErr w:type="gramEnd"/>
    </w:p>
    <w:p w:rsidR="004A6629" w:rsidRDefault="004A6629" w:rsidP="001C3A5B">
      <w:pPr>
        <w:jc w:val="both"/>
        <w:rPr>
          <w:lang w:val="en-GB"/>
        </w:rPr>
      </w:pPr>
    </w:p>
    <w:p w:rsidR="004A6629" w:rsidRDefault="004A6629" w:rsidP="004A6629">
      <w:pPr>
        <w:contextualSpacing/>
        <w:jc w:val="both"/>
        <w:rPr>
          <w:noProof/>
          <w:lang w:eastAsia="hr-HR"/>
        </w:rPr>
      </w:pPr>
      <w:r>
        <w:rPr>
          <w:rFonts w:eastAsiaTheme="minorEastAsia"/>
          <w:bCs/>
        </w:rPr>
        <w:t>The estimated</w:t>
      </w:r>
      <w:r w:rsidRPr="00CD17FC">
        <w:rPr>
          <w:rFonts w:eastAsiaTheme="minorEastAsia"/>
          <w:bCs/>
        </w:rPr>
        <w:t xml:space="preserve"> parameters </w:t>
      </w:r>
      <w:r>
        <w:rPr>
          <w:rFonts w:eastAsiaTheme="minorEastAsia"/>
          <w:bCs/>
        </w:rPr>
        <w:t xml:space="preserve">of </w:t>
      </w:r>
      <w:r w:rsidRPr="00CD17FC">
        <w:rPr>
          <w:rFonts w:eastAsiaTheme="minorEastAsia"/>
          <w:bCs/>
        </w:rPr>
        <w:t>dynamic BB panel model wit</w:t>
      </w:r>
      <w:r>
        <w:rPr>
          <w:rFonts w:eastAsiaTheme="minorEastAsia"/>
          <w:bCs/>
        </w:rPr>
        <w:t>h and without the robust option</w:t>
      </w:r>
      <w:r w:rsidRPr="00CD17FC">
        <w:rPr>
          <w:rFonts w:eastAsiaTheme="minorEastAsia"/>
          <w:bCs/>
        </w:rPr>
        <w:t xml:space="preserve"> show an equal </w:t>
      </w:r>
      <w:r w:rsidRPr="00EB6F70">
        <w:rPr>
          <w:rFonts w:eastAsiaTheme="minorEastAsia"/>
          <w:bCs/>
        </w:rPr>
        <w:t xml:space="preserve">significance </w:t>
      </w:r>
      <w:r w:rsidRPr="00EB6F70">
        <w:rPr>
          <w:bCs/>
        </w:rPr>
        <w:t>(table 5)</w:t>
      </w:r>
      <w:r w:rsidRPr="00EB6F70">
        <w:rPr>
          <w:rFonts w:eastAsiaTheme="minorEastAsia"/>
          <w:bCs/>
        </w:rPr>
        <w:t>.</w:t>
      </w:r>
      <w:r w:rsidRPr="00CD17FC">
        <w:rPr>
          <w:rFonts w:eastAsiaTheme="minorEastAsia"/>
          <w:bCs/>
        </w:rPr>
        <w:t xml:space="preserve"> </w:t>
      </w:r>
      <w:r>
        <w:rPr>
          <w:rFonts w:eastAsiaTheme="minorEastAsia"/>
          <w:bCs/>
        </w:rPr>
        <w:t xml:space="preserve">The </w:t>
      </w:r>
      <w:r w:rsidRPr="00CD17FC">
        <w:rPr>
          <w:rFonts w:eastAsiaTheme="minorEastAsia"/>
          <w:bCs/>
        </w:rPr>
        <w:t xml:space="preserve">average cost of employee from the previous year and </w:t>
      </w:r>
      <w:r w:rsidR="00AA447F">
        <w:rPr>
          <w:rFonts w:eastAsiaTheme="minorEastAsia"/>
          <w:bCs/>
        </w:rPr>
        <w:t>company’s size</w:t>
      </w:r>
      <w:r>
        <w:rPr>
          <w:rFonts w:eastAsiaTheme="minorEastAsia"/>
          <w:bCs/>
        </w:rPr>
        <w:t xml:space="preserve"> influence </w:t>
      </w:r>
      <w:r w:rsidRPr="00CD17FC">
        <w:rPr>
          <w:rFonts w:eastAsiaTheme="minorEastAsia"/>
          <w:bCs/>
        </w:rPr>
        <w:t>significantly positive</w:t>
      </w:r>
      <w:r>
        <w:rPr>
          <w:rFonts w:eastAsiaTheme="minorEastAsia"/>
          <w:bCs/>
        </w:rPr>
        <w:t>ly on the</w:t>
      </w:r>
      <w:r w:rsidRPr="00CD17FC">
        <w:rPr>
          <w:rFonts w:eastAsiaTheme="minorEastAsia"/>
          <w:bCs/>
        </w:rPr>
        <w:t xml:space="preserve"> movement of the average cost of employee in EU companies. It </w:t>
      </w:r>
      <w:r w:rsidR="00D63E47" w:rsidRPr="00CD17FC">
        <w:rPr>
          <w:rFonts w:eastAsiaTheme="minorEastAsia"/>
          <w:bCs/>
        </w:rPr>
        <w:t>turns</w:t>
      </w:r>
      <w:r w:rsidRPr="00CD17FC">
        <w:rPr>
          <w:rFonts w:eastAsiaTheme="minorEastAsia"/>
          <w:bCs/>
        </w:rPr>
        <w:t xml:space="preserve"> out that </w:t>
      </w:r>
      <w:r>
        <w:rPr>
          <w:rFonts w:eastAsiaTheme="minorEastAsia"/>
          <w:bCs/>
        </w:rPr>
        <w:t>larger companies have</w:t>
      </w:r>
      <w:r w:rsidRPr="00CD17FC">
        <w:rPr>
          <w:rFonts w:eastAsiaTheme="minorEastAsia"/>
          <w:bCs/>
        </w:rPr>
        <w:t xml:space="preserve"> significantly greater </w:t>
      </w:r>
      <w:r w:rsidR="00D63E47">
        <w:rPr>
          <w:rFonts w:eastAsiaTheme="minorEastAsia"/>
          <w:bCs/>
        </w:rPr>
        <w:t>HC</w:t>
      </w:r>
      <w:r w:rsidRPr="00CD17FC">
        <w:rPr>
          <w:rFonts w:eastAsiaTheme="minorEastAsia"/>
          <w:bCs/>
        </w:rPr>
        <w:t xml:space="preserve"> investments. </w:t>
      </w:r>
      <w:r w:rsidRPr="001832F1">
        <w:rPr>
          <w:rFonts w:eastAsiaTheme="minorEastAsia"/>
          <w:bCs/>
        </w:rPr>
        <w:t xml:space="preserve">Profitability ratios, </w:t>
      </w:r>
      <w:r w:rsidR="00D63E47" w:rsidRPr="001832F1">
        <w:rPr>
          <w:rFonts w:eastAsiaTheme="minorEastAsia"/>
          <w:bCs/>
        </w:rPr>
        <w:t>listing status</w:t>
      </w:r>
      <w:r w:rsidRPr="001832F1">
        <w:rPr>
          <w:rFonts w:eastAsiaTheme="minorEastAsia"/>
          <w:bCs/>
        </w:rPr>
        <w:t xml:space="preserve"> and number of trademarks have shown no significant impact on the average cost of employee in enterprises in the EU.</w:t>
      </w:r>
      <w:r w:rsidR="001832F1" w:rsidRPr="001832F1">
        <w:t xml:space="preserve"> </w:t>
      </w:r>
      <w:r w:rsidR="001832F1" w:rsidRPr="001832F1">
        <w:rPr>
          <w:rFonts w:eastAsiaTheme="minorEastAsia"/>
          <w:bCs/>
        </w:rPr>
        <w:t>No significant relation between human capital investments and profitability ratio can be explained with economic imbalance as in nowadays turbulent environment, companies are mainly oriented on short-term profits rather than on long-term value creation. Significant relation between human capital investments and existence of company's trademarks was not confirmed due to characteristics of industry. Namely, in high-tech industry, companies capitalize human capital expenditures in the form of intellectual capital rather than in the form of trademarks. Also, no significant relation between the average cost of employee and listing status can be explained with the common praxis of manager compensations schemes in listing companies. These companies usually have different forms of compensations (e.g. stock options, retirement plans, insurance policies, etc.) for mid and top management which are not included in salary costs.</w:t>
      </w:r>
    </w:p>
    <w:p w:rsidR="004A6629" w:rsidRDefault="004A6629" w:rsidP="001832F1">
      <w:pPr>
        <w:spacing w:before="120"/>
        <w:jc w:val="both"/>
        <w:rPr>
          <w:rFonts w:eastAsia="Calibri"/>
          <w:lang w:val="en-GB"/>
        </w:rPr>
      </w:pPr>
      <w:r w:rsidRPr="00EB6F70">
        <w:t xml:space="preserve">Selecting the </w:t>
      </w:r>
      <w:r w:rsidR="00AC56C6" w:rsidRPr="00EB6F70">
        <w:t>non-adequate</w:t>
      </w:r>
      <w:r w:rsidRPr="00EB6F70">
        <w:t xml:space="preserve"> estimator can lead to dissimilar conclusions</w:t>
      </w:r>
      <w:r w:rsidR="00AF74BE">
        <w:t>,</w:t>
      </w:r>
      <w:r w:rsidRPr="00EB6F70">
        <w:t xml:space="preserve"> so very often authors use models estimations with more estimators </w:t>
      </w:r>
      <w:r w:rsidR="000051C0" w:rsidRPr="00EB6F70">
        <w:rPr>
          <w:lang w:val="en-GB" w:eastAsia="hr-HR"/>
        </w:rPr>
        <w:t>[1</w:t>
      </w:r>
      <w:r w:rsidR="00F35D31">
        <w:rPr>
          <w:lang w:val="en-GB" w:eastAsia="hr-HR"/>
        </w:rPr>
        <w:t>5</w:t>
      </w:r>
      <w:r w:rsidR="000051C0" w:rsidRPr="00EB6F70">
        <w:rPr>
          <w:lang w:val="en-GB" w:eastAsia="hr-HR"/>
        </w:rPr>
        <w:t>].</w:t>
      </w:r>
      <w:r w:rsidR="000051C0" w:rsidRPr="00EB6F70">
        <w:rPr>
          <w:rFonts w:eastAsiaTheme="minorEastAsia"/>
          <w:bCs/>
        </w:rPr>
        <w:t xml:space="preserve"> </w:t>
      </w:r>
      <w:r w:rsidRPr="00EB6F70">
        <w:t>Therefore,</w:t>
      </w:r>
      <w:r w:rsidRPr="00EB6F70">
        <w:rPr>
          <w:lang w:val="en-GB"/>
        </w:rPr>
        <w:t xml:space="preserve"> </w:t>
      </w:r>
      <w:r w:rsidRPr="00EB6F70">
        <w:rPr>
          <w:bCs/>
        </w:rPr>
        <w:t>additional panel models were estimated. The first differences</w:t>
      </w:r>
      <w:r w:rsidRPr="00420635">
        <w:rPr>
          <w:bCs/>
        </w:rPr>
        <w:t xml:space="preserve"> </w:t>
      </w:r>
      <w:r>
        <w:rPr>
          <w:bCs/>
        </w:rPr>
        <w:t>were</w:t>
      </w:r>
      <w:r w:rsidRPr="00420635">
        <w:rPr>
          <w:bCs/>
        </w:rPr>
        <w:t xml:space="preserve"> calculated</w:t>
      </w:r>
      <w:r>
        <w:rPr>
          <w:bCs/>
        </w:rPr>
        <w:t xml:space="preserve"> for </w:t>
      </w:r>
      <w:r w:rsidRPr="00420635">
        <w:rPr>
          <w:bCs/>
        </w:rPr>
        <w:t>the dependent var</w:t>
      </w:r>
      <w:r>
        <w:rPr>
          <w:bCs/>
        </w:rPr>
        <w:t xml:space="preserve">iable average cost of employee. </w:t>
      </w:r>
      <w:r w:rsidR="00AF74BE">
        <w:rPr>
          <w:bCs/>
        </w:rPr>
        <w:t xml:space="preserve">As it </w:t>
      </w:r>
      <w:r w:rsidRPr="00EB6F70">
        <w:rPr>
          <w:bCs/>
        </w:rPr>
        <w:t>was stationary</w:t>
      </w:r>
      <w:r w:rsidR="00AF74BE">
        <w:rPr>
          <w:bCs/>
        </w:rPr>
        <w:t>,</w:t>
      </w:r>
      <w:r w:rsidRPr="00EB6F70">
        <w:rPr>
          <w:bCs/>
        </w:rPr>
        <w:t xml:space="preserve"> the assumption of static panel model as a quality estimator was fulfilled. Random effects and fixed effects static panel models were estimated. According to relevant tests, the introduction of the random effect for each company was not justified and the </w:t>
      </w:r>
      <w:r w:rsidRPr="00EB6F70">
        <w:rPr>
          <w:rFonts w:eastAsia="Calibri"/>
        </w:rPr>
        <w:t xml:space="preserve">model with a fixed effect was not suitable </w:t>
      </w:r>
      <w:r w:rsidR="000051C0" w:rsidRPr="00EB6F70">
        <w:rPr>
          <w:lang w:val="en-GB" w:eastAsia="hr-HR"/>
        </w:rPr>
        <w:t>[3].</w:t>
      </w:r>
      <w:r w:rsidR="000051C0" w:rsidRPr="00EB6F70">
        <w:rPr>
          <w:rFonts w:eastAsiaTheme="minorEastAsia"/>
          <w:bCs/>
        </w:rPr>
        <w:t xml:space="preserve"> </w:t>
      </w:r>
      <w:r w:rsidRPr="00EB6F70">
        <w:rPr>
          <w:bCs/>
          <w:lang w:val="en-GB"/>
        </w:rPr>
        <w:t xml:space="preserve">Between effects static panel model was estimated too. The estimator of the </w:t>
      </w:r>
      <w:r w:rsidRPr="00EB6F70">
        <w:rPr>
          <w:rFonts w:eastAsia="Calibri"/>
        </w:rPr>
        <w:t xml:space="preserve">between effects static panel </w:t>
      </w:r>
      <w:r w:rsidRPr="00EB6F70">
        <w:rPr>
          <w:bCs/>
          <w:lang w:val="en-GB"/>
        </w:rPr>
        <w:t>model is unbiased and consistent, but it is not efficient. In this model, the influence of time component is lost due to the calculation of average values for each observation unit</w:t>
      </w:r>
      <w:r w:rsidR="00735D97">
        <w:rPr>
          <w:bCs/>
          <w:lang w:val="en-GB"/>
        </w:rPr>
        <w:t xml:space="preserve"> </w:t>
      </w:r>
      <w:r w:rsidR="00735D97" w:rsidRPr="00EB6F70">
        <w:rPr>
          <w:lang w:val="en-GB" w:eastAsia="hr-HR"/>
        </w:rPr>
        <w:t>[1</w:t>
      </w:r>
      <w:r w:rsidR="00735D97">
        <w:rPr>
          <w:lang w:val="en-GB" w:eastAsia="hr-HR"/>
        </w:rPr>
        <w:t>4</w:t>
      </w:r>
      <w:r w:rsidR="00735D97" w:rsidRPr="00EB6F70">
        <w:rPr>
          <w:lang w:val="en-GB" w:eastAsia="hr-HR"/>
        </w:rPr>
        <w:t>]</w:t>
      </w:r>
      <w:r w:rsidRPr="00EB6F70">
        <w:rPr>
          <w:bCs/>
          <w:lang w:val="en-GB"/>
        </w:rPr>
        <w:t xml:space="preserve">. </w:t>
      </w:r>
      <w:r w:rsidRPr="00EB6F70">
        <w:t>This indicates that in this situation multiple regression model estimate could be relevant, which is expectable in a case of stationary dependent variable and significant influence of the independent variables that are not dependent on the time.</w:t>
      </w:r>
      <w:r w:rsidRPr="00EB6F70">
        <w:rPr>
          <w:bCs/>
          <w:lang w:val="en-GB"/>
        </w:rPr>
        <w:t xml:space="preserve"> </w:t>
      </w:r>
      <w:r w:rsidRPr="00EB6F70">
        <w:t>Nevertheless, the conclusions have been confirmed</w:t>
      </w:r>
      <w:r w:rsidR="000F10B5">
        <w:t>.</w:t>
      </w:r>
      <w:r w:rsidRPr="00EB6F70">
        <w:rPr>
          <w:bCs/>
          <w:lang w:val="en-GB"/>
        </w:rPr>
        <w:t xml:space="preserve"> </w:t>
      </w:r>
      <w:r w:rsidR="000F10B5">
        <w:rPr>
          <w:rFonts w:eastAsia="Calibri"/>
          <w:lang w:val="en-GB"/>
        </w:rPr>
        <w:t>S</w:t>
      </w:r>
      <w:r w:rsidRPr="00EB6F70">
        <w:rPr>
          <w:rFonts w:eastAsia="Calibri"/>
          <w:lang w:val="en-GB"/>
        </w:rPr>
        <w:t xml:space="preserve">ignificance </w:t>
      </w:r>
      <w:r w:rsidRPr="00EB6F70">
        <w:rPr>
          <w:rFonts w:eastAsia="Calibri"/>
          <w:lang w:val="en-GB"/>
        </w:rPr>
        <w:lastRenderedPageBreak/>
        <w:t xml:space="preserve">of the independent variables and their direction </w:t>
      </w:r>
      <w:r w:rsidR="000F10B5">
        <w:rPr>
          <w:rFonts w:eastAsia="Calibri"/>
          <w:lang w:val="en-GB"/>
        </w:rPr>
        <w:t xml:space="preserve">of impact </w:t>
      </w:r>
      <w:r w:rsidRPr="0045535D">
        <w:rPr>
          <w:rFonts w:eastAsia="Calibri"/>
          <w:lang w:val="en-GB"/>
        </w:rPr>
        <w:t xml:space="preserve">on the dependent variable </w:t>
      </w:r>
      <w:r w:rsidR="000F10B5" w:rsidRPr="00EB6F70">
        <w:rPr>
          <w:bCs/>
          <w:lang w:val="en-GB"/>
        </w:rPr>
        <w:t>i</w:t>
      </w:r>
      <w:r w:rsidR="000F10B5" w:rsidRPr="00EB6F70">
        <w:rPr>
          <w:rFonts w:eastAsia="Calibri"/>
          <w:lang w:val="en-GB"/>
        </w:rPr>
        <w:t>n all estimated models</w:t>
      </w:r>
      <w:r w:rsidR="000F10B5" w:rsidRPr="0045535D">
        <w:rPr>
          <w:rFonts w:eastAsia="Calibri"/>
          <w:lang w:val="en-GB"/>
        </w:rPr>
        <w:t xml:space="preserve"> </w:t>
      </w:r>
      <w:r w:rsidRPr="0045535D">
        <w:rPr>
          <w:rFonts w:eastAsia="Calibri"/>
          <w:lang w:val="en-GB"/>
        </w:rPr>
        <w:t>are similar and point to the same conclusions</w:t>
      </w:r>
      <w:r>
        <w:rPr>
          <w:rFonts w:eastAsia="Calibri"/>
          <w:lang w:val="en-GB"/>
        </w:rPr>
        <w:t>.</w:t>
      </w:r>
    </w:p>
    <w:p w:rsidR="004A6629" w:rsidRDefault="004A6629" w:rsidP="004A6629">
      <w:pPr>
        <w:tabs>
          <w:tab w:val="left" w:pos="9000"/>
        </w:tabs>
        <w:spacing w:before="120"/>
        <w:ind w:right="68"/>
        <w:jc w:val="both"/>
        <w:rPr>
          <w:rFonts w:eastAsia="Calibri"/>
          <w:lang w:val="en-GB"/>
        </w:rPr>
      </w:pPr>
      <w:r w:rsidRPr="0045535D">
        <w:rPr>
          <w:rFonts w:eastAsia="Calibri"/>
          <w:lang w:val="en-GB"/>
        </w:rPr>
        <w:t xml:space="preserve">After </w:t>
      </w:r>
      <w:r>
        <w:rPr>
          <w:rFonts w:eastAsia="Calibri"/>
          <w:lang w:val="en-GB"/>
        </w:rPr>
        <w:t xml:space="preserve">the </w:t>
      </w:r>
      <w:r w:rsidRPr="0045535D">
        <w:rPr>
          <w:rFonts w:eastAsia="Calibri"/>
          <w:lang w:val="en-GB"/>
        </w:rPr>
        <w:t xml:space="preserve">implementation of the relevant tests, </w:t>
      </w:r>
      <w:r>
        <w:rPr>
          <w:rFonts w:eastAsia="Calibri"/>
          <w:lang w:val="en-GB"/>
        </w:rPr>
        <w:t xml:space="preserve">the </w:t>
      </w:r>
      <w:r w:rsidRPr="0045535D">
        <w:rPr>
          <w:rFonts w:eastAsia="Calibri"/>
          <w:lang w:val="en-GB"/>
        </w:rPr>
        <w:t xml:space="preserve">model </w:t>
      </w:r>
      <w:r>
        <w:rPr>
          <w:rFonts w:eastAsia="Calibri"/>
          <w:lang w:val="en-GB"/>
        </w:rPr>
        <w:t xml:space="preserve">that </w:t>
      </w:r>
      <w:r w:rsidR="005324E2">
        <w:rPr>
          <w:rFonts w:eastAsia="Calibri"/>
          <w:lang w:val="en-GB"/>
        </w:rPr>
        <w:t>leads to</w:t>
      </w:r>
      <w:r>
        <w:rPr>
          <w:rFonts w:eastAsia="Calibri"/>
          <w:lang w:val="en-GB"/>
        </w:rPr>
        <w:t xml:space="preserve"> conclusions about</w:t>
      </w:r>
      <w:r w:rsidRPr="0045535D">
        <w:rPr>
          <w:rFonts w:eastAsia="Calibri"/>
          <w:lang w:val="en-GB"/>
        </w:rPr>
        <w:t xml:space="preserve"> </w:t>
      </w:r>
      <w:r>
        <w:rPr>
          <w:rFonts w:eastAsia="Calibri"/>
          <w:lang w:val="en-GB"/>
        </w:rPr>
        <w:t>influence</w:t>
      </w:r>
      <w:r w:rsidRPr="0045535D">
        <w:rPr>
          <w:rFonts w:eastAsia="Calibri"/>
          <w:lang w:val="en-GB"/>
        </w:rPr>
        <w:t xml:space="preserve"> of </w:t>
      </w:r>
      <w:r>
        <w:rPr>
          <w:rFonts w:eastAsia="Calibri"/>
          <w:lang w:val="en-GB"/>
        </w:rPr>
        <w:t xml:space="preserve">the </w:t>
      </w:r>
      <w:r w:rsidRPr="0045535D">
        <w:rPr>
          <w:rFonts w:eastAsia="Calibri"/>
          <w:lang w:val="en-GB"/>
        </w:rPr>
        <w:t xml:space="preserve">observed independent variables on the </w:t>
      </w:r>
      <w:r>
        <w:rPr>
          <w:rFonts w:eastAsia="Calibri"/>
          <w:lang w:val="en-GB"/>
        </w:rPr>
        <w:t>a</w:t>
      </w:r>
      <w:r w:rsidRPr="0045535D">
        <w:rPr>
          <w:rFonts w:eastAsia="Calibri"/>
          <w:lang w:val="en-GB"/>
        </w:rPr>
        <w:t xml:space="preserve">verage cost of employee </w:t>
      </w:r>
      <w:r>
        <w:rPr>
          <w:rFonts w:eastAsia="Calibri"/>
          <w:lang w:val="en-GB"/>
        </w:rPr>
        <w:t>is</w:t>
      </w:r>
      <w:r w:rsidRPr="0045535D">
        <w:rPr>
          <w:rFonts w:eastAsia="Calibri"/>
          <w:lang w:val="en-GB"/>
        </w:rPr>
        <w:t xml:space="preserve"> dynamic panel BB estimator two-step model </w:t>
      </w:r>
      <w:r>
        <w:rPr>
          <w:rFonts w:eastAsia="Calibri"/>
          <w:lang w:val="en-GB"/>
        </w:rPr>
        <w:t xml:space="preserve">with </w:t>
      </w:r>
      <w:r w:rsidRPr="0045535D">
        <w:rPr>
          <w:rFonts w:eastAsia="Calibri"/>
          <w:lang w:val="en-GB"/>
        </w:rPr>
        <w:t>the robust</w:t>
      </w:r>
      <w:r>
        <w:rPr>
          <w:rFonts w:eastAsia="Calibri"/>
          <w:lang w:val="en-GB"/>
        </w:rPr>
        <w:t xml:space="preserve"> option</w:t>
      </w:r>
      <w:r w:rsidRPr="0045535D">
        <w:rPr>
          <w:rFonts w:eastAsia="Calibri"/>
          <w:lang w:val="en-GB"/>
        </w:rPr>
        <w:t xml:space="preserve">. </w:t>
      </w:r>
      <w:r w:rsidR="008835E7">
        <w:rPr>
          <w:rFonts w:eastAsia="Calibri"/>
          <w:lang w:val="en-GB"/>
        </w:rPr>
        <w:t>P</w:t>
      </w:r>
      <w:r w:rsidRPr="0045535D">
        <w:rPr>
          <w:rFonts w:eastAsia="Calibri"/>
          <w:lang w:val="en-GB"/>
        </w:rPr>
        <w:t xml:space="preserve">ositive and significant </w:t>
      </w:r>
      <w:r>
        <w:rPr>
          <w:rFonts w:eastAsia="Calibri"/>
          <w:lang w:val="en-GB"/>
        </w:rPr>
        <w:t xml:space="preserve">influence of </w:t>
      </w:r>
      <w:r w:rsidRPr="0045535D">
        <w:rPr>
          <w:rFonts w:eastAsia="Calibri"/>
          <w:lang w:val="en-GB"/>
        </w:rPr>
        <w:t>category of company (size) on the average cost</w:t>
      </w:r>
      <w:r>
        <w:rPr>
          <w:rFonts w:eastAsia="Calibri"/>
          <w:lang w:val="en-GB"/>
        </w:rPr>
        <w:t xml:space="preserve"> of employee</w:t>
      </w:r>
      <w:r w:rsidR="008835E7">
        <w:rPr>
          <w:rFonts w:eastAsia="Calibri"/>
          <w:lang w:val="en-GB"/>
        </w:rPr>
        <w:t xml:space="preserve"> is identified</w:t>
      </w:r>
      <w:r>
        <w:rPr>
          <w:rFonts w:eastAsia="Calibri"/>
          <w:lang w:val="en-GB"/>
        </w:rPr>
        <w:t>.</w:t>
      </w:r>
      <w:r w:rsidRPr="0045535D">
        <w:rPr>
          <w:rFonts w:eastAsia="Calibri"/>
          <w:lang w:val="en-GB"/>
        </w:rPr>
        <w:t xml:space="preserve"> The other variables showed no significant impact on </w:t>
      </w:r>
      <w:r w:rsidR="00CE052C">
        <w:rPr>
          <w:rFonts w:eastAsia="Calibri"/>
          <w:lang w:val="en-GB"/>
        </w:rPr>
        <w:t>HC</w:t>
      </w:r>
      <w:r w:rsidRPr="0045535D">
        <w:rPr>
          <w:rFonts w:eastAsia="Calibri"/>
          <w:lang w:val="en-GB"/>
        </w:rPr>
        <w:t xml:space="preserve"> investments in enterprises in the EU. </w:t>
      </w:r>
      <w:r>
        <w:rPr>
          <w:rFonts w:eastAsia="Calibri"/>
          <w:lang w:val="en-GB"/>
        </w:rPr>
        <w:t>Therefore,</w:t>
      </w:r>
      <w:r w:rsidRPr="0045535D">
        <w:rPr>
          <w:rFonts w:eastAsia="Calibri"/>
          <w:lang w:val="en-GB"/>
        </w:rPr>
        <w:t xml:space="preserve"> it</w:t>
      </w:r>
      <w:r w:rsidR="003A175C">
        <w:rPr>
          <w:rFonts w:eastAsia="Calibri"/>
          <w:lang w:val="en-GB"/>
        </w:rPr>
        <w:t xml:space="preserve"> i</w:t>
      </w:r>
      <w:r w:rsidRPr="0045535D">
        <w:rPr>
          <w:rFonts w:eastAsia="Calibri"/>
          <w:lang w:val="en-GB"/>
        </w:rPr>
        <w:t xml:space="preserve">s not confirmed that the companies which are </w:t>
      </w:r>
      <w:r>
        <w:rPr>
          <w:rFonts w:eastAsia="Calibri"/>
          <w:lang w:val="en-GB"/>
        </w:rPr>
        <w:t>more</w:t>
      </w:r>
      <w:r w:rsidRPr="0045535D">
        <w:rPr>
          <w:rFonts w:eastAsia="Calibri"/>
          <w:lang w:val="en-GB"/>
        </w:rPr>
        <w:t xml:space="preserve"> profitable will have a higher cost of employee (</w:t>
      </w:r>
      <w:r w:rsidR="00CE052C">
        <w:rPr>
          <w:rFonts w:eastAsia="Calibri"/>
          <w:lang w:val="en-GB"/>
        </w:rPr>
        <w:t>HC</w:t>
      </w:r>
      <w:r w:rsidRPr="0045535D">
        <w:rPr>
          <w:rFonts w:eastAsia="Calibri"/>
          <w:lang w:val="en-GB"/>
        </w:rPr>
        <w:t xml:space="preserve"> investment) in the EU countries.</w:t>
      </w:r>
    </w:p>
    <w:p w:rsidR="00BC23BA" w:rsidRDefault="00BC23BA" w:rsidP="004A6629">
      <w:pPr>
        <w:tabs>
          <w:tab w:val="left" w:pos="9000"/>
        </w:tabs>
        <w:spacing w:before="120"/>
        <w:ind w:right="68"/>
        <w:jc w:val="both"/>
        <w:rPr>
          <w:rFonts w:eastAsia="Calibri"/>
          <w:lang w:val="en-GB"/>
        </w:rPr>
      </w:pPr>
    </w:p>
    <w:p w:rsidR="004D08DF" w:rsidRPr="004D08DF" w:rsidRDefault="004D08DF" w:rsidP="004D08DF">
      <w:pPr>
        <w:ind w:left="720" w:hanging="720"/>
        <w:jc w:val="both"/>
        <w:rPr>
          <w:b/>
          <w:sz w:val="28"/>
          <w:szCs w:val="28"/>
          <w:lang w:val="en-GB"/>
        </w:rPr>
      </w:pPr>
      <w:r>
        <w:rPr>
          <w:b/>
          <w:sz w:val="28"/>
          <w:szCs w:val="28"/>
          <w:lang w:val="en-GB"/>
        </w:rPr>
        <w:t>5</w:t>
      </w:r>
      <w:r w:rsidRPr="004D08DF">
        <w:rPr>
          <w:b/>
          <w:sz w:val="28"/>
          <w:szCs w:val="28"/>
          <w:lang w:val="en-GB"/>
        </w:rPr>
        <w:t>.</w:t>
      </w:r>
      <w:r w:rsidRPr="004D08DF">
        <w:rPr>
          <w:b/>
          <w:sz w:val="28"/>
          <w:szCs w:val="28"/>
          <w:lang w:val="en-GB"/>
        </w:rPr>
        <w:tab/>
      </w:r>
      <w:r>
        <w:rPr>
          <w:b/>
          <w:sz w:val="28"/>
          <w:szCs w:val="28"/>
          <w:lang w:val="en-GB"/>
        </w:rPr>
        <w:t>Conclusions</w:t>
      </w:r>
    </w:p>
    <w:p w:rsidR="004D08DF" w:rsidRPr="004D08DF" w:rsidRDefault="004D08DF" w:rsidP="004D08DF">
      <w:pPr>
        <w:ind w:left="720" w:hanging="720"/>
        <w:jc w:val="both"/>
        <w:rPr>
          <w:lang w:val="en-GB"/>
        </w:rPr>
      </w:pPr>
    </w:p>
    <w:p w:rsidR="00795EE5" w:rsidRDefault="002108D3" w:rsidP="009615B3">
      <w:pPr>
        <w:jc w:val="both"/>
        <w:rPr>
          <w:lang w:val="en-GB"/>
        </w:rPr>
      </w:pPr>
      <w:r>
        <w:rPr>
          <w:lang w:val="en-GB"/>
        </w:rPr>
        <w:t>Human resources</w:t>
      </w:r>
      <w:r w:rsidR="009615B3" w:rsidRPr="009615B3">
        <w:rPr>
          <w:lang w:val="en-GB"/>
        </w:rPr>
        <w:t xml:space="preserve"> </w:t>
      </w:r>
      <w:r w:rsidR="009615B3">
        <w:rPr>
          <w:lang w:val="en-GB"/>
        </w:rPr>
        <w:t xml:space="preserve">are the </w:t>
      </w:r>
      <w:r w:rsidR="00814258">
        <w:rPr>
          <w:lang w:val="en-GB"/>
        </w:rPr>
        <w:t xml:space="preserve">most </w:t>
      </w:r>
      <w:r w:rsidR="009615B3">
        <w:rPr>
          <w:lang w:val="en-GB"/>
        </w:rPr>
        <w:t xml:space="preserve">valuable resources for each company due to their </w:t>
      </w:r>
      <w:r w:rsidR="009615B3" w:rsidRPr="009615B3">
        <w:rPr>
          <w:lang w:val="en-GB"/>
        </w:rPr>
        <w:t>specificities such as knowledge, skills</w:t>
      </w:r>
      <w:r w:rsidR="008A3DE9">
        <w:rPr>
          <w:lang w:val="en-GB"/>
        </w:rPr>
        <w:t xml:space="preserve"> and</w:t>
      </w:r>
      <w:r w:rsidR="009615B3" w:rsidRPr="009615B3">
        <w:rPr>
          <w:lang w:val="en-GB"/>
        </w:rPr>
        <w:t xml:space="preserve"> abilities</w:t>
      </w:r>
      <w:r w:rsidR="008A3DE9">
        <w:rPr>
          <w:lang w:val="en-GB"/>
        </w:rPr>
        <w:t xml:space="preserve"> (KSA)</w:t>
      </w:r>
      <w:r w:rsidR="00814258">
        <w:rPr>
          <w:lang w:val="en-GB"/>
        </w:rPr>
        <w:t>, working experience</w:t>
      </w:r>
      <w:r w:rsidR="009615B3" w:rsidRPr="009615B3">
        <w:rPr>
          <w:lang w:val="en-GB"/>
        </w:rPr>
        <w:t xml:space="preserve"> or emotional intelligence</w:t>
      </w:r>
      <w:r w:rsidR="00814258">
        <w:rPr>
          <w:lang w:val="en-GB"/>
        </w:rPr>
        <w:t>.</w:t>
      </w:r>
      <w:r w:rsidR="009615B3" w:rsidRPr="009615B3">
        <w:rPr>
          <w:lang w:val="en-GB"/>
        </w:rPr>
        <w:t xml:space="preserve"> </w:t>
      </w:r>
      <w:r w:rsidR="00814258">
        <w:rPr>
          <w:lang w:val="en-GB"/>
        </w:rPr>
        <w:t>They are</w:t>
      </w:r>
      <w:r w:rsidR="009615B3" w:rsidRPr="009615B3">
        <w:rPr>
          <w:lang w:val="en-GB"/>
        </w:rPr>
        <w:t xml:space="preserve"> managing and directing all other groups of resources and </w:t>
      </w:r>
      <w:r w:rsidR="00814258">
        <w:rPr>
          <w:lang w:val="en-GB"/>
        </w:rPr>
        <w:t>c</w:t>
      </w:r>
      <w:r w:rsidR="009615B3" w:rsidRPr="009615B3">
        <w:rPr>
          <w:lang w:val="en-GB"/>
        </w:rPr>
        <w:t xml:space="preserve">reating company’s competitive advantage, innovating and modernizing organizational process, reinforcing overall organizational success </w:t>
      </w:r>
      <w:r w:rsidR="00814258">
        <w:rPr>
          <w:lang w:val="en-GB"/>
        </w:rPr>
        <w:t>and i</w:t>
      </w:r>
      <w:r w:rsidR="008A3DE9">
        <w:rPr>
          <w:lang w:val="en-GB"/>
        </w:rPr>
        <w:t>n</w:t>
      </w:r>
      <w:r w:rsidR="00814258">
        <w:rPr>
          <w:lang w:val="en-GB"/>
        </w:rPr>
        <w:t xml:space="preserve"> this way b</w:t>
      </w:r>
      <w:r w:rsidR="009615B3" w:rsidRPr="009615B3">
        <w:rPr>
          <w:lang w:val="en-GB"/>
        </w:rPr>
        <w:t xml:space="preserve">ecoming </w:t>
      </w:r>
      <w:r>
        <w:rPr>
          <w:lang w:val="en-GB"/>
        </w:rPr>
        <w:t>HC</w:t>
      </w:r>
      <w:r w:rsidR="00814258">
        <w:rPr>
          <w:lang w:val="en-GB"/>
        </w:rPr>
        <w:t xml:space="preserve"> of each company.</w:t>
      </w:r>
    </w:p>
    <w:p w:rsidR="002B2CEF" w:rsidRDefault="00D01CA5" w:rsidP="00D01CA5">
      <w:pPr>
        <w:spacing w:before="120"/>
        <w:jc w:val="both"/>
      </w:pPr>
      <w:r w:rsidRPr="00D01CA5">
        <w:t xml:space="preserve">The main aim of this paper was to explore the relations between </w:t>
      </w:r>
      <w:r>
        <w:t>HC</w:t>
      </w:r>
      <w:r w:rsidRPr="00D01CA5">
        <w:t xml:space="preserve"> investments and company’s profitability ratios</w:t>
      </w:r>
      <w:r>
        <w:t xml:space="preserve"> (</w:t>
      </w:r>
      <w:r w:rsidRPr="00D01CA5">
        <w:t>return on equity and profit margin</w:t>
      </w:r>
      <w:r>
        <w:t xml:space="preserve">). </w:t>
      </w:r>
      <w:r w:rsidR="002B2CEF">
        <w:t xml:space="preserve">The analysis was provided </w:t>
      </w:r>
      <w:r w:rsidR="002B2CEF" w:rsidRPr="00D01CA5">
        <w:t xml:space="preserve">through the sample of app. 5,000 </w:t>
      </w:r>
      <w:r w:rsidR="002B2CEF">
        <w:t>EU</w:t>
      </w:r>
      <w:r w:rsidR="002B2CEF" w:rsidRPr="00D01CA5">
        <w:t xml:space="preserve"> companies within information technology industry </w:t>
      </w:r>
      <w:r w:rsidR="002B2CEF">
        <w:t>(2011-2015).</w:t>
      </w:r>
      <w:r w:rsidR="002B2CEF" w:rsidRPr="00D01CA5">
        <w:t xml:space="preserve"> </w:t>
      </w:r>
      <w:r w:rsidR="002B2CEF">
        <w:t>Also</w:t>
      </w:r>
      <w:r w:rsidR="002B2CEF" w:rsidRPr="00D01CA5">
        <w:t xml:space="preserve">, </w:t>
      </w:r>
      <w:r w:rsidR="002B2CEF">
        <w:t>the analysis was testing</w:t>
      </w:r>
      <w:r w:rsidR="002B2CEF" w:rsidRPr="00D01CA5">
        <w:t xml:space="preserve"> whether the level </w:t>
      </w:r>
      <w:r w:rsidR="002B2CEF">
        <w:t>of HC</w:t>
      </w:r>
      <w:r w:rsidR="002B2CEF" w:rsidRPr="00D01CA5">
        <w:t xml:space="preserve"> investments significantly differ with regard to company size</w:t>
      </w:r>
      <w:r w:rsidR="002B2CEF">
        <w:t>,</w:t>
      </w:r>
      <w:r w:rsidR="002B2CEF" w:rsidRPr="00D01CA5">
        <w:t xml:space="preserve"> listing status</w:t>
      </w:r>
      <w:r w:rsidR="002B2CEF">
        <w:t xml:space="preserve"> and number of trademarks. </w:t>
      </w:r>
      <w:r w:rsidR="00A658D3">
        <w:t>P</w:t>
      </w:r>
      <w:r w:rsidR="00A658D3" w:rsidRPr="001136DD">
        <w:t xml:space="preserve">revious studies about </w:t>
      </w:r>
      <w:r w:rsidR="00A658D3">
        <w:t>HC</w:t>
      </w:r>
      <w:r w:rsidR="00A658D3" w:rsidRPr="00D01CA5">
        <w:t xml:space="preserve"> investments and company’s profitability ratios</w:t>
      </w:r>
      <w:r w:rsidR="00A658D3">
        <w:t xml:space="preserve"> </w:t>
      </w:r>
      <w:r w:rsidR="00A658D3" w:rsidRPr="001136DD">
        <w:t xml:space="preserve">mostly </w:t>
      </w:r>
      <w:r w:rsidR="00A658D3">
        <w:t>us</w:t>
      </w:r>
      <w:r w:rsidR="00A658D3" w:rsidRPr="001136DD">
        <w:t>ed</w:t>
      </w:r>
      <w:r w:rsidR="00A658D3">
        <w:t xml:space="preserve"> multivariate techniques and/or regression analysis. </w:t>
      </w:r>
      <w:r w:rsidR="002B2CEF">
        <w:t>T</w:t>
      </w:r>
      <w:r w:rsidR="002B2CEF" w:rsidRPr="00B1444A">
        <w:t>h</w:t>
      </w:r>
      <w:r w:rsidR="00A658D3">
        <w:t>is</w:t>
      </w:r>
      <w:r w:rsidR="002B2CEF" w:rsidRPr="00B1444A">
        <w:t xml:space="preserve"> paper uses panel data analysis techniques as they are more appropriate for cross-sectional time series structure of the data.</w:t>
      </w:r>
    </w:p>
    <w:p w:rsidR="00D70600" w:rsidRDefault="001F7AD3" w:rsidP="00D01CA5">
      <w:pPr>
        <w:spacing w:before="120"/>
        <w:jc w:val="both"/>
      </w:pPr>
      <w:r w:rsidRPr="001F7AD3">
        <w:t xml:space="preserve">After the implementation of the relevant tests, the model that can derive conclusions about </w:t>
      </w:r>
      <w:r w:rsidR="002108D3">
        <w:t xml:space="preserve">the </w:t>
      </w:r>
      <w:r w:rsidRPr="001F7AD3">
        <w:t xml:space="preserve">influence of the observed independent variables on the average cost of employee is dynamic panel BB estimator two-step model with the robust option. </w:t>
      </w:r>
      <w:r w:rsidR="006C7310">
        <w:t xml:space="preserve">Analysis confirmed </w:t>
      </w:r>
      <w:r w:rsidRPr="001F7AD3">
        <w:t>significant influe</w:t>
      </w:r>
      <w:r w:rsidR="006C7310">
        <w:t>nce of company’s size</w:t>
      </w:r>
      <w:r w:rsidRPr="001F7AD3">
        <w:t xml:space="preserve"> on the average cost of employee</w:t>
      </w:r>
      <w:r w:rsidR="006C7310">
        <w:t xml:space="preserve">, meaning if the company is </w:t>
      </w:r>
      <w:r w:rsidR="00DC6489">
        <w:t>larger</w:t>
      </w:r>
      <w:r w:rsidR="006C7310">
        <w:t xml:space="preserve">, </w:t>
      </w:r>
      <w:r w:rsidR="00DC6489">
        <w:t>it</w:t>
      </w:r>
      <w:r w:rsidR="006C7310">
        <w:t xml:space="preserve"> would </w:t>
      </w:r>
      <w:r w:rsidR="00DC6489">
        <w:t>have higher</w:t>
      </w:r>
      <w:r w:rsidR="006C7310">
        <w:t xml:space="preserve"> cost of the employee. </w:t>
      </w:r>
      <w:r w:rsidR="00DC6489">
        <w:t xml:space="preserve">Larger companies have even greater demand for training and development of their employees </w:t>
      </w:r>
      <w:r w:rsidR="008A3DE9">
        <w:t xml:space="preserve">than </w:t>
      </w:r>
      <w:r w:rsidR="00937B73">
        <w:t xml:space="preserve">smaller </w:t>
      </w:r>
      <w:r w:rsidR="008A3DE9">
        <w:t xml:space="preserve">companies </w:t>
      </w:r>
      <w:r w:rsidR="00DC6489">
        <w:t xml:space="preserve">and are constantly seeking for </w:t>
      </w:r>
      <w:r w:rsidR="00937B73">
        <w:t xml:space="preserve">the </w:t>
      </w:r>
      <w:r w:rsidR="00DC6489">
        <w:t xml:space="preserve">new level of their </w:t>
      </w:r>
      <w:r w:rsidR="00D70600">
        <w:t>KSA</w:t>
      </w:r>
      <w:r w:rsidR="00DC6489">
        <w:t>.</w:t>
      </w:r>
      <w:r w:rsidR="00D70600">
        <w:t xml:space="preserve"> </w:t>
      </w:r>
      <w:r w:rsidR="00937B73">
        <w:t>Those c</w:t>
      </w:r>
      <w:r w:rsidR="00D70600">
        <w:t xml:space="preserve">ompanies are investing in employees’ development </w:t>
      </w:r>
      <w:r w:rsidR="008A3DE9">
        <w:t xml:space="preserve">and </w:t>
      </w:r>
      <w:r w:rsidR="00937B73">
        <w:t xml:space="preserve">different </w:t>
      </w:r>
      <w:r w:rsidR="008A3DE9">
        <w:t xml:space="preserve">training activities </w:t>
      </w:r>
      <w:r w:rsidR="00D70600">
        <w:t xml:space="preserve">and </w:t>
      </w:r>
      <w:r w:rsidR="006D00FC">
        <w:t xml:space="preserve">by </w:t>
      </w:r>
      <w:r w:rsidR="00D70600">
        <w:t xml:space="preserve">reaching the new level of </w:t>
      </w:r>
      <w:r w:rsidR="008A3DE9">
        <w:t xml:space="preserve">their </w:t>
      </w:r>
      <w:r w:rsidR="00D70600">
        <w:t>KSA it</w:t>
      </w:r>
      <w:r w:rsidR="008A3DE9">
        <w:t xml:space="preserve"> simultaneously</w:t>
      </w:r>
      <w:r w:rsidR="00D70600">
        <w:t xml:space="preserve"> upgrades the level of their annual salaries</w:t>
      </w:r>
      <w:r w:rsidR="008A3DE9">
        <w:t xml:space="preserve">, </w:t>
      </w:r>
      <w:r w:rsidR="00937B73">
        <w:t>on the base of their</w:t>
      </w:r>
      <w:r w:rsidR="008A3DE9">
        <w:t xml:space="preserve"> incorporated KSA</w:t>
      </w:r>
      <w:r w:rsidR="00D70600">
        <w:t>.</w:t>
      </w:r>
      <w:r w:rsidRPr="001F7AD3">
        <w:t xml:space="preserve"> </w:t>
      </w:r>
      <w:r w:rsidR="00D70600" w:rsidRPr="00D70600">
        <w:t xml:space="preserve">The other variables </w:t>
      </w:r>
      <w:r w:rsidR="006D00FC">
        <w:t xml:space="preserve">from the research </w:t>
      </w:r>
      <w:r w:rsidRPr="00D70600">
        <w:t xml:space="preserve">showed no significant impact on </w:t>
      </w:r>
      <w:r w:rsidR="00D70600" w:rsidRPr="00D70600">
        <w:t>HC</w:t>
      </w:r>
      <w:r w:rsidRPr="00D70600">
        <w:t xml:space="preserve"> investments in enterprises in EU. </w:t>
      </w:r>
    </w:p>
    <w:p w:rsidR="006D00FC" w:rsidRPr="00D01CA5" w:rsidRDefault="006D00FC" w:rsidP="000E6B16">
      <w:pPr>
        <w:spacing w:before="120"/>
        <w:jc w:val="both"/>
      </w:pPr>
      <w:r>
        <w:t>Future researches should be oriented toward examination of HC development within different industries as well as on the existence of HC differences and their selective influence on distinct companies’ performances instead of overall business excellence.</w:t>
      </w:r>
      <w:r w:rsidR="000E6B16">
        <w:t xml:space="preserve"> Additionally it would be excellent to provide more detailed explanation of the implication of these results for the advancement of human capital management theory, competitiveness or growth literature.</w:t>
      </w:r>
    </w:p>
    <w:p w:rsidR="00D01CA5" w:rsidRPr="008460EB" w:rsidRDefault="00D01CA5" w:rsidP="009615B3">
      <w:pPr>
        <w:jc w:val="both"/>
        <w:rPr>
          <w:lang w:val="en-GB"/>
        </w:rPr>
      </w:pPr>
    </w:p>
    <w:p w:rsidR="001C3835" w:rsidRPr="001C29F5" w:rsidRDefault="001C3835" w:rsidP="001C3835">
      <w:pPr>
        <w:autoSpaceDE w:val="0"/>
        <w:autoSpaceDN w:val="0"/>
        <w:adjustRightInd w:val="0"/>
        <w:rPr>
          <w:b/>
          <w:sz w:val="28"/>
          <w:szCs w:val="28"/>
          <w:lang w:val="hr-HR" w:eastAsia="hr-HR"/>
        </w:rPr>
      </w:pPr>
      <w:proofErr w:type="spellStart"/>
      <w:r w:rsidRPr="00EB6F70">
        <w:rPr>
          <w:b/>
          <w:sz w:val="28"/>
          <w:szCs w:val="28"/>
          <w:lang w:val="hr-HR" w:eastAsia="hr-HR"/>
        </w:rPr>
        <w:t>References</w:t>
      </w:r>
      <w:proofErr w:type="spellEnd"/>
    </w:p>
    <w:p w:rsidR="00FF058F" w:rsidRDefault="00FF058F" w:rsidP="00AD28BC">
      <w:pPr>
        <w:pStyle w:val="References"/>
        <w:rPr>
          <w:sz w:val="24"/>
          <w:szCs w:val="24"/>
        </w:rPr>
      </w:pPr>
      <w:proofErr w:type="spellStart"/>
      <w:r>
        <w:rPr>
          <w:sz w:val="24"/>
          <w:szCs w:val="24"/>
        </w:rPr>
        <w:t>Agbiogwu</w:t>
      </w:r>
      <w:proofErr w:type="spellEnd"/>
      <w:r>
        <w:rPr>
          <w:sz w:val="24"/>
          <w:szCs w:val="24"/>
        </w:rPr>
        <w:t xml:space="preserve">, A. A., </w:t>
      </w:r>
      <w:proofErr w:type="spellStart"/>
      <w:r>
        <w:rPr>
          <w:sz w:val="24"/>
          <w:szCs w:val="24"/>
        </w:rPr>
        <w:t>Ihendinihu</w:t>
      </w:r>
      <w:proofErr w:type="spellEnd"/>
      <w:r>
        <w:rPr>
          <w:sz w:val="24"/>
          <w:szCs w:val="24"/>
        </w:rPr>
        <w:t xml:space="preserve">, J. U. and </w:t>
      </w:r>
      <w:proofErr w:type="spellStart"/>
      <w:r>
        <w:rPr>
          <w:sz w:val="24"/>
          <w:szCs w:val="24"/>
        </w:rPr>
        <w:t>Azubike</w:t>
      </w:r>
      <w:proofErr w:type="spellEnd"/>
      <w:r>
        <w:rPr>
          <w:sz w:val="24"/>
          <w:szCs w:val="24"/>
        </w:rPr>
        <w:t>, J. U. B. (2016). Effects of human resource cost on profitability of banks in Nigeria. Expert Journal of Finance, 4, 10-18.</w:t>
      </w:r>
    </w:p>
    <w:p w:rsidR="00FF058F" w:rsidRDefault="00FF058F" w:rsidP="00AD28BC">
      <w:pPr>
        <w:pStyle w:val="References"/>
        <w:rPr>
          <w:sz w:val="24"/>
          <w:szCs w:val="24"/>
        </w:rPr>
      </w:pPr>
      <w:proofErr w:type="spellStart"/>
      <w:r>
        <w:rPr>
          <w:sz w:val="24"/>
          <w:szCs w:val="24"/>
        </w:rPr>
        <w:t>Aljinovic</w:t>
      </w:r>
      <w:proofErr w:type="spellEnd"/>
      <w:r>
        <w:rPr>
          <w:sz w:val="24"/>
          <w:szCs w:val="24"/>
        </w:rPr>
        <w:t xml:space="preserve"> </w:t>
      </w:r>
      <w:proofErr w:type="spellStart"/>
      <w:r>
        <w:rPr>
          <w:sz w:val="24"/>
          <w:szCs w:val="24"/>
        </w:rPr>
        <w:t>Barac</w:t>
      </w:r>
      <w:proofErr w:type="spellEnd"/>
      <w:r>
        <w:rPr>
          <w:sz w:val="24"/>
          <w:szCs w:val="24"/>
        </w:rPr>
        <w:t xml:space="preserve">, Z., </w:t>
      </w:r>
      <w:proofErr w:type="spellStart"/>
      <w:r>
        <w:rPr>
          <w:sz w:val="24"/>
          <w:szCs w:val="24"/>
        </w:rPr>
        <w:t>Tadic</w:t>
      </w:r>
      <w:proofErr w:type="spellEnd"/>
      <w:r>
        <w:rPr>
          <w:sz w:val="24"/>
          <w:szCs w:val="24"/>
        </w:rPr>
        <w:t xml:space="preserve">, I. and </w:t>
      </w:r>
      <w:proofErr w:type="spellStart"/>
      <w:r>
        <w:rPr>
          <w:sz w:val="24"/>
          <w:szCs w:val="24"/>
        </w:rPr>
        <w:t>Pivac</w:t>
      </w:r>
      <w:proofErr w:type="spellEnd"/>
      <w:r>
        <w:rPr>
          <w:sz w:val="24"/>
          <w:szCs w:val="24"/>
        </w:rPr>
        <w:t xml:space="preserve">, S. (2016). Does human capital investment affect company’s profitability and attributes? Evidence from EU countries. Proceedings of IRES International Conference, 7-12.      </w:t>
      </w:r>
      <w:r w:rsidRPr="004C0CC0">
        <w:rPr>
          <w:sz w:val="24"/>
          <w:szCs w:val="24"/>
        </w:rPr>
        <w:t xml:space="preserve">  </w:t>
      </w:r>
    </w:p>
    <w:p w:rsidR="00FF058F" w:rsidRPr="00755CC3" w:rsidRDefault="00FF058F" w:rsidP="00755CC3">
      <w:pPr>
        <w:pStyle w:val="References"/>
        <w:rPr>
          <w:sz w:val="24"/>
          <w:szCs w:val="24"/>
        </w:rPr>
      </w:pPr>
      <w:proofErr w:type="spellStart"/>
      <w:r w:rsidRPr="00755CC3">
        <w:rPr>
          <w:sz w:val="24"/>
          <w:szCs w:val="24"/>
        </w:rPr>
        <w:lastRenderedPageBreak/>
        <w:t>Baltagi</w:t>
      </w:r>
      <w:proofErr w:type="spellEnd"/>
      <w:r w:rsidRPr="00755CC3">
        <w:rPr>
          <w:sz w:val="24"/>
          <w:szCs w:val="24"/>
        </w:rPr>
        <w:t>, B. H. (2008). Econometric analysis of panel data. 4th ed. Chester: John Wiley and Sons.</w:t>
      </w:r>
    </w:p>
    <w:p w:rsidR="00FF058F" w:rsidRPr="004C0CC0" w:rsidRDefault="00FF058F" w:rsidP="00AD28BC">
      <w:pPr>
        <w:pStyle w:val="References"/>
        <w:rPr>
          <w:sz w:val="24"/>
          <w:szCs w:val="24"/>
        </w:rPr>
      </w:pPr>
      <w:proofErr w:type="spellStart"/>
      <w:r w:rsidRPr="004C0CC0">
        <w:rPr>
          <w:sz w:val="24"/>
          <w:szCs w:val="24"/>
        </w:rPr>
        <w:t>Barcons-Vilardell</w:t>
      </w:r>
      <w:proofErr w:type="spellEnd"/>
      <w:r w:rsidRPr="004C0CC0">
        <w:rPr>
          <w:sz w:val="24"/>
          <w:szCs w:val="24"/>
        </w:rPr>
        <w:t>,</w:t>
      </w:r>
      <w:r>
        <w:rPr>
          <w:sz w:val="24"/>
          <w:szCs w:val="24"/>
        </w:rPr>
        <w:t xml:space="preserve"> C,</w:t>
      </w:r>
      <w:r w:rsidRPr="004C0CC0">
        <w:rPr>
          <w:sz w:val="24"/>
          <w:szCs w:val="24"/>
        </w:rPr>
        <w:t xml:space="preserve"> Moya-Gutierrez, </w:t>
      </w:r>
      <w:r>
        <w:rPr>
          <w:sz w:val="24"/>
          <w:szCs w:val="24"/>
        </w:rPr>
        <w:t xml:space="preserve">S, </w:t>
      </w:r>
      <w:r w:rsidRPr="004C0CC0">
        <w:rPr>
          <w:sz w:val="24"/>
          <w:szCs w:val="24"/>
        </w:rPr>
        <w:t>Somoza-Lopez,</w:t>
      </w:r>
      <w:r>
        <w:rPr>
          <w:sz w:val="24"/>
          <w:szCs w:val="24"/>
        </w:rPr>
        <w:t xml:space="preserve"> A.,</w:t>
      </w:r>
      <w:r w:rsidRPr="004C0CC0">
        <w:rPr>
          <w:sz w:val="24"/>
          <w:szCs w:val="24"/>
        </w:rPr>
        <w:t xml:space="preserve"> </w:t>
      </w:r>
      <w:proofErr w:type="spellStart"/>
      <w:r w:rsidRPr="004C0CC0">
        <w:rPr>
          <w:sz w:val="24"/>
          <w:szCs w:val="24"/>
        </w:rPr>
        <w:t>Vallverdu-Calafell</w:t>
      </w:r>
      <w:proofErr w:type="spellEnd"/>
      <w:r w:rsidRPr="004C0CC0">
        <w:rPr>
          <w:sz w:val="24"/>
          <w:szCs w:val="24"/>
        </w:rPr>
        <w:t xml:space="preserve">, </w:t>
      </w:r>
      <w:r>
        <w:rPr>
          <w:sz w:val="24"/>
          <w:szCs w:val="24"/>
        </w:rPr>
        <w:t xml:space="preserve">J. </w:t>
      </w:r>
      <w:r w:rsidRPr="004C0CC0">
        <w:rPr>
          <w:sz w:val="24"/>
          <w:szCs w:val="24"/>
        </w:rPr>
        <w:t xml:space="preserve">and </w:t>
      </w:r>
      <w:proofErr w:type="spellStart"/>
      <w:r w:rsidRPr="004C0CC0">
        <w:rPr>
          <w:sz w:val="24"/>
          <w:szCs w:val="24"/>
        </w:rPr>
        <w:t>Griful-Miquela</w:t>
      </w:r>
      <w:proofErr w:type="spellEnd"/>
      <w:r>
        <w:rPr>
          <w:sz w:val="24"/>
          <w:szCs w:val="24"/>
        </w:rPr>
        <w:t>, C.</w:t>
      </w:r>
      <w:r w:rsidRPr="004C0CC0">
        <w:rPr>
          <w:sz w:val="24"/>
          <w:szCs w:val="24"/>
        </w:rPr>
        <w:t xml:space="preserve"> (1999). Human Resources Accounting. International Advances in Economics Research, 5(3), 386-394.</w:t>
      </w:r>
    </w:p>
    <w:p w:rsidR="00FF058F" w:rsidRPr="004C0CC0" w:rsidRDefault="00FF058F" w:rsidP="00AD28BC">
      <w:pPr>
        <w:pStyle w:val="References"/>
        <w:rPr>
          <w:sz w:val="24"/>
          <w:szCs w:val="24"/>
        </w:rPr>
      </w:pPr>
      <w:proofErr w:type="spellStart"/>
      <w:r w:rsidRPr="004C0CC0">
        <w:rPr>
          <w:sz w:val="24"/>
          <w:szCs w:val="24"/>
        </w:rPr>
        <w:t>Belak</w:t>
      </w:r>
      <w:proofErr w:type="spellEnd"/>
      <w:r w:rsidRPr="004C0CC0">
        <w:rPr>
          <w:sz w:val="24"/>
          <w:szCs w:val="24"/>
        </w:rPr>
        <w:t xml:space="preserve">, V, </w:t>
      </w:r>
      <w:proofErr w:type="spellStart"/>
      <w:r w:rsidRPr="004C0CC0">
        <w:rPr>
          <w:sz w:val="24"/>
          <w:szCs w:val="24"/>
        </w:rPr>
        <w:t>Aljinović</w:t>
      </w:r>
      <w:proofErr w:type="spellEnd"/>
      <w:r w:rsidRPr="004C0CC0">
        <w:rPr>
          <w:sz w:val="24"/>
          <w:szCs w:val="24"/>
        </w:rPr>
        <w:t xml:space="preserve"> </w:t>
      </w:r>
      <w:proofErr w:type="spellStart"/>
      <w:r w:rsidRPr="004C0CC0">
        <w:rPr>
          <w:sz w:val="24"/>
          <w:szCs w:val="24"/>
        </w:rPr>
        <w:t>Barać</w:t>
      </w:r>
      <w:proofErr w:type="spellEnd"/>
      <w:r w:rsidRPr="004C0CC0">
        <w:rPr>
          <w:sz w:val="24"/>
          <w:szCs w:val="24"/>
        </w:rPr>
        <w:t xml:space="preserve">, Ž and </w:t>
      </w:r>
      <w:proofErr w:type="spellStart"/>
      <w:r w:rsidRPr="004C0CC0">
        <w:rPr>
          <w:sz w:val="24"/>
          <w:szCs w:val="24"/>
        </w:rPr>
        <w:t>Tadić</w:t>
      </w:r>
      <w:proofErr w:type="spellEnd"/>
      <w:r w:rsidRPr="004C0CC0">
        <w:rPr>
          <w:sz w:val="24"/>
          <w:szCs w:val="24"/>
        </w:rPr>
        <w:t>, I. (2009). Recognition and measurement of human capital expenditures – impact on company’s performance measurement. International Journal of Economics and Business Research, 1(2), 252-262.</w:t>
      </w:r>
    </w:p>
    <w:p w:rsidR="00FF058F" w:rsidRDefault="00FF058F" w:rsidP="00755CC3">
      <w:pPr>
        <w:pStyle w:val="References"/>
        <w:rPr>
          <w:sz w:val="24"/>
          <w:szCs w:val="24"/>
        </w:rPr>
      </w:pPr>
      <w:r w:rsidRPr="00755CC3">
        <w:rPr>
          <w:sz w:val="24"/>
          <w:szCs w:val="24"/>
        </w:rPr>
        <w:t>Blundell, R. and Bond, S. (1998). Initial conditions and moment restrictions in dynamic panel data models. Journal of Econometrics, 87(1), 115-143.</w:t>
      </w:r>
    </w:p>
    <w:p w:rsidR="00FF058F" w:rsidRDefault="00FF058F" w:rsidP="00AD28BC">
      <w:pPr>
        <w:pStyle w:val="References"/>
        <w:rPr>
          <w:sz w:val="24"/>
          <w:szCs w:val="24"/>
        </w:rPr>
      </w:pPr>
      <w:proofErr w:type="spellStart"/>
      <w:r>
        <w:rPr>
          <w:sz w:val="24"/>
          <w:szCs w:val="24"/>
        </w:rPr>
        <w:t>Bollen</w:t>
      </w:r>
      <w:proofErr w:type="spellEnd"/>
      <w:r>
        <w:rPr>
          <w:sz w:val="24"/>
          <w:szCs w:val="24"/>
        </w:rPr>
        <w:t xml:space="preserve">, L., </w:t>
      </w:r>
      <w:proofErr w:type="spellStart"/>
      <w:r>
        <w:rPr>
          <w:sz w:val="24"/>
          <w:szCs w:val="24"/>
        </w:rPr>
        <w:t>Vergauwen</w:t>
      </w:r>
      <w:proofErr w:type="spellEnd"/>
      <w:r>
        <w:rPr>
          <w:sz w:val="24"/>
          <w:szCs w:val="24"/>
        </w:rPr>
        <w:t xml:space="preserve">, P. and </w:t>
      </w:r>
      <w:proofErr w:type="spellStart"/>
      <w:r>
        <w:rPr>
          <w:sz w:val="24"/>
          <w:szCs w:val="24"/>
        </w:rPr>
        <w:t>Schienders</w:t>
      </w:r>
      <w:proofErr w:type="spellEnd"/>
      <w:r>
        <w:rPr>
          <w:sz w:val="24"/>
          <w:szCs w:val="24"/>
        </w:rPr>
        <w:t>, S. (2005). Linking intellectual property to company performance.</w:t>
      </w:r>
      <w:r w:rsidR="00522AD6">
        <w:rPr>
          <w:sz w:val="24"/>
          <w:szCs w:val="24"/>
        </w:rPr>
        <w:t xml:space="preserve"> M</w:t>
      </w:r>
      <w:r>
        <w:rPr>
          <w:sz w:val="24"/>
          <w:szCs w:val="24"/>
        </w:rPr>
        <w:t>anagement Decision, 43(9), 1161-1185.</w:t>
      </w:r>
    </w:p>
    <w:p w:rsidR="00522AD6" w:rsidRPr="00522AD6" w:rsidRDefault="00522AD6" w:rsidP="00522AD6">
      <w:pPr>
        <w:pStyle w:val="References"/>
        <w:rPr>
          <w:sz w:val="24"/>
          <w:szCs w:val="24"/>
        </w:rPr>
      </w:pPr>
      <w:r w:rsidRPr="00522AD6">
        <w:rPr>
          <w:sz w:val="24"/>
          <w:szCs w:val="24"/>
        </w:rPr>
        <w:t xml:space="preserve">Bureau Van </w:t>
      </w:r>
      <w:proofErr w:type="spellStart"/>
      <w:r w:rsidRPr="00522AD6">
        <w:rPr>
          <w:sz w:val="24"/>
          <w:szCs w:val="24"/>
        </w:rPr>
        <w:t>Dijk</w:t>
      </w:r>
      <w:proofErr w:type="spellEnd"/>
      <w:r w:rsidRPr="00522AD6">
        <w:rPr>
          <w:sz w:val="24"/>
          <w:szCs w:val="24"/>
        </w:rPr>
        <w:t>. Amadeus – a database of comparable financial information for public and private companies across Europe. Available at amadeus.bvdinfo.com [21 July 2016].</w:t>
      </w:r>
    </w:p>
    <w:p w:rsidR="00FF058F" w:rsidRDefault="00FF058F" w:rsidP="00AD28BC">
      <w:pPr>
        <w:pStyle w:val="References"/>
        <w:rPr>
          <w:sz w:val="24"/>
          <w:szCs w:val="24"/>
        </w:rPr>
      </w:pPr>
      <w:r>
        <w:rPr>
          <w:sz w:val="24"/>
          <w:szCs w:val="24"/>
        </w:rPr>
        <w:t>Coleman, S. (2007). The role of human and financial capital in the profitability and growth of women-oriented small firms. Journal of Small Business Management, 45(3), 303-319.</w:t>
      </w:r>
    </w:p>
    <w:p w:rsidR="00FF058F" w:rsidRDefault="00FF058F" w:rsidP="00AD28BC">
      <w:pPr>
        <w:pStyle w:val="References"/>
        <w:rPr>
          <w:sz w:val="24"/>
          <w:szCs w:val="24"/>
        </w:rPr>
      </w:pPr>
      <w:proofErr w:type="spellStart"/>
      <w:r>
        <w:rPr>
          <w:sz w:val="24"/>
          <w:szCs w:val="24"/>
        </w:rPr>
        <w:t>DeCastro</w:t>
      </w:r>
      <w:proofErr w:type="spellEnd"/>
      <w:r>
        <w:rPr>
          <w:sz w:val="24"/>
          <w:szCs w:val="24"/>
        </w:rPr>
        <w:t xml:space="preserve">, G. M. and </w:t>
      </w:r>
      <w:proofErr w:type="spellStart"/>
      <w:r>
        <w:rPr>
          <w:sz w:val="24"/>
          <w:szCs w:val="24"/>
        </w:rPr>
        <w:t>Saez</w:t>
      </w:r>
      <w:proofErr w:type="spellEnd"/>
      <w:r>
        <w:rPr>
          <w:sz w:val="24"/>
          <w:szCs w:val="24"/>
        </w:rPr>
        <w:t>, P. L. (2008). Intellectual capital in high tech firms. Journal of Intellectual Capital, 9, 25-36.</w:t>
      </w:r>
    </w:p>
    <w:p w:rsidR="00FF058F" w:rsidRDefault="00FF058F" w:rsidP="00AD28BC">
      <w:pPr>
        <w:pStyle w:val="References"/>
        <w:rPr>
          <w:sz w:val="24"/>
          <w:szCs w:val="24"/>
        </w:rPr>
      </w:pPr>
      <w:proofErr w:type="spellStart"/>
      <w:r w:rsidRPr="004C0CC0">
        <w:rPr>
          <w:sz w:val="24"/>
          <w:szCs w:val="24"/>
        </w:rPr>
        <w:t>Dzinkovski</w:t>
      </w:r>
      <w:proofErr w:type="spellEnd"/>
      <w:r w:rsidRPr="004C0CC0">
        <w:rPr>
          <w:sz w:val="24"/>
          <w:szCs w:val="24"/>
        </w:rPr>
        <w:t>, R. (2000). The measurement</w:t>
      </w:r>
      <w:r>
        <w:rPr>
          <w:sz w:val="24"/>
          <w:szCs w:val="24"/>
        </w:rPr>
        <w:t xml:space="preserve"> and management of intellectual capital: An introduction. Management Accounting, 2, 32-36.</w:t>
      </w:r>
    </w:p>
    <w:p w:rsidR="00FF058F" w:rsidRDefault="00FF058F" w:rsidP="00AD28BC">
      <w:pPr>
        <w:pStyle w:val="References"/>
        <w:rPr>
          <w:sz w:val="24"/>
          <w:szCs w:val="24"/>
        </w:rPr>
      </w:pPr>
      <w:r>
        <w:rPr>
          <w:sz w:val="24"/>
          <w:szCs w:val="24"/>
        </w:rPr>
        <w:t xml:space="preserve">Johansen, K., </w:t>
      </w:r>
      <w:proofErr w:type="spellStart"/>
      <w:r>
        <w:rPr>
          <w:sz w:val="24"/>
          <w:szCs w:val="24"/>
        </w:rPr>
        <w:t>Ringdal</w:t>
      </w:r>
      <w:proofErr w:type="spellEnd"/>
      <w:r>
        <w:rPr>
          <w:sz w:val="24"/>
          <w:szCs w:val="24"/>
        </w:rPr>
        <w:t xml:space="preserve">, K. and </w:t>
      </w:r>
      <w:proofErr w:type="spellStart"/>
      <w:r>
        <w:rPr>
          <w:sz w:val="24"/>
          <w:szCs w:val="24"/>
        </w:rPr>
        <w:t>Thoring</w:t>
      </w:r>
      <w:proofErr w:type="spellEnd"/>
      <w:r>
        <w:rPr>
          <w:sz w:val="24"/>
          <w:szCs w:val="24"/>
        </w:rPr>
        <w:t>, T. A. (2001). Firm profitability, regional unemployment and human capital in wage determination. Applied Economics, 33, 113-121.</w:t>
      </w:r>
    </w:p>
    <w:p w:rsidR="00735D97" w:rsidRDefault="00FF058F" w:rsidP="00735D97">
      <w:pPr>
        <w:pStyle w:val="References"/>
        <w:rPr>
          <w:sz w:val="24"/>
          <w:szCs w:val="24"/>
        </w:rPr>
      </w:pPr>
      <w:r>
        <w:rPr>
          <w:sz w:val="24"/>
          <w:szCs w:val="24"/>
        </w:rPr>
        <w:t xml:space="preserve">Shaw, J. D., Park, T. Y. and Kim, E. (2013). A resource based perspective of human capital losses, HRM investments, and organizational performance. Strategic management </w:t>
      </w:r>
      <w:r w:rsidRPr="00735D97">
        <w:rPr>
          <w:sz w:val="24"/>
          <w:szCs w:val="24"/>
        </w:rPr>
        <w:t>Journal, 34, 572-589.</w:t>
      </w:r>
    </w:p>
    <w:p w:rsidR="00FF058F" w:rsidRPr="00C618CB" w:rsidRDefault="00735D97" w:rsidP="00735D97">
      <w:pPr>
        <w:pStyle w:val="References"/>
        <w:rPr>
          <w:sz w:val="24"/>
          <w:szCs w:val="24"/>
        </w:rPr>
      </w:pPr>
      <w:proofErr w:type="spellStart"/>
      <w:r w:rsidRPr="00735D97">
        <w:rPr>
          <w:sz w:val="24"/>
          <w:szCs w:val="24"/>
        </w:rPr>
        <w:t>Škrabić</w:t>
      </w:r>
      <w:proofErr w:type="spellEnd"/>
      <w:r w:rsidRPr="00735D97">
        <w:rPr>
          <w:sz w:val="24"/>
          <w:szCs w:val="24"/>
        </w:rPr>
        <w:t xml:space="preserve"> </w:t>
      </w:r>
      <w:proofErr w:type="spellStart"/>
      <w:r w:rsidRPr="00735D97">
        <w:rPr>
          <w:sz w:val="24"/>
          <w:szCs w:val="24"/>
        </w:rPr>
        <w:t>Perić</w:t>
      </w:r>
      <w:proofErr w:type="spellEnd"/>
      <w:r w:rsidRPr="00735D97">
        <w:rPr>
          <w:sz w:val="24"/>
          <w:szCs w:val="24"/>
        </w:rPr>
        <w:t xml:space="preserve"> B. (2012a). Static panel data models: Case study of financial development in central and eastern European countries. In </w:t>
      </w:r>
      <w:proofErr w:type="spellStart"/>
      <w:r w:rsidRPr="00735D97">
        <w:rPr>
          <w:sz w:val="24"/>
          <w:szCs w:val="24"/>
        </w:rPr>
        <w:t>Aljinović</w:t>
      </w:r>
      <w:proofErr w:type="spellEnd"/>
      <w:r w:rsidRPr="00735D97">
        <w:rPr>
          <w:sz w:val="24"/>
          <w:szCs w:val="24"/>
        </w:rPr>
        <w:t xml:space="preserve"> Z. and </w:t>
      </w:r>
      <w:proofErr w:type="spellStart"/>
      <w:r w:rsidRPr="00735D97">
        <w:rPr>
          <w:sz w:val="24"/>
          <w:szCs w:val="24"/>
        </w:rPr>
        <w:t>Marasović</w:t>
      </w:r>
      <w:proofErr w:type="spellEnd"/>
      <w:r w:rsidRPr="00735D97">
        <w:rPr>
          <w:sz w:val="24"/>
          <w:szCs w:val="24"/>
        </w:rPr>
        <w:t xml:space="preserve"> B. (Eds.). </w:t>
      </w:r>
      <w:proofErr w:type="spellStart"/>
      <w:r w:rsidRPr="00735D97">
        <w:rPr>
          <w:sz w:val="24"/>
          <w:szCs w:val="24"/>
        </w:rPr>
        <w:t>Matematički</w:t>
      </w:r>
      <w:proofErr w:type="spellEnd"/>
      <w:r w:rsidRPr="00735D97">
        <w:rPr>
          <w:sz w:val="24"/>
          <w:szCs w:val="24"/>
        </w:rPr>
        <w:t xml:space="preserve"> </w:t>
      </w:r>
      <w:proofErr w:type="spellStart"/>
      <w:r w:rsidRPr="00735D97">
        <w:rPr>
          <w:sz w:val="24"/>
          <w:szCs w:val="24"/>
        </w:rPr>
        <w:t>modeli</w:t>
      </w:r>
      <w:proofErr w:type="spellEnd"/>
      <w:r w:rsidRPr="00735D97">
        <w:rPr>
          <w:sz w:val="24"/>
          <w:szCs w:val="24"/>
        </w:rPr>
        <w:t xml:space="preserve"> u </w:t>
      </w:r>
      <w:proofErr w:type="spellStart"/>
      <w:r w:rsidRPr="00735D97">
        <w:rPr>
          <w:sz w:val="24"/>
          <w:szCs w:val="24"/>
        </w:rPr>
        <w:t>analizi</w:t>
      </w:r>
      <w:proofErr w:type="spellEnd"/>
      <w:r w:rsidRPr="00735D97">
        <w:rPr>
          <w:sz w:val="24"/>
          <w:szCs w:val="24"/>
        </w:rPr>
        <w:t xml:space="preserve"> </w:t>
      </w:r>
      <w:proofErr w:type="spellStart"/>
      <w:r w:rsidRPr="00735D97">
        <w:rPr>
          <w:sz w:val="24"/>
          <w:szCs w:val="24"/>
        </w:rPr>
        <w:t>razvoja</w:t>
      </w:r>
      <w:proofErr w:type="spellEnd"/>
      <w:r w:rsidRPr="00735D97">
        <w:rPr>
          <w:sz w:val="24"/>
          <w:szCs w:val="24"/>
        </w:rPr>
        <w:t xml:space="preserve"> </w:t>
      </w:r>
      <w:proofErr w:type="spellStart"/>
      <w:r w:rsidRPr="00735D97">
        <w:rPr>
          <w:sz w:val="24"/>
          <w:szCs w:val="24"/>
        </w:rPr>
        <w:t>hrvatskog</w:t>
      </w:r>
      <w:proofErr w:type="spellEnd"/>
      <w:r w:rsidRPr="00735D97">
        <w:rPr>
          <w:sz w:val="24"/>
          <w:szCs w:val="24"/>
        </w:rPr>
        <w:t xml:space="preserve"> </w:t>
      </w:r>
      <w:proofErr w:type="spellStart"/>
      <w:r w:rsidRPr="00735D97">
        <w:rPr>
          <w:sz w:val="24"/>
          <w:szCs w:val="24"/>
        </w:rPr>
        <w:t>financijskog</w:t>
      </w:r>
      <w:proofErr w:type="spellEnd"/>
      <w:r w:rsidRPr="00735D97">
        <w:rPr>
          <w:sz w:val="24"/>
          <w:szCs w:val="24"/>
        </w:rPr>
        <w:t xml:space="preserve"> </w:t>
      </w:r>
      <w:proofErr w:type="spellStart"/>
      <w:r w:rsidRPr="00735D97">
        <w:rPr>
          <w:sz w:val="24"/>
          <w:szCs w:val="24"/>
        </w:rPr>
        <w:t>tržišta</w:t>
      </w:r>
      <w:proofErr w:type="spellEnd"/>
      <w:r w:rsidRPr="00735D97">
        <w:rPr>
          <w:sz w:val="24"/>
          <w:szCs w:val="24"/>
        </w:rPr>
        <w:t xml:space="preserve"> </w:t>
      </w:r>
      <w:r w:rsidR="00A12454">
        <w:rPr>
          <w:sz w:val="24"/>
          <w:szCs w:val="24"/>
        </w:rPr>
        <w:t>(</w:t>
      </w:r>
      <w:r w:rsidR="00A12454" w:rsidRPr="00A12454">
        <w:rPr>
          <w:sz w:val="24"/>
          <w:szCs w:val="24"/>
          <w:lang w:val="en"/>
        </w:rPr>
        <w:t xml:space="preserve">Mathematical </w:t>
      </w:r>
      <w:r w:rsidR="00A12454" w:rsidRPr="00C618CB">
        <w:rPr>
          <w:sz w:val="24"/>
          <w:szCs w:val="24"/>
          <w:lang w:val="en"/>
        </w:rPr>
        <w:t>models in the analysis of the development of the Croatian financial market)</w:t>
      </w:r>
      <w:r w:rsidR="00A12454" w:rsidRPr="00C618CB">
        <w:rPr>
          <w:sz w:val="24"/>
          <w:szCs w:val="24"/>
        </w:rPr>
        <w:t xml:space="preserve"> </w:t>
      </w:r>
      <w:r w:rsidRPr="00C618CB">
        <w:rPr>
          <w:sz w:val="24"/>
          <w:szCs w:val="24"/>
        </w:rPr>
        <w:t>(pp. 173-199). Split: Faculty of Economics, University of Split</w:t>
      </w:r>
      <w:r w:rsidR="00FF058F" w:rsidRPr="00C618CB">
        <w:rPr>
          <w:sz w:val="24"/>
          <w:szCs w:val="24"/>
        </w:rPr>
        <w:t>.</w:t>
      </w:r>
    </w:p>
    <w:p w:rsidR="00FF058F" w:rsidRPr="00C618CB" w:rsidRDefault="00FF058F" w:rsidP="00C618CB">
      <w:pPr>
        <w:pStyle w:val="References"/>
        <w:rPr>
          <w:sz w:val="24"/>
          <w:szCs w:val="24"/>
        </w:rPr>
      </w:pPr>
      <w:proofErr w:type="spellStart"/>
      <w:r w:rsidRPr="00C618CB">
        <w:rPr>
          <w:sz w:val="24"/>
          <w:szCs w:val="24"/>
        </w:rPr>
        <w:t>Škrabić</w:t>
      </w:r>
      <w:proofErr w:type="spellEnd"/>
      <w:r w:rsidRPr="00C618CB">
        <w:rPr>
          <w:sz w:val="24"/>
          <w:szCs w:val="24"/>
        </w:rPr>
        <w:t xml:space="preserve"> </w:t>
      </w:r>
      <w:proofErr w:type="spellStart"/>
      <w:r w:rsidRPr="00C618CB">
        <w:rPr>
          <w:sz w:val="24"/>
          <w:szCs w:val="24"/>
        </w:rPr>
        <w:t>Perić</w:t>
      </w:r>
      <w:proofErr w:type="spellEnd"/>
      <w:r w:rsidRPr="00C618CB">
        <w:rPr>
          <w:sz w:val="24"/>
          <w:szCs w:val="24"/>
        </w:rPr>
        <w:t xml:space="preserve"> B. (2012b). </w:t>
      </w:r>
      <w:proofErr w:type="spellStart"/>
      <w:r w:rsidRPr="00C618CB">
        <w:rPr>
          <w:sz w:val="24"/>
          <w:szCs w:val="24"/>
        </w:rPr>
        <w:t>Utjecaj</w:t>
      </w:r>
      <w:proofErr w:type="spellEnd"/>
      <w:r w:rsidRPr="00C618CB">
        <w:rPr>
          <w:sz w:val="24"/>
          <w:szCs w:val="24"/>
        </w:rPr>
        <w:t xml:space="preserve"> </w:t>
      </w:r>
      <w:proofErr w:type="spellStart"/>
      <w:r w:rsidRPr="00C618CB">
        <w:rPr>
          <w:sz w:val="24"/>
          <w:szCs w:val="24"/>
        </w:rPr>
        <w:t>stranog</w:t>
      </w:r>
      <w:proofErr w:type="spellEnd"/>
      <w:r w:rsidRPr="00C618CB">
        <w:rPr>
          <w:sz w:val="24"/>
          <w:szCs w:val="24"/>
        </w:rPr>
        <w:t xml:space="preserve"> </w:t>
      </w:r>
      <w:proofErr w:type="spellStart"/>
      <w:r w:rsidRPr="00C618CB">
        <w:rPr>
          <w:sz w:val="24"/>
          <w:szCs w:val="24"/>
        </w:rPr>
        <w:t>vlasništva</w:t>
      </w:r>
      <w:proofErr w:type="spellEnd"/>
      <w:r w:rsidRPr="00C618CB">
        <w:rPr>
          <w:sz w:val="24"/>
          <w:szCs w:val="24"/>
        </w:rPr>
        <w:t xml:space="preserve"> </w:t>
      </w:r>
      <w:proofErr w:type="spellStart"/>
      <w:r w:rsidRPr="00C618CB">
        <w:rPr>
          <w:sz w:val="24"/>
          <w:szCs w:val="24"/>
        </w:rPr>
        <w:t>banke</w:t>
      </w:r>
      <w:proofErr w:type="spellEnd"/>
      <w:r w:rsidRPr="00C618CB">
        <w:rPr>
          <w:sz w:val="24"/>
          <w:szCs w:val="24"/>
        </w:rPr>
        <w:t xml:space="preserve"> </w:t>
      </w:r>
      <w:proofErr w:type="spellStart"/>
      <w:proofErr w:type="gramStart"/>
      <w:r w:rsidRPr="00C618CB">
        <w:rPr>
          <w:sz w:val="24"/>
          <w:szCs w:val="24"/>
        </w:rPr>
        <w:t>na</w:t>
      </w:r>
      <w:proofErr w:type="spellEnd"/>
      <w:proofErr w:type="gramEnd"/>
      <w:r w:rsidRPr="00C618CB">
        <w:rPr>
          <w:sz w:val="24"/>
          <w:szCs w:val="24"/>
        </w:rPr>
        <w:t xml:space="preserve"> </w:t>
      </w:r>
      <w:proofErr w:type="spellStart"/>
      <w:r w:rsidRPr="00C618CB">
        <w:rPr>
          <w:sz w:val="24"/>
          <w:szCs w:val="24"/>
        </w:rPr>
        <w:t>njezin</w:t>
      </w:r>
      <w:proofErr w:type="spellEnd"/>
      <w:r w:rsidRPr="00C618CB">
        <w:rPr>
          <w:sz w:val="24"/>
          <w:szCs w:val="24"/>
        </w:rPr>
        <w:t xml:space="preserve"> </w:t>
      </w:r>
      <w:proofErr w:type="spellStart"/>
      <w:r w:rsidRPr="00C618CB">
        <w:rPr>
          <w:sz w:val="24"/>
          <w:szCs w:val="24"/>
        </w:rPr>
        <w:t>kreditni</w:t>
      </w:r>
      <w:proofErr w:type="spellEnd"/>
      <w:r w:rsidRPr="00C618CB">
        <w:rPr>
          <w:sz w:val="24"/>
          <w:szCs w:val="24"/>
        </w:rPr>
        <w:t xml:space="preserve"> </w:t>
      </w:r>
      <w:proofErr w:type="spellStart"/>
      <w:r w:rsidRPr="00C618CB">
        <w:rPr>
          <w:sz w:val="24"/>
          <w:szCs w:val="24"/>
        </w:rPr>
        <w:t>rizik</w:t>
      </w:r>
      <w:proofErr w:type="spellEnd"/>
      <w:r w:rsidRPr="00C618CB">
        <w:rPr>
          <w:sz w:val="24"/>
          <w:szCs w:val="24"/>
        </w:rPr>
        <w:t xml:space="preserve"> u </w:t>
      </w:r>
      <w:proofErr w:type="spellStart"/>
      <w:r w:rsidRPr="00C618CB">
        <w:rPr>
          <w:sz w:val="24"/>
          <w:szCs w:val="24"/>
        </w:rPr>
        <w:t>zemljama</w:t>
      </w:r>
      <w:proofErr w:type="spellEnd"/>
      <w:r w:rsidRPr="00C618CB">
        <w:rPr>
          <w:sz w:val="24"/>
          <w:szCs w:val="24"/>
        </w:rPr>
        <w:t xml:space="preserve"> </w:t>
      </w:r>
      <w:proofErr w:type="spellStart"/>
      <w:r w:rsidRPr="00C618CB">
        <w:rPr>
          <w:sz w:val="24"/>
          <w:szCs w:val="24"/>
        </w:rPr>
        <w:t>srednje</w:t>
      </w:r>
      <w:proofErr w:type="spellEnd"/>
      <w:r w:rsidRPr="00C618CB">
        <w:rPr>
          <w:sz w:val="24"/>
          <w:szCs w:val="24"/>
        </w:rPr>
        <w:t xml:space="preserve"> </w:t>
      </w:r>
      <w:proofErr w:type="spellStart"/>
      <w:r w:rsidRPr="00C618CB">
        <w:rPr>
          <w:sz w:val="24"/>
          <w:szCs w:val="24"/>
        </w:rPr>
        <w:t>i</w:t>
      </w:r>
      <w:proofErr w:type="spellEnd"/>
      <w:r w:rsidRPr="00C618CB">
        <w:rPr>
          <w:sz w:val="24"/>
          <w:szCs w:val="24"/>
        </w:rPr>
        <w:t xml:space="preserve"> </w:t>
      </w:r>
      <w:proofErr w:type="spellStart"/>
      <w:r w:rsidRPr="00C618CB">
        <w:rPr>
          <w:sz w:val="24"/>
          <w:szCs w:val="24"/>
        </w:rPr>
        <w:t>istočne</w:t>
      </w:r>
      <w:proofErr w:type="spellEnd"/>
      <w:r w:rsidR="00C618CB" w:rsidRPr="00C618CB">
        <w:rPr>
          <w:sz w:val="24"/>
          <w:szCs w:val="24"/>
        </w:rPr>
        <w:t xml:space="preserve"> Europe: </w:t>
      </w:r>
      <w:proofErr w:type="spellStart"/>
      <w:r w:rsidR="00C618CB" w:rsidRPr="00C618CB">
        <w:rPr>
          <w:sz w:val="24"/>
          <w:szCs w:val="24"/>
        </w:rPr>
        <w:t>dinamički</w:t>
      </w:r>
      <w:proofErr w:type="spellEnd"/>
      <w:r w:rsidR="00C618CB" w:rsidRPr="00C618CB">
        <w:rPr>
          <w:sz w:val="24"/>
          <w:szCs w:val="24"/>
        </w:rPr>
        <w:t xml:space="preserve"> panel </w:t>
      </w:r>
      <w:proofErr w:type="spellStart"/>
      <w:r w:rsidR="00C618CB" w:rsidRPr="00C618CB">
        <w:rPr>
          <w:sz w:val="24"/>
          <w:szCs w:val="24"/>
        </w:rPr>
        <w:t>modeli</w:t>
      </w:r>
      <w:proofErr w:type="spellEnd"/>
      <w:r w:rsidR="00C618CB" w:rsidRPr="00C618CB">
        <w:rPr>
          <w:sz w:val="24"/>
          <w:szCs w:val="24"/>
        </w:rPr>
        <w:t xml:space="preserve"> (The impact of the bank foreign ownership on the banks' credit risk in the Central and Eastern European countries: a dynamic panel</w:t>
      </w:r>
      <w:r w:rsidR="00C618CB">
        <w:rPr>
          <w:sz w:val="24"/>
          <w:szCs w:val="24"/>
        </w:rPr>
        <w:t xml:space="preserve"> data </w:t>
      </w:r>
      <w:r w:rsidR="00C618CB" w:rsidRPr="00C618CB">
        <w:rPr>
          <w:sz w:val="24"/>
          <w:szCs w:val="24"/>
        </w:rPr>
        <w:t>models), PhD</w:t>
      </w:r>
      <w:r w:rsidRPr="00C618CB">
        <w:rPr>
          <w:sz w:val="24"/>
          <w:szCs w:val="24"/>
        </w:rPr>
        <w:t xml:space="preserve"> dissertation. Split: Faculty of Economics, University of Split.</w:t>
      </w:r>
    </w:p>
    <w:p w:rsidR="00FF058F" w:rsidRDefault="00FF058F" w:rsidP="00AD28BC">
      <w:pPr>
        <w:pStyle w:val="References"/>
        <w:rPr>
          <w:sz w:val="24"/>
          <w:szCs w:val="24"/>
        </w:rPr>
      </w:pPr>
      <w:proofErr w:type="spellStart"/>
      <w:r>
        <w:rPr>
          <w:sz w:val="24"/>
          <w:szCs w:val="24"/>
        </w:rPr>
        <w:t>Sonnier</w:t>
      </w:r>
      <w:proofErr w:type="spellEnd"/>
      <w:r>
        <w:rPr>
          <w:sz w:val="24"/>
          <w:szCs w:val="24"/>
        </w:rPr>
        <w:t>, B. M. (2008). Intellectual capital disclosure: high tech versus traditional sector companies. Journal of Intellectual Capital, 9, 705-722.</w:t>
      </w:r>
    </w:p>
    <w:p w:rsidR="00FF058F" w:rsidRPr="00D91EAF" w:rsidRDefault="00FF058F" w:rsidP="00755CC3">
      <w:pPr>
        <w:pStyle w:val="References"/>
        <w:rPr>
          <w:sz w:val="24"/>
          <w:szCs w:val="24"/>
        </w:rPr>
      </w:pPr>
      <w:r w:rsidRPr="00D91EAF">
        <w:rPr>
          <w:sz w:val="24"/>
          <w:szCs w:val="24"/>
        </w:rPr>
        <w:t>Stata, Data Analysis and Statistical Software. (2016). Dynamic panel-data (DPD) analysis. http://www.stata.com/features/overview/dynamic-panel-data/ [Accessed 11/08/16].</w:t>
      </w:r>
    </w:p>
    <w:p w:rsidR="00FF058F" w:rsidRPr="004C0CC0" w:rsidRDefault="00FF058F" w:rsidP="00860E43">
      <w:pPr>
        <w:pStyle w:val="FigureCaption"/>
        <w:numPr>
          <w:ilvl w:val="0"/>
          <w:numId w:val="24"/>
        </w:numPr>
        <w:rPr>
          <w:bCs/>
          <w:sz w:val="24"/>
          <w:szCs w:val="24"/>
        </w:rPr>
      </w:pPr>
      <w:proofErr w:type="spellStart"/>
      <w:r w:rsidRPr="004C0CC0">
        <w:rPr>
          <w:sz w:val="24"/>
          <w:szCs w:val="24"/>
        </w:rPr>
        <w:t>Tadic</w:t>
      </w:r>
      <w:proofErr w:type="spellEnd"/>
      <w:r w:rsidRPr="004C0CC0">
        <w:rPr>
          <w:sz w:val="24"/>
          <w:szCs w:val="24"/>
        </w:rPr>
        <w:t xml:space="preserve">, I., </w:t>
      </w:r>
      <w:proofErr w:type="spellStart"/>
      <w:r w:rsidRPr="004C0CC0">
        <w:rPr>
          <w:sz w:val="24"/>
          <w:szCs w:val="24"/>
        </w:rPr>
        <w:t>Aljinovic</w:t>
      </w:r>
      <w:proofErr w:type="spellEnd"/>
      <w:r w:rsidRPr="004C0CC0">
        <w:rPr>
          <w:sz w:val="24"/>
          <w:szCs w:val="24"/>
        </w:rPr>
        <w:t xml:space="preserve"> </w:t>
      </w:r>
      <w:proofErr w:type="spellStart"/>
      <w:r w:rsidRPr="004C0CC0">
        <w:rPr>
          <w:sz w:val="24"/>
          <w:szCs w:val="24"/>
        </w:rPr>
        <w:t>Barac</w:t>
      </w:r>
      <w:proofErr w:type="spellEnd"/>
      <w:r w:rsidRPr="004C0CC0">
        <w:rPr>
          <w:sz w:val="24"/>
          <w:szCs w:val="24"/>
        </w:rPr>
        <w:t xml:space="preserve">, Z. and </w:t>
      </w:r>
      <w:proofErr w:type="spellStart"/>
      <w:r w:rsidRPr="004C0CC0">
        <w:rPr>
          <w:sz w:val="24"/>
          <w:szCs w:val="24"/>
        </w:rPr>
        <w:t>Plazonic</w:t>
      </w:r>
      <w:proofErr w:type="spellEnd"/>
      <w:r w:rsidRPr="004C0CC0">
        <w:rPr>
          <w:sz w:val="24"/>
          <w:szCs w:val="24"/>
        </w:rPr>
        <w:t xml:space="preserve">, N. (2015). Relations between human capital investments and business excellence in Croatian companies. International Journal of Social Education, Economics and Management </w:t>
      </w:r>
      <w:proofErr w:type="spellStart"/>
      <w:r w:rsidRPr="004C0CC0">
        <w:rPr>
          <w:sz w:val="24"/>
          <w:szCs w:val="24"/>
        </w:rPr>
        <w:t>Engenering</w:t>
      </w:r>
      <w:proofErr w:type="spellEnd"/>
      <w:r w:rsidRPr="004C0CC0">
        <w:rPr>
          <w:sz w:val="24"/>
          <w:szCs w:val="24"/>
        </w:rPr>
        <w:t>, 9(3), 745-750.</w:t>
      </w:r>
    </w:p>
    <w:p w:rsidR="00FF058F" w:rsidRDefault="00FF058F" w:rsidP="00AD28BC">
      <w:pPr>
        <w:pStyle w:val="References"/>
        <w:rPr>
          <w:sz w:val="24"/>
          <w:szCs w:val="24"/>
        </w:rPr>
      </w:pPr>
      <w:proofErr w:type="spellStart"/>
      <w:r>
        <w:rPr>
          <w:sz w:val="24"/>
          <w:szCs w:val="24"/>
        </w:rPr>
        <w:t>Tchanturia</w:t>
      </w:r>
      <w:proofErr w:type="spellEnd"/>
      <w:r>
        <w:rPr>
          <w:sz w:val="24"/>
          <w:szCs w:val="24"/>
        </w:rPr>
        <w:t xml:space="preserve">, N., </w:t>
      </w:r>
      <w:proofErr w:type="spellStart"/>
      <w:r>
        <w:rPr>
          <w:sz w:val="24"/>
          <w:szCs w:val="24"/>
        </w:rPr>
        <w:t>beridze</w:t>
      </w:r>
      <w:proofErr w:type="spellEnd"/>
      <w:r>
        <w:rPr>
          <w:sz w:val="24"/>
          <w:szCs w:val="24"/>
        </w:rPr>
        <w:t xml:space="preserve">, T. and </w:t>
      </w:r>
      <w:proofErr w:type="spellStart"/>
      <w:r>
        <w:rPr>
          <w:sz w:val="24"/>
          <w:szCs w:val="24"/>
        </w:rPr>
        <w:t>Kurashvili</w:t>
      </w:r>
      <w:proofErr w:type="spellEnd"/>
      <w:r>
        <w:rPr>
          <w:sz w:val="24"/>
          <w:szCs w:val="24"/>
        </w:rPr>
        <w:t xml:space="preserve">, G. (2015). Features of development of the human capital in Georgia. Procedia – </w:t>
      </w:r>
      <w:proofErr w:type="spellStart"/>
      <w:r>
        <w:rPr>
          <w:sz w:val="24"/>
          <w:szCs w:val="24"/>
        </w:rPr>
        <w:t>Socian</w:t>
      </w:r>
      <w:proofErr w:type="spellEnd"/>
      <w:r>
        <w:rPr>
          <w:sz w:val="24"/>
          <w:szCs w:val="24"/>
        </w:rPr>
        <w:t xml:space="preserve"> and Behavioral Sciences, 213, 580-585.</w:t>
      </w:r>
    </w:p>
    <w:p w:rsidR="00FF058F" w:rsidRDefault="00FF058F" w:rsidP="00AD28BC">
      <w:pPr>
        <w:pStyle w:val="References"/>
        <w:rPr>
          <w:sz w:val="24"/>
          <w:szCs w:val="24"/>
        </w:rPr>
      </w:pPr>
      <w:r>
        <w:rPr>
          <w:sz w:val="24"/>
          <w:szCs w:val="24"/>
        </w:rPr>
        <w:t>Williams, D. R. (2013). Human and financial capital as determinants of biopharmaceutical IPO de-listing. Journal of Business Research, 66, 2612-2618.</w:t>
      </w:r>
    </w:p>
    <w:p w:rsidR="00FF058F" w:rsidRPr="00755CC3" w:rsidRDefault="00FF058F" w:rsidP="00755CC3">
      <w:pPr>
        <w:pStyle w:val="References"/>
        <w:rPr>
          <w:sz w:val="24"/>
          <w:szCs w:val="24"/>
        </w:rPr>
      </w:pPr>
      <w:r w:rsidRPr="00755CC3">
        <w:rPr>
          <w:sz w:val="24"/>
          <w:szCs w:val="24"/>
        </w:rPr>
        <w:lastRenderedPageBreak/>
        <w:t>Wooldridge, J.M. (2002). Econometric Analysis of Cross Section and Panel Data. Cambridge: MIT.</w:t>
      </w:r>
    </w:p>
    <w:p w:rsidR="00B55E27" w:rsidRDefault="00B55E27" w:rsidP="00B55E27">
      <w:pPr>
        <w:pStyle w:val="References"/>
        <w:numPr>
          <w:ilvl w:val="0"/>
          <w:numId w:val="0"/>
        </w:numPr>
        <w:ind w:left="360"/>
        <w:rPr>
          <w:rFonts w:ascii="Calibri" w:hAnsi="Calibri"/>
          <w:sz w:val="18"/>
          <w:szCs w:val="18"/>
        </w:rPr>
      </w:pPr>
    </w:p>
    <w:p w:rsidR="001C3835" w:rsidRPr="001C29F5" w:rsidRDefault="001C3835" w:rsidP="001C3835">
      <w:pPr>
        <w:autoSpaceDE w:val="0"/>
        <w:autoSpaceDN w:val="0"/>
        <w:adjustRightInd w:val="0"/>
        <w:rPr>
          <w:sz w:val="22"/>
          <w:szCs w:val="22"/>
          <w:lang w:val="hr-HR" w:eastAsia="hr-HR"/>
        </w:rPr>
      </w:pPr>
    </w:p>
    <w:sectPr w:rsidR="001C3835" w:rsidRPr="001C29F5" w:rsidSect="003D1D07">
      <w:headerReference w:type="even" r:id="rId11"/>
      <w:headerReference w:type="default" r:id="rId12"/>
      <w:headerReference w:type="first" r:id="rId13"/>
      <w:footerReference w:type="first" r:id="rId1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42" w:rsidRDefault="000D7342">
      <w:r>
        <w:separator/>
      </w:r>
    </w:p>
  </w:endnote>
  <w:endnote w:type="continuationSeparator" w:id="0">
    <w:p w:rsidR="000D7342" w:rsidRDefault="000D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ronos Pro Semibold Ita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1C" w:rsidRPr="00FE7BC6" w:rsidRDefault="00526C1C" w:rsidP="006C0348">
    <w:pPr>
      <w:pStyle w:val="Footer"/>
      <w:ind w:right="360"/>
      <w:rPr>
        <w:sz w:val="18"/>
        <w:szCs w:val="18"/>
      </w:rPr>
    </w:pPr>
    <w:r w:rsidRPr="006C0348">
      <w:rPr>
        <w:sz w:val="18"/>
        <w:szCs w:val="18"/>
        <w:lang w:val="hr-HR" w:eastAsia="hr-HR"/>
      </w:rPr>
      <w:t>http://www.hdoi.hr/crorr-journal</w:t>
    </w:r>
    <w:r>
      <w:rPr>
        <w:sz w:val="18"/>
        <w:szCs w:val="18"/>
        <w:lang w:val="hr-HR" w:eastAsia="hr-HR"/>
      </w:rPr>
      <w:t xml:space="preserve">                                                                  </w:t>
    </w:r>
    <w:r w:rsidRPr="00FE7BC6">
      <w:rPr>
        <w:sz w:val="18"/>
        <w:szCs w:val="18"/>
        <w:lang w:val="hr-HR" w:eastAsia="hr-HR"/>
      </w:rPr>
      <w:t xml:space="preserve">©201x </w:t>
    </w:r>
    <w:proofErr w:type="spellStart"/>
    <w:r w:rsidRPr="00FE7BC6">
      <w:rPr>
        <w:sz w:val="18"/>
        <w:szCs w:val="18"/>
        <w:lang w:val="hr-HR" w:eastAsia="hr-HR"/>
      </w:rPr>
      <w:t>Croatian</w:t>
    </w:r>
    <w:proofErr w:type="spellEnd"/>
    <w:r w:rsidRPr="00FE7BC6">
      <w:rPr>
        <w:sz w:val="18"/>
        <w:szCs w:val="18"/>
        <w:lang w:val="hr-HR" w:eastAsia="hr-HR"/>
      </w:rPr>
      <w:t xml:space="preserve"> </w:t>
    </w:r>
    <w:proofErr w:type="spellStart"/>
    <w:r w:rsidRPr="00FE7BC6">
      <w:rPr>
        <w:sz w:val="18"/>
        <w:szCs w:val="18"/>
        <w:lang w:val="hr-HR" w:eastAsia="hr-HR"/>
      </w:rPr>
      <w:t>Operational</w:t>
    </w:r>
    <w:proofErr w:type="spellEnd"/>
    <w:r w:rsidRPr="00FE7BC6">
      <w:rPr>
        <w:sz w:val="18"/>
        <w:szCs w:val="18"/>
        <w:lang w:val="hr-HR" w:eastAsia="hr-HR"/>
      </w:rPr>
      <w:t xml:space="preserve"> </w:t>
    </w:r>
    <w:proofErr w:type="spellStart"/>
    <w:r w:rsidRPr="00FE7BC6">
      <w:rPr>
        <w:sz w:val="18"/>
        <w:szCs w:val="18"/>
        <w:lang w:val="hr-HR" w:eastAsia="hr-HR"/>
      </w:rPr>
      <w:t>Research</w:t>
    </w:r>
    <w:proofErr w:type="spellEnd"/>
    <w:r w:rsidRPr="00FE7BC6">
      <w:rPr>
        <w:sz w:val="18"/>
        <w:szCs w:val="18"/>
        <w:lang w:val="hr-HR" w:eastAsia="hr-HR"/>
      </w:rPr>
      <w:t xml:space="preserve"> </w:t>
    </w:r>
    <w:proofErr w:type="spellStart"/>
    <w:r w:rsidRPr="00FE7BC6">
      <w:rPr>
        <w:sz w:val="18"/>
        <w:szCs w:val="18"/>
        <w:lang w:val="hr-HR" w:eastAsia="hr-HR"/>
      </w:rPr>
      <w:t>Society</w:t>
    </w:r>
    <w:proofErr w:type="spellEnd"/>
  </w:p>
  <w:p w:rsidR="00526C1C" w:rsidRDefault="0052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42" w:rsidRDefault="000D7342">
      <w:r>
        <w:separator/>
      </w:r>
    </w:p>
  </w:footnote>
  <w:footnote w:type="continuationSeparator" w:id="0">
    <w:p w:rsidR="000D7342" w:rsidRDefault="000D7342">
      <w:r>
        <w:continuationSeparator/>
      </w:r>
    </w:p>
  </w:footnote>
  <w:footnote w:id="1">
    <w:p w:rsidR="00A12454" w:rsidRDefault="00A12454" w:rsidP="00A12454">
      <w:pPr>
        <w:pStyle w:val="FootnoteText"/>
      </w:pPr>
      <w:r>
        <w:rPr>
          <w:rStyle w:val="FootnoteReference"/>
        </w:rPr>
        <w:footnoteRef/>
      </w:r>
      <w:r>
        <w:t xml:space="preserve"> </w:t>
      </w:r>
      <w:proofErr w:type="spellStart"/>
      <w:r>
        <w:rPr>
          <w:lang w:val="hr-HR"/>
        </w:rPr>
        <w:t>Corresponding</w:t>
      </w:r>
      <w:proofErr w:type="spellEnd"/>
      <w:r>
        <w:rPr>
          <w:lang w:val="hr-HR"/>
        </w:rPr>
        <w:t xml:space="preserve"> </w:t>
      </w:r>
      <w:proofErr w:type="spellStart"/>
      <w:r>
        <w:rPr>
          <w:lang w:val="hr-HR"/>
        </w:rPr>
        <w:t>author</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54" w:rsidRDefault="00A12454" w:rsidP="00A12454">
    <w:pPr>
      <w:tabs>
        <w:tab w:val="center" w:pos="4536"/>
        <w:tab w:val="right" w:pos="9072"/>
      </w:tabs>
      <w:jc w:val="center"/>
    </w:pPr>
    <w:proofErr w:type="spellStart"/>
    <w:r w:rsidRPr="00A12454">
      <w:rPr>
        <w:sz w:val="18"/>
        <w:szCs w:val="18"/>
      </w:rPr>
      <w:t>Snježana</w:t>
    </w:r>
    <w:proofErr w:type="spellEnd"/>
    <w:r w:rsidRPr="00A12454">
      <w:rPr>
        <w:sz w:val="18"/>
        <w:szCs w:val="18"/>
      </w:rPr>
      <w:t xml:space="preserve"> </w:t>
    </w:r>
    <w:proofErr w:type="spellStart"/>
    <w:r w:rsidRPr="00A12454">
      <w:rPr>
        <w:sz w:val="18"/>
        <w:szCs w:val="18"/>
      </w:rPr>
      <w:t>Pivac</w:t>
    </w:r>
    <w:proofErr w:type="spellEnd"/>
    <w:r w:rsidRPr="00A12454">
      <w:rPr>
        <w:sz w:val="18"/>
        <w:szCs w:val="18"/>
      </w:rPr>
      <w:t xml:space="preserve">, </w:t>
    </w:r>
    <w:proofErr w:type="spellStart"/>
    <w:r w:rsidRPr="00A12454">
      <w:rPr>
        <w:sz w:val="18"/>
        <w:szCs w:val="18"/>
      </w:rPr>
      <w:t>Željana</w:t>
    </w:r>
    <w:proofErr w:type="spellEnd"/>
    <w:r w:rsidRPr="00A12454">
      <w:rPr>
        <w:sz w:val="18"/>
        <w:szCs w:val="18"/>
      </w:rPr>
      <w:t xml:space="preserve"> </w:t>
    </w:r>
    <w:proofErr w:type="spellStart"/>
    <w:r w:rsidRPr="00A12454">
      <w:rPr>
        <w:sz w:val="18"/>
        <w:szCs w:val="18"/>
      </w:rPr>
      <w:t>Aljinović</w:t>
    </w:r>
    <w:proofErr w:type="spellEnd"/>
    <w:r w:rsidRPr="00A12454">
      <w:rPr>
        <w:sz w:val="18"/>
        <w:szCs w:val="18"/>
      </w:rPr>
      <w:t xml:space="preserve"> </w:t>
    </w:r>
    <w:proofErr w:type="spellStart"/>
    <w:r w:rsidRPr="00A12454">
      <w:rPr>
        <w:sz w:val="18"/>
        <w:szCs w:val="18"/>
      </w:rPr>
      <w:t>Barać</w:t>
    </w:r>
    <w:proofErr w:type="spellEnd"/>
    <w:r w:rsidRPr="00A12454">
      <w:rPr>
        <w:sz w:val="18"/>
        <w:szCs w:val="18"/>
      </w:rPr>
      <w:t xml:space="preserve"> and Ivana </w:t>
    </w:r>
    <w:proofErr w:type="spellStart"/>
    <w:r w:rsidRPr="00A12454">
      <w:rPr>
        <w:sz w:val="18"/>
        <w:szCs w:val="18"/>
      </w:rPr>
      <w:t>Tadić</w:t>
    </w:r>
    <w:proofErr w:type="spellEnd"/>
  </w:p>
  <w:p w:rsidR="00526C1C" w:rsidRPr="005273B2" w:rsidRDefault="00D11416" w:rsidP="005273B2">
    <w:pPr>
      <w:pStyle w:val="Header"/>
      <w:rPr>
        <w:noProof/>
      </w:rPr>
    </w:pPr>
    <w:r>
      <w:fldChar w:fldCharType="begin"/>
    </w:r>
    <w:r w:rsidR="00526C1C">
      <w:instrText xml:space="preserve"> PAGE   \* MERGEFORMAT </w:instrText>
    </w:r>
    <w:r>
      <w:fldChar w:fldCharType="separate"/>
    </w:r>
    <w:r w:rsidR="004D40BA">
      <w:rPr>
        <w:noProof/>
      </w:rPr>
      <w:t>2</w:t>
    </w:r>
    <w:r>
      <w:rPr>
        <w:noProof/>
      </w:rPr>
      <w:fldChar w:fldCharType="end"/>
    </w:r>
  </w:p>
  <w:p w:rsidR="00526C1C" w:rsidRDefault="00526C1C" w:rsidP="00527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1C" w:rsidRPr="00C10707" w:rsidRDefault="00526C1C" w:rsidP="003D1D07">
    <w:pPr>
      <w:pStyle w:val="Header"/>
      <w:jc w:val="center"/>
      <w:rPr>
        <w:sz w:val="18"/>
        <w:szCs w:val="18"/>
      </w:rPr>
    </w:pPr>
    <w:r w:rsidRPr="00C10707">
      <w:rPr>
        <w:b/>
        <w:bCs/>
        <w:sz w:val="18"/>
        <w:szCs w:val="18"/>
        <w:lang w:val="en-GB"/>
      </w:rPr>
      <w:t>Analysis of Human Capital Investments, Profitability Ratios and Company’s Features in EU</w:t>
    </w:r>
  </w:p>
  <w:p w:rsidR="00526C1C" w:rsidRPr="005273B2" w:rsidRDefault="00D11416" w:rsidP="006C0348">
    <w:pPr>
      <w:pStyle w:val="Header"/>
      <w:jc w:val="right"/>
    </w:pPr>
    <w:r>
      <w:fldChar w:fldCharType="begin"/>
    </w:r>
    <w:r w:rsidR="00526C1C">
      <w:instrText xml:space="preserve"> PAGE   \* MERGEFORMAT </w:instrText>
    </w:r>
    <w:r>
      <w:fldChar w:fldCharType="separate"/>
    </w:r>
    <w:r w:rsidR="004D40BA">
      <w:rPr>
        <w:noProof/>
      </w:rPr>
      <w:t>5</w:t>
    </w:r>
    <w:r>
      <w:rPr>
        <w:noProof/>
      </w:rPr>
      <w:fldChar w:fldCharType="end"/>
    </w:r>
  </w:p>
  <w:p w:rsidR="00526C1C" w:rsidRDefault="00526C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1C" w:rsidRPr="0041497A" w:rsidRDefault="00526C1C" w:rsidP="006C0348">
    <w:pPr>
      <w:pStyle w:val="Header"/>
      <w:rPr>
        <w:sz w:val="20"/>
        <w:szCs w:val="20"/>
      </w:rPr>
    </w:pPr>
    <w:r w:rsidRPr="0041497A">
      <w:rPr>
        <w:sz w:val="20"/>
        <w:szCs w:val="20"/>
      </w:rPr>
      <w:t>Croatian Operational Research Review</w:t>
    </w:r>
  </w:p>
  <w:p w:rsidR="00526C1C" w:rsidRPr="0041497A" w:rsidRDefault="00526C1C" w:rsidP="006C0348">
    <w:pPr>
      <w:pStyle w:val="Header"/>
      <w:rPr>
        <w:sz w:val="20"/>
        <w:szCs w:val="20"/>
      </w:rPr>
    </w:pPr>
    <w:r w:rsidRPr="0041497A">
      <w:rPr>
        <w:sz w:val="20"/>
        <w:szCs w:val="20"/>
      </w:rPr>
      <w:t>CRORR x (201x)</w:t>
    </w:r>
    <w:r>
      <w:rPr>
        <w:sz w:val="20"/>
        <w:szCs w:val="20"/>
      </w:rPr>
      <w:t>, 1-5</w:t>
    </w:r>
  </w:p>
  <w:p w:rsidR="00526C1C" w:rsidRDefault="0052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F46"/>
    <w:multiLevelType w:val="multilevel"/>
    <w:tmpl w:val="2B188482"/>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2033"/>
        </w:tabs>
        <w:ind w:left="2033" w:hanging="600"/>
      </w:pPr>
      <w:rPr>
        <w:rFonts w:hint="default"/>
      </w:rPr>
    </w:lvl>
    <w:lvl w:ilvl="2">
      <w:start w:val="1"/>
      <w:numFmt w:val="decimal"/>
      <w:lvlText w:val="%1.%2.%3."/>
      <w:lvlJc w:val="left"/>
      <w:pPr>
        <w:tabs>
          <w:tab w:val="num" w:pos="3586"/>
        </w:tabs>
        <w:ind w:left="3586" w:hanging="720"/>
      </w:pPr>
      <w:rPr>
        <w:rFonts w:hint="default"/>
      </w:rPr>
    </w:lvl>
    <w:lvl w:ilvl="3">
      <w:start w:val="1"/>
      <w:numFmt w:val="decimal"/>
      <w:lvlText w:val="%1.%2.%3.%4."/>
      <w:lvlJc w:val="left"/>
      <w:pPr>
        <w:tabs>
          <w:tab w:val="num" w:pos="5019"/>
        </w:tabs>
        <w:ind w:left="5019" w:hanging="720"/>
      </w:pPr>
      <w:rPr>
        <w:rFonts w:hint="default"/>
      </w:rPr>
    </w:lvl>
    <w:lvl w:ilvl="4">
      <w:start w:val="1"/>
      <w:numFmt w:val="decimal"/>
      <w:lvlText w:val="%1.%2.%3.%4.%5."/>
      <w:lvlJc w:val="left"/>
      <w:pPr>
        <w:tabs>
          <w:tab w:val="num" w:pos="6812"/>
        </w:tabs>
        <w:ind w:left="6812" w:hanging="1080"/>
      </w:pPr>
      <w:rPr>
        <w:rFonts w:hint="default"/>
      </w:rPr>
    </w:lvl>
    <w:lvl w:ilvl="5">
      <w:start w:val="1"/>
      <w:numFmt w:val="decimal"/>
      <w:lvlText w:val="%1.%2.%3.%4.%5.%6."/>
      <w:lvlJc w:val="left"/>
      <w:pPr>
        <w:tabs>
          <w:tab w:val="num" w:pos="8245"/>
        </w:tabs>
        <w:ind w:left="8245" w:hanging="1080"/>
      </w:pPr>
      <w:rPr>
        <w:rFonts w:hint="default"/>
      </w:rPr>
    </w:lvl>
    <w:lvl w:ilvl="6">
      <w:start w:val="1"/>
      <w:numFmt w:val="decimal"/>
      <w:lvlText w:val="%1.%2.%3.%4.%5.%6.%7."/>
      <w:lvlJc w:val="left"/>
      <w:pPr>
        <w:tabs>
          <w:tab w:val="num" w:pos="10038"/>
        </w:tabs>
        <w:ind w:left="10038" w:hanging="1440"/>
      </w:pPr>
      <w:rPr>
        <w:rFonts w:hint="default"/>
      </w:rPr>
    </w:lvl>
    <w:lvl w:ilvl="7">
      <w:start w:val="1"/>
      <w:numFmt w:val="decimal"/>
      <w:lvlText w:val="%1.%2.%3.%4.%5.%6.%7.%8."/>
      <w:lvlJc w:val="left"/>
      <w:pPr>
        <w:tabs>
          <w:tab w:val="num" w:pos="11471"/>
        </w:tabs>
        <w:ind w:left="11471" w:hanging="1440"/>
      </w:pPr>
      <w:rPr>
        <w:rFonts w:hint="default"/>
      </w:rPr>
    </w:lvl>
    <w:lvl w:ilvl="8">
      <w:start w:val="1"/>
      <w:numFmt w:val="decimal"/>
      <w:lvlText w:val="%1.%2.%3.%4.%5.%6.%7.%8.%9."/>
      <w:lvlJc w:val="left"/>
      <w:pPr>
        <w:tabs>
          <w:tab w:val="num" w:pos="13264"/>
        </w:tabs>
        <w:ind w:left="13264" w:hanging="1800"/>
      </w:pPr>
      <w:rPr>
        <w:rFonts w:hint="default"/>
      </w:rPr>
    </w:lvl>
  </w:abstractNum>
  <w:abstractNum w:abstractNumId="1">
    <w:nsid w:val="04BD666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081E201E"/>
    <w:multiLevelType w:val="multilevel"/>
    <w:tmpl w:val="A0705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3F3365"/>
    <w:multiLevelType w:val="multilevel"/>
    <w:tmpl w:val="A0705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05082D"/>
    <w:multiLevelType w:val="multilevel"/>
    <w:tmpl w:val="95EE5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244D99"/>
    <w:multiLevelType w:val="hybridMultilevel"/>
    <w:tmpl w:val="887ECC98"/>
    <w:lvl w:ilvl="0" w:tplc="CEF0586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1E097357"/>
    <w:multiLevelType w:val="hybridMultilevel"/>
    <w:tmpl w:val="087847E8"/>
    <w:lvl w:ilvl="0" w:tplc="04090001">
      <w:start w:val="1"/>
      <w:numFmt w:val="bullet"/>
      <w:lvlText w:val=""/>
      <w:lvlJc w:val="left"/>
      <w:pPr>
        <w:tabs>
          <w:tab w:val="num" w:pos="720"/>
        </w:tabs>
        <w:ind w:left="720" w:hanging="360"/>
      </w:pPr>
      <w:rPr>
        <w:rFonts w:ascii="Symbol" w:hAnsi="Symbol" w:cs="Symbol" w:hint="default"/>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E2C4422"/>
    <w:multiLevelType w:val="hybridMultilevel"/>
    <w:tmpl w:val="AC2808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7800C66"/>
    <w:multiLevelType w:val="multilevel"/>
    <w:tmpl w:val="A0705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9DE746A"/>
    <w:multiLevelType w:val="multilevel"/>
    <w:tmpl w:val="A0705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D067AE5"/>
    <w:multiLevelType w:val="hybridMultilevel"/>
    <w:tmpl w:val="EA3C957E"/>
    <w:lvl w:ilvl="0" w:tplc="6D140102">
      <w:start w:val="1"/>
      <w:numFmt w:val="bullet"/>
      <w:lvlText w:val=""/>
      <w:lvlJc w:val="left"/>
      <w:pPr>
        <w:tabs>
          <w:tab w:val="num" w:pos="720"/>
        </w:tabs>
        <w:ind w:left="720" w:hanging="360"/>
      </w:pPr>
      <w:rPr>
        <w:rFonts w:ascii="Wingdings" w:hAnsi="Wingdings" w:hint="default"/>
      </w:rPr>
    </w:lvl>
    <w:lvl w:ilvl="1" w:tplc="FC6EBFEA">
      <w:start w:val="1"/>
      <w:numFmt w:val="bullet"/>
      <w:lvlText w:val=""/>
      <w:lvlJc w:val="left"/>
      <w:pPr>
        <w:tabs>
          <w:tab w:val="num" w:pos="1440"/>
        </w:tabs>
        <w:ind w:left="1440" w:hanging="360"/>
      </w:pPr>
      <w:rPr>
        <w:rFonts w:ascii="Wingdings" w:hAnsi="Wingdings" w:hint="default"/>
      </w:rPr>
    </w:lvl>
    <w:lvl w:ilvl="2" w:tplc="22C66640" w:tentative="1">
      <w:start w:val="1"/>
      <w:numFmt w:val="bullet"/>
      <w:lvlText w:val=""/>
      <w:lvlJc w:val="left"/>
      <w:pPr>
        <w:tabs>
          <w:tab w:val="num" w:pos="2160"/>
        </w:tabs>
        <w:ind w:left="2160" w:hanging="360"/>
      </w:pPr>
      <w:rPr>
        <w:rFonts w:ascii="Wingdings" w:hAnsi="Wingdings" w:hint="default"/>
      </w:rPr>
    </w:lvl>
    <w:lvl w:ilvl="3" w:tplc="21949124" w:tentative="1">
      <w:start w:val="1"/>
      <w:numFmt w:val="bullet"/>
      <w:lvlText w:val=""/>
      <w:lvlJc w:val="left"/>
      <w:pPr>
        <w:tabs>
          <w:tab w:val="num" w:pos="2880"/>
        </w:tabs>
        <w:ind w:left="2880" w:hanging="360"/>
      </w:pPr>
      <w:rPr>
        <w:rFonts w:ascii="Wingdings" w:hAnsi="Wingdings" w:hint="default"/>
      </w:rPr>
    </w:lvl>
    <w:lvl w:ilvl="4" w:tplc="BF76C4F8" w:tentative="1">
      <w:start w:val="1"/>
      <w:numFmt w:val="bullet"/>
      <w:lvlText w:val=""/>
      <w:lvlJc w:val="left"/>
      <w:pPr>
        <w:tabs>
          <w:tab w:val="num" w:pos="3600"/>
        </w:tabs>
        <w:ind w:left="3600" w:hanging="360"/>
      </w:pPr>
      <w:rPr>
        <w:rFonts w:ascii="Wingdings" w:hAnsi="Wingdings" w:hint="default"/>
      </w:rPr>
    </w:lvl>
    <w:lvl w:ilvl="5" w:tplc="E514C5BC" w:tentative="1">
      <w:start w:val="1"/>
      <w:numFmt w:val="bullet"/>
      <w:lvlText w:val=""/>
      <w:lvlJc w:val="left"/>
      <w:pPr>
        <w:tabs>
          <w:tab w:val="num" w:pos="4320"/>
        </w:tabs>
        <w:ind w:left="4320" w:hanging="360"/>
      </w:pPr>
      <w:rPr>
        <w:rFonts w:ascii="Wingdings" w:hAnsi="Wingdings" w:hint="default"/>
      </w:rPr>
    </w:lvl>
    <w:lvl w:ilvl="6" w:tplc="78BAD520" w:tentative="1">
      <w:start w:val="1"/>
      <w:numFmt w:val="bullet"/>
      <w:lvlText w:val=""/>
      <w:lvlJc w:val="left"/>
      <w:pPr>
        <w:tabs>
          <w:tab w:val="num" w:pos="5040"/>
        </w:tabs>
        <w:ind w:left="5040" w:hanging="360"/>
      </w:pPr>
      <w:rPr>
        <w:rFonts w:ascii="Wingdings" w:hAnsi="Wingdings" w:hint="default"/>
      </w:rPr>
    </w:lvl>
    <w:lvl w:ilvl="7" w:tplc="A6F0E8C2" w:tentative="1">
      <w:start w:val="1"/>
      <w:numFmt w:val="bullet"/>
      <w:lvlText w:val=""/>
      <w:lvlJc w:val="left"/>
      <w:pPr>
        <w:tabs>
          <w:tab w:val="num" w:pos="5760"/>
        </w:tabs>
        <w:ind w:left="5760" w:hanging="360"/>
      </w:pPr>
      <w:rPr>
        <w:rFonts w:ascii="Wingdings" w:hAnsi="Wingdings" w:hint="default"/>
      </w:rPr>
    </w:lvl>
    <w:lvl w:ilvl="8" w:tplc="EF54FC70" w:tentative="1">
      <w:start w:val="1"/>
      <w:numFmt w:val="bullet"/>
      <w:lvlText w:val=""/>
      <w:lvlJc w:val="left"/>
      <w:pPr>
        <w:tabs>
          <w:tab w:val="num" w:pos="6480"/>
        </w:tabs>
        <w:ind w:left="6480" w:hanging="360"/>
      </w:pPr>
      <w:rPr>
        <w:rFonts w:ascii="Wingdings" w:hAnsi="Wingdings" w:hint="default"/>
      </w:rPr>
    </w:lvl>
  </w:abstractNum>
  <w:abstractNum w:abstractNumId="11">
    <w:nsid w:val="2EA538D3"/>
    <w:multiLevelType w:val="multilevel"/>
    <w:tmpl w:val="A0705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31971A6"/>
    <w:multiLevelType w:val="hybridMultilevel"/>
    <w:tmpl w:val="57060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6FC1197"/>
    <w:multiLevelType w:val="hybridMultilevel"/>
    <w:tmpl w:val="77AC81D8"/>
    <w:lvl w:ilvl="0" w:tplc="B5203324">
      <w:start w:val="759"/>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5">
    <w:nsid w:val="3C6F29AE"/>
    <w:multiLevelType w:val="hybridMultilevel"/>
    <w:tmpl w:val="460A7D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F845E7B"/>
    <w:multiLevelType w:val="multilevel"/>
    <w:tmpl w:val="A0705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7B17CA"/>
    <w:multiLevelType w:val="hybridMultilevel"/>
    <w:tmpl w:val="4F6AE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47B72F8"/>
    <w:multiLevelType w:val="hybridMultilevel"/>
    <w:tmpl w:val="7436D0F2"/>
    <w:lvl w:ilvl="0" w:tplc="B3AA0684">
      <w:start w:val="776"/>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6212FAB"/>
    <w:multiLevelType w:val="hybridMultilevel"/>
    <w:tmpl w:val="D84C7F5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nsid w:val="47C17BAB"/>
    <w:multiLevelType w:val="multilevel"/>
    <w:tmpl w:val="2C8C742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262388E"/>
    <w:multiLevelType w:val="hybridMultilevel"/>
    <w:tmpl w:val="1E4CA294"/>
    <w:lvl w:ilvl="0" w:tplc="794A7E20">
      <w:start w:val="1"/>
      <w:numFmt w:val="decimal"/>
      <w:lvlText w:val="[%1]"/>
      <w:lvlJc w:val="left"/>
      <w:pPr>
        <w:ind w:left="1287"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5084DF7"/>
    <w:multiLevelType w:val="multilevel"/>
    <w:tmpl w:val="6AC2ED8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82F447B"/>
    <w:multiLevelType w:val="multilevel"/>
    <w:tmpl w:val="EA5ED04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8347F5D"/>
    <w:multiLevelType w:val="hybridMultilevel"/>
    <w:tmpl w:val="F3185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0E621CC"/>
    <w:multiLevelType w:val="multilevel"/>
    <w:tmpl w:val="A0705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2F7693F"/>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63F5010E"/>
    <w:multiLevelType w:val="hybridMultilevel"/>
    <w:tmpl w:val="632037CE"/>
    <w:lvl w:ilvl="0" w:tplc="22A6A870">
      <w:start w:val="87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B2111E0"/>
    <w:multiLevelType w:val="hybridMultilevel"/>
    <w:tmpl w:val="E0BC3C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D937E2C"/>
    <w:multiLevelType w:val="hybridMultilevel"/>
    <w:tmpl w:val="892CC9DC"/>
    <w:lvl w:ilvl="0" w:tplc="22DE19E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nsid w:val="712E4C2E"/>
    <w:multiLevelType w:val="multilevel"/>
    <w:tmpl w:val="529240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3"/>
  </w:num>
  <w:num w:numId="3">
    <w:abstractNumId w:val="27"/>
  </w:num>
  <w:num w:numId="4">
    <w:abstractNumId w:val="17"/>
  </w:num>
  <w:num w:numId="5">
    <w:abstractNumId w:val="19"/>
  </w:num>
  <w:num w:numId="6">
    <w:abstractNumId w:val="26"/>
  </w:num>
  <w:num w:numId="7">
    <w:abstractNumId w:val="1"/>
  </w:num>
  <w:num w:numId="8">
    <w:abstractNumId w:val="6"/>
  </w:num>
  <w:num w:numId="9">
    <w:abstractNumId w:val="23"/>
  </w:num>
  <w:num w:numId="10">
    <w:abstractNumId w:val="20"/>
  </w:num>
  <w:num w:numId="11">
    <w:abstractNumId w:val="22"/>
  </w:num>
  <w:num w:numId="12">
    <w:abstractNumId w:val="0"/>
  </w:num>
  <w:num w:numId="13">
    <w:abstractNumId w:val="30"/>
  </w:num>
  <w:num w:numId="14">
    <w:abstractNumId w:val="4"/>
  </w:num>
  <w:num w:numId="15">
    <w:abstractNumId w:val="24"/>
  </w:num>
  <w:num w:numId="16">
    <w:abstractNumId w:val="5"/>
  </w:num>
  <w:num w:numId="17">
    <w:abstractNumId w:val="29"/>
  </w:num>
  <w:num w:numId="18">
    <w:abstractNumId w:val="21"/>
  </w:num>
  <w:num w:numId="19">
    <w:abstractNumId w:val="10"/>
  </w:num>
  <w:num w:numId="20">
    <w:abstractNumId w:val="2"/>
  </w:num>
  <w:num w:numId="21">
    <w:abstractNumId w:val="12"/>
  </w:num>
  <w:num w:numId="22">
    <w:abstractNumId w:val="15"/>
  </w:num>
  <w:num w:numId="23">
    <w:abstractNumId w:val="7"/>
  </w:num>
  <w:num w:numId="24">
    <w:abstractNumId w:val="14"/>
  </w:num>
  <w:num w:numId="25">
    <w:abstractNumId w:val="28"/>
  </w:num>
  <w:num w:numId="26">
    <w:abstractNumId w:val="16"/>
  </w:num>
  <w:num w:numId="27">
    <w:abstractNumId w:val="8"/>
  </w:num>
  <w:num w:numId="28">
    <w:abstractNumId w:val="3"/>
  </w:num>
  <w:num w:numId="29">
    <w:abstractNumId w:val="9"/>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F2"/>
    <w:rsid w:val="000051C0"/>
    <w:rsid w:val="00007028"/>
    <w:rsid w:val="0002185E"/>
    <w:rsid w:val="00021AFE"/>
    <w:rsid w:val="000263D8"/>
    <w:rsid w:val="00026580"/>
    <w:rsid w:val="00036595"/>
    <w:rsid w:val="00047156"/>
    <w:rsid w:val="00052110"/>
    <w:rsid w:val="0006121A"/>
    <w:rsid w:val="00062711"/>
    <w:rsid w:val="000632EE"/>
    <w:rsid w:val="000701F6"/>
    <w:rsid w:val="00071AAD"/>
    <w:rsid w:val="000903A5"/>
    <w:rsid w:val="00097B78"/>
    <w:rsid w:val="000A16FB"/>
    <w:rsid w:val="000B439D"/>
    <w:rsid w:val="000D0EFB"/>
    <w:rsid w:val="000D7342"/>
    <w:rsid w:val="000E6B16"/>
    <w:rsid w:val="000F10B5"/>
    <w:rsid w:val="000F2267"/>
    <w:rsid w:val="001009D4"/>
    <w:rsid w:val="00104A49"/>
    <w:rsid w:val="00117960"/>
    <w:rsid w:val="001200C9"/>
    <w:rsid w:val="00133048"/>
    <w:rsid w:val="00133FC5"/>
    <w:rsid w:val="00140A1A"/>
    <w:rsid w:val="00152EEF"/>
    <w:rsid w:val="00160F52"/>
    <w:rsid w:val="001725B7"/>
    <w:rsid w:val="001760F5"/>
    <w:rsid w:val="001768D1"/>
    <w:rsid w:val="00177084"/>
    <w:rsid w:val="001832F1"/>
    <w:rsid w:val="001B648E"/>
    <w:rsid w:val="001B65F5"/>
    <w:rsid w:val="001B699A"/>
    <w:rsid w:val="001C0862"/>
    <w:rsid w:val="001C29F5"/>
    <w:rsid w:val="001C3835"/>
    <w:rsid w:val="001C3A5B"/>
    <w:rsid w:val="001D08B6"/>
    <w:rsid w:val="001F1D2E"/>
    <w:rsid w:val="001F4FAB"/>
    <w:rsid w:val="001F7AD3"/>
    <w:rsid w:val="00207B40"/>
    <w:rsid w:val="002108D3"/>
    <w:rsid w:val="00232A3D"/>
    <w:rsid w:val="0025251F"/>
    <w:rsid w:val="0028304A"/>
    <w:rsid w:val="002B2CEF"/>
    <w:rsid w:val="002C3CDC"/>
    <w:rsid w:val="002E17C2"/>
    <w:rsid w:val="002E1F00"/>
    <w:rsid w:val="002F7B41"/>
    <w:rsid w:val="00301CC1"/>
    <w:rsid w:val="00302D2C"/>
    <w:rsid w:val="00305ACA"/>
    <w:rsid w:val="00305EE6"/>
    <w:rsid w:val="003146B3"/>
    <w:rsid w:val="00326B2A"/>
    <w:rsid w:val="00326DD5"/>
    <w:rsid w:val="00342D4B"/>
    <w:rsid w:val="003469DF"/>
    <w:rsid w:val="00353105"/>
    <w:rsid w:val="0035639A"/>
    <w:rsid w:val="0036041D"/>
    <w:rsid w:val="0036629B"/>
    <w:rsid w:val="00376558"/>
    <w:rsid w:val="00381ECA"/>
    <w:rsid w:val="0038720D"/>
    <w:rsid w:val="003A175C"/>
    <w:rsid w:val="003A26A9"/>
    <w:rsid w:val="003A6B79"/>
    <w:rsid w:val="003B3E01"/>
    <w:rsid w:val="003B704F"/>
    <w:rsid w:val="003D0D04"/>
    <w:rsid w:val="003D1D07"/>
    <w:rsid w:val="003F4159"/>
    <w:rsid w:val="003F5A5A"/>
    <w:rsid w:val="004040FA"/>
    <w:rsid w:val="00404688"/>
    <w:rsid w:val="0040697B"/>
    <w:rsid w:val="00407164"/>
    <w:rsid w:val="0041497A"/>
    <w:rsid w:val="00417288"/>
    <w:rsid w:val="00426F53"/>
    <w:rsid w:val="00427BD9"/>
    <w:rsid w:val="0043076C"/>
    <w:rsid w:val="00433D96"/>
    <w:rsid w:val="00456132"/>
    <w:rsid w:val="00463D04"/>
    <w:rsid w:val="004916D0"/>
    <w:rsid w:val="00492C95"/>
    <w:rsid w:val="0049318A"/>
    <w:rsid w:val="004A1772"/>
    <w:rsid w:val="004A3E69"/>
    <w:rsid w:val="004A6629"/>
    <w:rsid w:val="004C0CC0"/>
    <w:rsid w:val="004D08DF"/>
    <w:rsid w:val="004D13F8"/>
    <w:rsid w:val="004D378D"/>
    <w:rsid w:val="004D40BA"/>
    <w:rsid w:val="004E4383"/>
    <w:rsid w:val="004E6DC3"/>
    <w:rsid w:val="0050479B"/>
    <w:rsid w:val="0051072B"/>
    <w:rsid w:val="00514F80"/>
    <w:rsid w:val="00522AD6"/>
    <w:rsid w:val="00526C1C"/>
    <w:rsid w:val="005273B2"/>
    <w:rsid w:val="00530228"/>
    <w:rsid w:val="005324E2"/>
    <w:rsid w:val="0055655A"/>
    <w:rsid w:val="00574CB6"/>
    <w:rsid w:val="00581BFC"/>
    <w:rsid w:val="00583090"/>
    <w:rsid w:val="00586EB1"/>
    <w:rsid w:val="0059524A"/>
    <w:rsid w:val="00597BC6"/>
    <w:rsid w:val="005A0B17"/>
    <w:rsid w:val="005A196D"/>
    <w:rsid w:val="005A3D2F"/>
    <w:rsid w:val="005A7974"/>
    <w:rsid w:val="005B4F6F"/>
    <w:rsid w:val="005D26A0"/>
    <w:rsid w:val="005D5E95"/>
    <w:rsid w:val="005D6B80"/>
    <w:rsid w:val="005F4316"/>
    <w:rsid w:val="006150DD"/>
    <w:rsid w:val="00617446"/>
    <w:rsid w:val="0062034B"/>
    <w:rsid w:val="00623455"/>
    <w:rsid w:val="00626270"/>
    <w:rsid w:val="00641C5E"/>
    <w:rsid w:val="00647354"/>
    <w:rsid w:val="0064778B"/>
    <w:rsid w:val="00647D48"/>
    <w:rsid w:val="00652EE8"/>
    <w:rsid w:val="006706F0"/>
    <w:rsid w:val="00685554"/>
    <w:rsid w:val="00696F04"/>
    <w:rsid w:val="006A1580"/>
    <w:rsid w:val="006C00E3"/>
    <w:rsid w:val="006C0348"/>
    <w:rsid w:val="006C7310"/>
    <w:rsid w:val="006D00FC"/>
    <w:rsid w:val="006D5421"/>
    <w:rsid w:val="006D6858"/>
    <w:rsid w:val="006E35E3"/>
    <w:rsid w:val="006E76CC"/>
    <w:rsid w:val="006F03ED"/>
    <w:rsid w:val="00701520"/>
    <w:rsid w:val="0070225C"/>
    <w:rsid w:val="007066CC"/>
    <w:rsid w:val="00716344"/>
    <w:rsid w:val="00735D97"/>
    <w:rsid w:val="00746042"/>
    <w:rsid w:val="0074701B"/>
    <w:rsid w:val="00755CC3"/>
    <w:rsid w:val="007600C0"/>
    <w:rsid w:val="0076669B"/>
    <w:rsid w:val="0077172D"/>
    <w:rsid w:val="007768BF"/>
    <w:rsid w:val="007809A9"/>
    <w:rsid w:val="00781D00"/>
    <w:rsid w:val="00786867"/>
    <w:rsid w:val="00794810"/>
    <w:rsid w:val="00795EE5"/>
    <w:rsid w:val="00796187"/>
    <w:rsid w:val="007A7C19"/>
    <w:rsid w:val="007A7E4C"/>
    <w:rsid w:val="007B0937"/>
    <w:rsid w:val="007B77AC"/>
    <w:rsid w:val="007C33B3"/>
    <w:rsid w:val="007C4B15"/>
    <w:rsid w:val="007E350D"/>
    <w:rsid w:val="007E6F2B"/>
    <w:rsid w:val="008031CD"/>
    <w:rsid w:val="00803DE1"/>
    <w:rsid w:val="00805853"/>
    <w:rsid w:val="00812460"/>
    <w:rsid w:val="00814258"/>
    <w:rsid w:val="008206EC"/>
    <w:rsid w:val="00822728"/>
    <w:rsid w:val="008309D1"/>
    <w:rsid w:val="008460EB"/>
    <w:rsid w:val="008511BB"/>
    <w:rsid w:val="00852B3E"/>
    <w:rsid w:val="00860E43"/>
    <w:rsid w:val="00865527"/>
    <w:rsid w:val="008773E0"/>
    <w:rsid w:val="008835E7"/>
    <w:rsid w:val="00883B31"/>
    <w:rsid w:val="00886570"/>
    <w:rsid w:val="008A3DE9"/>
    <w:rsid w:val="008B6847"/>
    <w:rsid w:val="008C576E"/>
    <w:rsid w:val="008D329E"/>
    <w:rsid w:val="008D44C7"/>
    <w:rsid w:val="008D5998"/>
    <w:rsid w:val="008E3E76"/>
    <w:rsid w:val="008E7597"/>
    <w:rsid w:val="008F2F9E"/>
    <w:rsid w:val="008F497D"/>
    <w:rsid w:val="00910581"/>
    <w:rsid w:val="0092656E"/>
    <w:rsid w:val="00936D30"/>
    <w:rsid w:val="00937B73"/>
    <w:rsid w:val="00943AE8"/>
    <w:rsid w:val="00956477"/>
    <w:rsid w:val="009615B3"/>
    <w:rsid w:val="009619BD"/>
    <w:rsid w:val="009731B2"/>
    <w:rsid w:val="009731C4"/>
    <w:rsid w:val="00994E32"/>
    <w:rsid w:val="009A0017"/>
    <w:rsid w:val="009B49D8"/>
    <w:rsid w:val="009D62F9"/>
    <w:rsid w:val="009E0310"/>
    <w:rsid w:val="009E486B"/>
    <w:rsid w:val="009F4648"/>
    <w:rsid w:val="00A06222"/>
    <w:rsid w:val="00A11AD8"/>
    <w:rsid w:val="00A12454"/>
    <w:rsid w:val="00A145F7"/>
    <w:rsid w:val="00A249DE"/>
    <w:rsid w:val="00A30568"/>
    <w:rsid w:val="00A32383"/>
    <w:rsid w:val="00A40607"/>
    <w:rsid w:val="00A45AF9"/>
    <w:rsid w:val="00A54542"/>
    <w:rsid w:val="00A551A4"/>
    <w:rsid w:val="00A5639F"/>
    <w:rsid w:val="00A658D3"/>
    <w:rsid w:val="00A706F8"/>
    <w:rsid w:val="00A74BDB"/>
    <w:rsid w:val="00A8451B"/>
    <w:rsid w:val="00A93999"/>
    <w:rsid w:val="00AA0EFE"/>
    <w:rsid w:val="00AA113E"/>
    <w:rsid w:val="00AA1619"/>
    <w:rsid w:val="00AA447F"/>
    <w:rsid w:val="00AC56C6"/>
    <w:rsid w:val="00AC5FAB"/>
    <w:rsid w:val="00AD28BC"/>
    <w:rsid w:val="00AF74BE"/>
    <w:rsid w:val="00B04322"/>
    <w:rsid w:val="00B11BE2"/>
    <w:rsid w:val="00B1752C"/>
    <w:rsid w:val="00B1759E"/>
    <w:rsid w:val="00B262F3"/>
    <w:rsid w:val="00B31735"/>
    <w:rsid w:val="00B53EE4"/>
    <w:rsid w:val="00B55E27"/>
    <w:rsid w:val="00B678E0"/>
    <w:rsid w:val="00B7772A"/>
    <w:rsid w:val="00B87C00"/>
    <w:rsid w:val="00BA1705"/>
    <w:rsid w:val="00BB37F9"/>
    <w:rsid w:val="00BB7D27"/>
    <w:rsid w:val="00BC099D"/>
    <w:rsid w:val="00BC23BA"/>
    <w:rsid w:val="00BD1B60"/>
    <w:rsid w:val="00BD7DCE"/>
    <w:rsid w:val="00BE5310"/>
    <w:rsid w:val="00BF1B4D"/>
    <w:rsid w:val="00C03EC9"/>
    <w:rsid w:val="00C10707"/>
    <w:rsid w:val="00C12664"/>
    <w:rsid w:val="00C30B19"/>
    <w:rsid w:val="00C41F06"/>
    <w:rsid w:val="00C46F7E"/>
    <w:rsid w:val="00C519AB"/>
    <w:rsid w:val="00C5328C"/>
    <w:rsid w:val="00C535A9"/>
    <w:rsid w:val="00C54879"/>
    <w:rsid w:val="00C618CB"/>
    <w:rsid w:val="00C72995"/>
    <w:rsid w:val="00C73DDE"/>
    <w:rsid w:val="00C8116A"/>
    <w:rsid w:val="00C81192"/>
    <w:rsid w:val="00C866A5"/>
    <w:rsid w:val="00C86C28"/>
    <w:rsid w:val="00C956C2"/>
    <w:rsid w:val="00C95C31"/>
    <w:rsid w:val="00C974B7"/>
    <w:rsid w:val="00CA263E"/>
    <w:rsid w:val="00CA2BD2"/>
    <w:rsid w:val="00CB6015"/>
    <w:rsid w:val="00CC3B8D"/>
    <w:rsid w:val="00CE052C"/>
    <w:rsid w:val="00CE096B"/>
    <w:rsid w:val="00CE6038"/>
    <w:rsid w:val="00CE7DE1"/>
    <w:rsid w:val="00CF482C"/>
    <w:rsid w:val="00D01CA5"/>
    <w:rsid w:val="00D11416"/>
    <w:rsid w:val="00D15055"/>
    <w:rsid w:val="00D5211A"/>
    <w:rsid w:val="00D63E47"/>
    <w:rsid w:val="00D65D03"/>
    <w:rsid w:val="00D65E8F"/>
    <w:rsid w:val="00D661BF"/>
    <w:rsid w:val="00D70600"/>
    <w:rsid w:val="00D720AD"/>
    <w:rsid w:val="00D91EAF"/>
    <w:rsid w:val="00D96FFA"/>
    <w:rsid w:val="00DA6EBF"/>
    <w:rsid w:val="00DA773E"/>
    <w:rsid w:val="00DB11E5"/>
    <w:rsid w:val="00DB19D9"/>
    <w:rsid w:val="00DC1C9B"/>
    <w:rsid w:val="00DC6489"/>
    <w:rsid w:val="00DD5E6E"/>
    <w:rsid w:val="00DD7395"/>
    <w:rsid w:val="00DD74D6"/>
    <w:rsid w:val="00DD7852"/>
    <w:rsid w:val="00DE6945"/>
    <w:rsid w:val="00E17FC4"/>
    <w:rsid w:val="00E239E7"/>
    <w:rsid w:val="00E23AB8"/>
    <w:rsid w:val="00E30844"/>
    <w:rsid w:val="00E40730"/>
    <w:rsid w:val="00E5221F"/>
    <w:rsid w:val="00E56B89"/>
    <w:rsid w:val="00E64F65"/>
    <w:rsid w:val="00E708F2"/>
    <w:rsid w:val="00E74BCD"/>
    <w:rsid w:val="00E81478"/>
    <w:rsid w:val="00E956A1"/>
    <w:rsid w:val="00EA0B9F"/>
    <w:rsid w:val="00EB6806"/>
    <w:rsid w:val="00EB6915"/>
    <w:rsid w:val="00EB6F70"/>
    <w:rsid w:val="00EC316C"/>
    <w:rsid w:val="00EC518A"/>
    <w:rsid w:val="00EC72F0"/>
    <w:rsid w:val="00EC736E"/>
    <w:rsid w:val="00EE4580"/>
    <w:rsid w:val="00EF45AB"/>
    <w:rsid w:val="00EF5637"/>
    <w:rsid w:val="00F03075"/>
    <w:rsid w:val="00F036F0"/>
    <w:rsid w:val="00F22601"/>
    <w:rsid w:val="00F3090E"/>
    <w:rsid w:val="00F31AA0"/>
    <w:rsid w:val="00F3255B"/>
    <w:rsid w:val="00F35D31"/>
    <w:rsid w:val="00F3671F"/>
    <w:rsid w:val="00F4102B"/>
    <w:rsid w:val="00F509AC"/>
    <w:rsid w:val="00F53439"/>
    <w:rsid w:val="00F53449"/>
    <w:rsid w:val="00F537F1"/>
    <w:rsid w:val="00F552B6"/>
    <w:rsid w:val="00F60E6F"/>
    <w:rsid w:val="00F64451"/>
    <w:rsid w:val="00F659CF"/>
    <w:rsid w:val="00F75167"/>
    <w:rsid w:val="00F7697E"/>
    <w:rsid w:val="00F80859"/>
    <w:rsid w:val="00F820E7"/>
    <w:rsid w:val="00F91BC0"/>
    <w:rsid w:val="00FC1780"/>
    <w:rsid w:val="00FC2D64"/>
    <w:rsid w:val="00FD2C42"/>
    <w:rsid w:val="00FE21BE"/>
    <w:rsid w:val="00FE7BC6"/>
    <w:rsid w:val="00FF05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EE6"/>
    <w:rPr>
      <w:sz w:val="24"/>
      <w:szCs w:val="24"/>
      <w:lang w:val="en-US" w:eastAsia="en-US"/>
    </w:rPr>
  </w:style>
  <w:style w:type="paragraph" w:styleId="Heading1">
    <w:name w:val="heading 1"/>
    <w:basedOn w:val="Normal"/>
    <w:next w:val="Normal"/>
    <w:link w:val="Heading1Char"/>
    <w:uiPriority w:val="99"/>
    <w:qFormat/>
    <w:rsid w:val="00305EE6"/>
    <w:pPr>
      <w:keepNext/>
      <w:jc w:val="center"/>
      <w:outlineLvl w:val="0"/>
    </w:pPr>
    <w:rPr>
      <w:b/>
      <w:bCs/>
      <w:lang w:val="en-GB"/>
    </w:rPr>
  </w:style>
  <w:style w:type="paragraph" w:styleId="Heading2">
    <w:name w:val="heading 2"/>
    <w:basedOn w:val="Normal"/>
    <w:next w:val="Normal"/>
    <w:qFormat/>
    <w:rsid w:val="00305EE6"/>
    <w:pPr>
      <w:keepNext/>
      <w:outlineLvl w:val="1"/>
    </w:pPr>
    <w:rPr>
      <w:b/>
      <w:bCs/>
      <w:lang w:val="en-GB"/>
    </w:rPr>
  </w:style>
  <w:style w:type="paragraph" w:styleId="Heading3">
    <w:name w:val="heading 3"/>
    <w:basedOn w:val="Normal"/>
    <w:next w:val="Normal"/>
    <w:qFormat/>
    <w:rsid w:val="00305EE6"/>
    <w:pPr>
      <w:keepNext/>
      <w:spacing w:before="240"/>
      <w:outlineLvl w:val="2"/>
    </w:pPr>
    <w:rPr>
      <w:rFonts w:cs="Arial"/>
      <w:b/>
      <w:bCs/>
      <w:szCs w:val="26"/>
    </w:rPr>
  </w:style>
  <w:style w:type="paragraph" w:styleId="Heading4">
    <w:name w:val="heading 4"/>
    <w:basedOn w:val="Normal"/>
    <w:next w:val="Normal"/>
    <w:qFormat/>
    <w:rsid w:val="00353105"/>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5EE6"/>
    <w:rPr>
      <w:vertAlign w:val="superscript"/>
    </w:rPr>
  </w:style>
  <w:style w:type="character" w:styleId="Hyperlink">
    <w:name w:val="Hyperlink"/>
    <w:rsid w:val="00305EE6"/>
    <w:rPr>
      <w:color w:val="0000FF"/>
      <w:u w:val="single"/>
    </w:rPr>
  </w:style>
  <w:style w:type="paragraph" w:styleId="FootnoteText">
    <w:name w:val="footnote text"/>
    <w:basedOn w:val="Normal"/>
    <w:link w:val="FootnoteTextChar"/>
    <w:uiPriority w:val="99"/>
    <w:semiHidden/>
    <w:rsid w:val="00305EE6"/>
    <w:rPr>
      <w:sz w:val="20"/>
      <w:szCs w:val="20"/>
    </w:rPr>
  </w:style>
  <w:style w:type="character" w:styleId="PageNumber">
    <w:name w:val="page number"/>
    <w:basedOn w:val="DefaultParagraphFont"/>
    <w:rsid w:val="00305EE6"/>
  </w:style>
  <w:style w:type="paragraph" w:styleId="Footer">
    <w:name w:val="footer"/>
    <w:basedOn w:val="Normal"/>
    <w:rsid w:val="00305EE6"/>
    <w:pPr>
      <w:tabs>
        <w:tab w:val="center" w:pos="4536"/>
        <w:tab w:val="right" w:pos="9072"/>
      </w:tabs>
    </w:pPr>
  </w:style>
  <w:style w:type="paragraph" w:styleId="BodyText">
    <w:name w:val="Body Text"/>
    <w:basedOn w:val="Normal"/>
    <w:rsid w:val="00305EE6"/>
    <w:pPr>
      <w:jc w:val="center"/>
    </w:pPr>
    <w:rPr>
      <w:b/>
      <w:sz w:val="28"/>
      <w:lang w:val="en-GB"/>
    </w:rPr>
  </w:style>
  <w:style w:type="paragraph" w:styleId="Header">
    <w:name w:val="header"/>
    <w:basedOn w:val="Normal"/>
    <w:link w:val="HeaderChar"/>
    <w:uiPriority w:val="99"/>
    <w:rsid w:val="00305EE6"/>
    <w:pPr>
      <w:tabs>
        <w:tab w:val="center" w:pos="4536"/>
        <w:tab w:val="right" w:pos="9072"/>
      </w:tabs>
    </w:pPr>
  </w:style>
  <w:style w:type="paragraph" w:styleId="BodyTextIndent">
    <w:name w:val="Body Text Indent"/>
    <w:basedOn w:val="Normal"/>
    <w:rsid w:val="00305EE6"/>
    <w:pPr>
      <w:ind w:left="540" w:hanging="540"/>
    </w:pPr>
    <w:rPr>
      <w:lang w:val="en-GB"/>
    </w:rPr>
  </w:style>
  <w:style w:type="character" w:styleId="FollowedHyperlink">
    <w:name w:val="FollowedHyperlink"/>
    <w:rsid w:val="00305EE6"/>
    <w:rPr>
      <w:color w:val="800080"/>
      <w:u w:val="single"/>
    </w:rPr>
  </w:style>
  <w:style w:type="character" w:styleId="Emphasis">
    <w:name w:val="Emphasis"/>
    <w:uiPriority w:val="20"/>
    <w:qFormat/>
    <w:rsid w:val="00353105"/>
    <w:rPr>
      <w:i/>
      <w:iCs/>
    </w:rPr>
  </w:style>
  <w:style w:type="character" w:customStyle="1" w:styleId="HeaderChar">
    <w:name w:val="Header Char"/>
    <w:link w:val="Header"/>
    <w:uiPriority w:val="99"/>
    <w:rsid w:val="006F03ED"/>
    <w:rPr>
      <w:sz w:val="24"/>
      <w:szCs w:val="24"/>
      <w:lang w:val="en-US" w:eastAsia="en-US"/>
    </w:rPr>
  </w:style>
  <w:style w:type="paragraph" w:styleId="BalloonText">
    <w:name w:val="Balloon Text"/>
    <w:basedOn w:val="Normal"/>
    <w:link w:val="BalloonTextChar"/>
    <w:rsid w:val="006F03ED"/>
    <w:rPr>
      <w:rFonts w:ascii="Tahoma" w:hAnsi="Tahoma" w:cs="Tahoma"/>
      <w:sz w:val="16"/>
      <w:szCs w:val="16"/>
    </w:rPr>
  </w:style>
  <w:style w:type="character" w:customStyle="1" w:styleId="BalloonTextChar">
    <w:name w:val="Balloon Text Char"/>
    <w:link w:val="BalloonText"/>
    <w:rsid w:val="006F03ED"/>
    <w:rPr>
      <w:rFonts w:ascii="Tahoma" w:hAnsi="Tahoma" w:cs="Tahoma"/>
      <w:sz w:val="16"/>
      <w:szCs w:val="16"/>
      <w:lang w:val="en-US" w:eastAsia="en-US"/>
    </w:rPr>
  </w:style>
  <w:style w:type="table" w:styleId="TableGrid">
    <w:name w:val="Table Grid"/>
    <w:basedOn w:val="TableNormal"/>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ListParagraph">
    <w:name w:val="List Paragraph"/>
    <w:basedOn w:val="Normal"/>
    <w:uiPriority w:val="99"/>
    <w:qFormat/>
    <w:rsid w:val="0076669B"/>
    <w:pPr>
      <w:ind w:left="708"/>
    </w:pPr>
  </w:style>
  <w:style w:type="character" w:styleId="Strong">
    <w:name w:val="Strong"/>
    <w:uiPriority w:val="22"/>
    <w:qFormat/>
    <w:rsid w:val="005D26A0"/>
    <w:rPr>
      <w:b/>
      <w:bCs/>
    </w:rPr>
  </w:style>
  <w:style w:type="paragraph" w:customStyle="1" w:styleId="Tableheading">
    <w:name w:val="Table heading"/>
    <w:basedOn w:val="Normal"/>
    <w:autoRedefine/>
    <w:uiPriority w:val="99"/>
    <w:rsid w:val="00302D2C"/>
    <w:rPr>
      <w:rFonts w:ascii="Cronos Pro Semibold Italic" w:eastAsia="Calibri" w:hAnsi="Cronos Pro Semibold Italic"/>
      <w:sz w:val="18"/>
      <w:szCs w:val="22"/>
      <w:lang w:eastAsia="sl-SI"/>
    </w:rPr>
  </w:style>
  <w:style w:type="paragraph" w:customStyle="1" w:styleId="Tabletext">
    <w:name w:val="Table text"/>
    <w:autoRedefine/>
    <w:uiPriority w:val="99"/>
    <w:rsid w:val="00B7772A"/>
    <w:pPr>
      <w:jc w:val="center"/>
    </w:pPr>
    <w:rPr>
      <w:rFonts w:eastAsia="Calibri"/>
      <w:sz w:val="16"/>
      <w:szCs w:val="16"/>
      <w:lang w:val="en-US" w:eastAsia="sl-SI"/>
    </w:rPr>
  </w:style>
  <w:style w:type="paragraph" w:styleId="NormalWeb">
    <w:name w:val="Normal (Web)"/>
    <w:basedOn w:val="Normal"/>
    <w:uiPriority w:val="99"/>
    <w:unhideWhenUsed/>
    <w:rsid w:val="00B7772A"/>
    <w:pPr>
      <w:spacing w:before="100" w:beforeAutospacing="1" w:after="100" w:afterAutospacing="1"/>
    </w:pPr>
    <w:rPr>
      <w:rFonts w:eastAsiaTheme="minorEastAsia"/>
      <w:lang w:val="hr-HR" w:eastAsia="hr-HR"/>
    </w:rPr>
  </w:style>
  <w:style w:type="character" w:customStyle="1" w:styleId="Heading1Char">
    <w:name w:val="Heading 1 Char"/>
    <w:basedOn w:val="DefaultParagraphFont"/>
    <w:link w:val="Heading1"/>
    <w:uiPriority w:val="99"/>
    <w:rsid w:val="001F4FAB"/>
    <w:rPr>
      <w:b/>
      <w:bCs/>
      <w:sz w:val="24"/>
      <w:szCs w:val="24"/>
      <w:lang w:val="en-GB" w:eastAsia="en-US"/>
    </w:rPr>
  </w:style>
  <w:style w:type="character" w:styleId="CommentReference">
    <w:name w:val="annotation reference"/>
    <w:basedOn w:val="DefaultParagraphFont"/>
    <w:rsid w:val="0064778B"/>
    <w:rPr>
      <w:sz w:val="16"/>
      <w:szCs w:val="16"/>
    </w:rPr>
  </w:style>
  <w:style w:type="paragraph" w:styleId="CommentText">
    <w:name w:val="annotation text"/>
    <w:basedOn w:val="Normal"/>
    <w:link w:val="CommentTextChar"/>
    <w:rsid w:val="0064778B"/>
    <w:rPr>
      <w:sz w:val="20"/>
      <w:szCs w:val="20"/>
    </w:rPr>
  </w:style>
  <w:style w:type="character" w:customStyle="1" w:styleId="CommentTextChar">
    <w:name w:val="Comment Text Char"/>
    <w:basedOn w:val="DefaultParagraphFont"/>
    <w:link w:val="CommentText"/>
    <w:rsid w:val="0064778B"/>
    <w:rPr>
      <w:lang w:val="en-US" w:eastAsia="en-US"/>
    </w:rPr>
  </w:style>
  <w:style w:type="paragraph" w:styleId="CommentSubject">
    <w:name w:val="annotation subject"/>
    <w:basedOn w:val="CommentText"/>
    <w:next w:val="CommentText"/>
    <w:link w:val="CommentSubjectChar"/>
    <w:rsid w:val="0064778B"/>
    <w:rPr>
      <w:b/>
      <w:bCs/>
    </w:rPr>
  </w:style>
  <w:style w:type="character" w:customStyle="1" w:styleId="CommentSubjectChar">
    <w:name w:val="Comment Subject Char"/>
    <w:basedOn w:val="CommentTextChar"/>
    <w:link w:val="CommentSubject"/>
    <w:rsid w:val="0064778B"/>
    <w:rPr>
      <w:b/>
      <w:bCs/>
      <w:lang w:val="en-US" w:eastAsia="en-US"/>
    </w:rPr>
  </w:style>
  <w:style w:type="paragraph" w:customStyle="1" w:styleId="References">
    <w:name w:val="References"/>
    <w:basedOn w:val="Normal"/>
    <w:rsid w:val="00AD28BC"/>
    <w:pPr>
      <w:numPr>
        <w:numId w:val="24"/>
      </w:numPr>
      <w:autoSpaceDE w:val="0"/>
      <w:autoSpaceDN w:val="0"/>
      <w:jc w:val="both"/>
    </w:pPr>
    <w:rPr>
      <w:rFonts w:eastAsia="PMingLiU"/>
      <w:sz w:val="16"/>
      <w:szCs w:val="16"/>
    </w:rPr>
  </w:style>
  <w:style w:type="paragraph" w:customStyle="1" w:styleId="FigureCaption">
    <w:name w:val="Figure Caption"/>
    <w:basedOn w:val="Normal"/>
    <w:rsid w:val="00860E43"/>
    <w:pPr>
      <w:autoSpaceDE w:val="0"/>
      <w:autoSpaceDN w:val="0"/>
      <w:jc w:val="both"/>
    </w:pPr>
    <w:rPr>
      <w:rFonts w:eastAsia="PMingLiU"/>
      <w:sz w:val="16"/>
      <w:szCs w:val="16"/>
    </w:rPr>
  </w:style>
  <w:style w:type="character" w:customStyle="1" w:styleId="FootnoteTextChar">
    <w:name w:val="Footnote Text Char"/>
    <w:basedOn w:val="DefaultParagraphFont"/>
    <w:link w:val="FootnoteText"/>
    <w:uiPriority w:val="99"/>
    <w:semiHidden/>
    <w:rsid w:val="00A12454"/>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EE6"/>
    <w:rPr>
      <w:sz w:val="24"/>
      <w:szCs w:val="24"/>
      <w:lang w:val="en-US" w:eastAsia="en-US"/>
    </w:rPr>
  </w:style>
  <w:style w:type="paragraph" w:styleId="Heading1">
    <w:name w:val="heading 1"/>
    <w:basedOn w:val="Normal"/>
    <w:next w:val="Normal"/>
    <w:link w:val="Heading1Char"/>
    <w:uiPriority w:val="99"/>
    <w:qFormat/>
    <w:rsid w:val="00305EE6"/>
    <w:pPr>
      <w:keepNext/>
      <w:jc w:val="center"/>
      <w:outlineLvl w:val="0"/>
    </w:pPr>
    <w:rPr>
      <w:b/>
      <w:bCs/>
      <w:lang w:val="en-GB"/>
    </w:rPr>
  </w:style>
  <w:style w:type="paragraph" w:styleId="Heading2">
    <w:name w:val="heading 2"/>
    <w:basedOn w:val="Normal"/>
    <w:next w:val="Normal"/>
    <w:qFormat/>
    <w:rsid w:val="00305EE6"/>
    <w:pPr>
      <w:keepNext/>
      <w:outlineLvl w:val="1"/>
    </w:pPr>
    <w:rPr>
      <w:b/>
      <w:bCs/>
      <w:lang w:val="en-GB"/>
    </w:rPr>
  </w:style>
  <w:style w:type="paragraph" w:styleId="Heading3">
    <w:name w:val="heading 3"/>
    <w:basedOn w:val="Normal"/>
    <w:next w:val="Normal"/>
    <w:qFormat/>
    <w:rsid w:val="00305EE6"/>
    <w:pPr>
      <w:keepNext/>
      <w:spacing w:before="240"/>
      <w:outlineLvl w:val="2"/>
    </w:pPr>
    <w:rPr>
      <w:rFonts w:cs="Arial"/>
      <w:b/>
      <w:bCs/>
      <w:szCs w:val="26"/>
    </w:rPr>
  </w:style>
  <w:style w:type="paragraph" w:styleId="Heading4">
    <w:name w:val="heading 4"/>
    <w:basedOn w:val="Normal"/>
    <w:next w:val="Normal"/>
    <w:qFormat/>
    <w:rsid w:val="00353105"/>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5EE6"/>
    <w:rPr>
      <w:vertAlign w:val="superscript"/>
    </w:rPr>
  </w:style>
  <w:style w:type="character" w:styleId="Hyperlink">
    <w:name w:val="Hyperlink"/>
    <w:rsid w:val="00305EE6"/>
    <w:rPr>
      <w:color w:val="0000FF"/>
      <w:u w:val="single"/>
    </w:rPr>
  </w:style>
  <w:style w:type="paragraph" w:styleId="FootnoteText">
    <w:name w:val="footnote text"/>
    <w:basedOn w:val="Normal"/>
    <w:link w:val="FootnoteTextChar"/>
    <w:uiPriority w:val="99"/>
    <w:semiHidden/>
    <w:rsid w:val="00305EE6"/>
    <w:rPr>
      <w:sz w:val="20"/>
      <w:szCs w:val="20"/>
    </w:rPr>
  </w:style>
  <w:style w:type="character" w:styleId="PageNumber">
    <w:name w:val="page number"/>
    <w:basedOn w:val="DefaultParagraphFont"/>
    <w:rsid w:val="00305EE6"/>
  </w:style>
  <w:style w:type="paragraph" w:styleId="Footer">
    <w:name w:val="footer"/>
    <w:basedOn w:val="Normal"/>
    <w:rsid w:val="00305EE6"/>
    <w:pPr>
      <w:tabs>
        <w:tab w:val="center" w:pos="4536"/>
        <w:tab w:val="right" w:pos="9072"/>
      </w:tabs>
    </w:pPr>
  </w:style>
  <w:style w:type="paragraph" w:styleId="BodyText">
    <w:name w:val="Body Text"/>
    <w:basedOn w:val="Normal"/>
    <w:rsid w:val="00305EE6"/>
    <w:pPr>
      <w:jc w:val="center"/>
    </w:pPr>
    <w:rPr>
      <w:b/>
      <w:sz w:val="28"/>
      <w:lang w:val="en-GB"/>
    </w:rPr>
  </w:style>
  <w:style w:type="paragraph" w:styleId="Header">
    <w:name w:val="header"/>
    <w:basedOn w:val="Normal"/>
    <w:link w:val="HeaderChar"/>
    <w:uiPriority w:val="99"/>
    <w:rsid w:val="00305EE6"/>
    <w:pPr>
      <w:tabs>
        <w:tab w:val="center" w:pos="4536"/>
        <w:tab w:val="right" w:pos="9072"/>
      </w:tabs>
    </w:pPr>
  </w:style>
  <w:style w:type="paragraph" w:styleId="BodyTextIndent">
    <w:name w:val="Body Text Indent"/>
    <w:basedOn w:val="Normal"/>
    <w:rsid w:val="00305EE6"/>
    <w:pPr>
      <w:ind w:left="540" w:hanging="540"/>
    </w:pPr>
    <w:rPr>
      <w:lang w:val="en-GB"/>
    </w:rPr>
  </w:style>
  <w:style w:type="character" w:styleId="FollowedHyperlink">
    <w:name w:val="FollowedHyperlink"/>
    <w:rsid w:val="00305EE6"/>
    <w:rPr>
      <w:color w:val="800080"/>
      <w:u w:val="single"/>
    </w:rPr>
  </w:style>
  <w:style w:type="character" w:styleId="Emphasis">
    <w:name w:val="Emphasis"/>
    <w:uiPriority w:val="20"/>
    <w:qFormat/>
    <w:rsid w:val="00353105"/>
    <w:rPr>
      <w:i/>
      <w:iCs/>
    </w:rPr>
  </w:style>
  <w:style w:type="character" w:customStyle="1" w:styleId="HeaderChar">
    <w:name w:val="Header Char"/>
    <w:link w:val="Header"/>
    <w:uiPriority w:val="99"/>
    <w:rsid w:val="006F03ED"/>
    <w:rPr>
      <w:sz w:val="24"/>
      <w:szCs w:val="24"/>
      <w:lang w:val="en-US" w:eastAsia="en-US"/>
    </w:rPr>
  </w:style>
  <w:style w:type="paragraph" w:styleId="BalloonText">
    <w:name w:val="Balloon Text"/>
    <w:basedOn w:val="Normal"/>
    <w:link w:val="BalloonTextChar"/>
    <w:rsid w:val="006F03ED"/>
    <w:rPr>
      <w:rFonts w:ascii="Tahoma" w:hAnsi="Tahoma" w:cs="Tahoma"/>
      <w:sz w:val="16"/>
      <w:szCs w:val="16"/>
    </w:rPr>
  </w:style>
  <w:style w:type="character" w:customStyle="1" w:styleId="BalloonTextChar">
    <w:name w:val="Balloon Text Char"/>
    <w:link w:val="BalloonText"/>
    <w:rsid w:val="006F03ED"/>
    <w:rPr>
      <w:rFonts w:ascii="Tahoma" w:hAnsi="Tahoma" w:cs="Tahoma"/>
      <w:sz w:val="16"/>
      <w:szCs w:val="16"/>
      <w:lang w:val="en-US" w:eastAsia="en-US"/>
    </w:rPr>
  </w:style>
  <w:style w:type="table" w:styleId="TableGrid">
    <w:name w:val="Table Grid"/>
    <w:basedOn w:val="TableNormal"/>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ListParagraph">
    <w:name w:val="List Paragraph"/>
    <w:basedOn w:val="Normal"/>
    <w:uiPriority w:val="99"/>
    <w:qFormat/>
    <w:rsid w:val="0076669B"/>
    <w:pPr>
      <w:ind w:left="708"/>
    </w:pPr>
  </w:style>
  <w:style w:type="character" w:styleId="Strong">
    <w:name w:val="Strong"/>
    <w:uiPriority w:val="22"/>
    <w:qFormat/>
    <w:rsid w:val="005D26A0"/>
    <w:rPr>
      <w:b/>
      <w:bCs/>
    </w:rPr>
  </w:style>
  <w:style w:type="paragraph" w:customStyle="1" w:styleId="Tableheading">
    <w:name w:val="Table heading"/>
    <w:basedOn w:val="Normal"/>
    <w:autoRedefine/>
    <w:uiPriority w:val="99"/>
    <w:rsid w:val="00302D2C"/>
    <w:rPr>
      <w:rFonts w:ascii="Cronos Pro Semibold Italic" w:eastAsia="Calibri" w:hAnsi="Cronos Pro Semibold Italic"/>
      <w:sz w:val="18"/>
      <w:szCs w:val="22"/>
      <w:lang w:eastAsia="sl-SI"/>
    </w:rPr>
  </w:style>
  <w:style w:type="paragraph" w:customStyle="1" w:styleId="Tabletext">
    <w:name w:val="Table text"/>
    <w:autoRedefine/>
    <w:uiPriority w:val="99"/>
    <w:rsid w:val="00B7772A"/>
    <w:pPr>
      <w:jc w:val="center"/>
    </w:pPr>
    <w:rPr>
      <w:rFonts w:eastAsia="Calibri"/>
      <w:sz w:val="16"/>
      <w:szCs w:val="16"/>
      <w:lang w:val="en-US" w:eastAsia="sl-SI"/>
    </w:rPr>
  </w:style>
  <w:style w:type="paragraph" w:styleId="NormalWeb">
    <w:name w:val="Normal (Web)"/>
    <w:basedOn w:val="Normal"/>
    <w:uiPriority w:val="99"/>
    <w:unhideWhenUsed/>
    <w:rsid w:val="00B7772A"/>
    <w:pPr>
      <w:spacing w:before="100" w:beforeAutospacing="1" w:after="100" w:afterAutospacing="1"/>
    </w:pPr>
    <w:rPr>
      <w:rFonts w:eastAsiaTheme="minorEastAsia"/>
      <w:lang w:val="hr-HR" w:eastAsia="hr-HR"/>
    </w:rPr>
  </w:style>
  <w:style w:type="character" w:customStyle="1" w:styleId="Heading1Char">
    <w:name w:val="Heading 1 Char"/>
    <w:basedOn w:val="DefaultParagraphFont"/>
    <w:link w:val="Heading1"/>
    <w:uiPriority w:val="99"/>
    <w:rsid w:val="001F4FAB"/>
    <w:rPr>
      <w:b/>
      <w:bCs/>
      <w:sz w:val="24"/>
      <w:szCs w:val="24"/>
      <w:lang w:val="en-GB" w:eastAsia="en-US"/>
    </w:rPr>
  </w:style>
  <w:style w:type="character" w:styleId="CommentReference">
    <w:name w:val="annotation reference"/>
    <w:basedOn w:val="DefaultParagraphFont"/>
    <w:rsid w:val="0064778B"/>
    <w:rPr>
      <w:sz w:val="16"/>
      <w:szCs w:val="16"/>
    </w:rPr>
  </w:style>
  <w:style w:type="paragraph" w:styleId="CommentText">
    <w:name w:val="annotation text"/>
    <w:basedOn w:val="Normal"/>
    <w:link w:val="CommentTextChar"/>
    <w:rsid w:val="0064778B"/>
    <w:rPr>
      <w:sz w:val="20"/>
      <w:szCs w:val="20"/>
    </w:rPr>
  </w:style>
  <w:style w:type="character" w:customStyle="1" w:styleId="CommentTextChar">
    <w:name w:val="Comment Text Char"/>
    <w:basedOn w:val="DefaultParagraphFont"/>
    <w:link w:val="CommentText"/>
    <w:rsid w:val="0064778B"/>
    <w:rPr>
      <w:lang w:val="en-US" w:eastAsia="en-US"/>
    </w:rPr>
  </w:style>
  <w:style w:type="paragraph" w:styleId="CommentSubject">
    <w:name w:val="annotation subject"/>
    <w:basedOn w:val="CommentText"/>
    <w:next w:val="CommentText"/>
    <w:link w:val="CommentSubjectChar"/>
    <w:rsid w:val="0064778B"/>
    <w:rPr>
      <w:b/>
      <w:bCs/>
    </w:rPr>
  </w:style>
  <w:style w:type="character" w:customStyle="1" w:styleId="CommentSubjectChar">
    <w:name w:val="Comment Subject Char"/>
    <w:basedOn w:val="CommentTextChar"/>
    <w:link w:val="CommentSubject"/>
    <w:rsid w:val="0064778B"/>
    <w:rPr>
      <w:b/>
      <w:bCs/>
      <w:lang w:val="en-US" w:eastAsia="en-US"/>
    </w:rPr>
  </w:style>
  <w:style w:type="paragraph" w:customStyle="1" w:styleId="References">
    <w:name w:val="References"/>
    <w:basedOn w:val="Normal"/>
    <w:rsid w:val="00AD28BC"/>
    <w:pPr>
      <w:numPr>
        <w:numId w:val="24"/>
      </w:numPr>
      <w:autoSpaceDE w:val="0"/>
      <w:autoSpaceDN w:val="0"/>
      <w:jc w:val="both"/>
    </w:pPr>
    <w:rPr>
      <w:rFonts w:eastAsia="PMingLiU"/>
      <w:sz w:val="16"/>
      <w:szCs w:val="16"/>
    </w:rPr>
  </w:style>
  <w:style w:type="paragraph" w:customStyle="1" w:styleId="FigureCaption">
    <w:name w:val="Figure Caption"/>
    <w:basedOn w:val="Normal"/>
    <w:rsid w:val="00860E43"/>
    <w:pPr>
      <w:autoSpaceDE w:val="0"/>
      <w:autoSpaceDN w:val="0"/>
      <w:jc w:val="both"/>
    </w:pPr>
    <w:rPr>
      <w:rFonts w:eastAsia="PMingLiU"/>
      <w:sz w:val="16"/>
      <w:szCs w:val="16"/>
    </w:rPr>
  </w:style>
  <w:style w:type="character" w:customStyle="1" w:styleId="FootnoteTextChar">
    <w:name w:val="Footnote Text Char"/>
    <w:basedOn w:val="DefaultParagraphFont"/>
    <w:link w:val="FootnoteText"/>
    <w:uiPriority w:val="99"/>
    <w:semiHidden/>
    <w:rsid w:val="00A1245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2827">
      <w:bodyDiv w:val="1"/>
      <w:marLeft w:val="0"/>
      <w:marRight w:val="0"/>
      <w:marTop w:val="0"/>
      <w:marBottom w:val="0"/>
      <w:divBdr>
        <w:top w:val="none" w:sz="0" w:space="0" w:color="auto"/>
        <w:left w:val="none" w:sz="0" w:space="0" w:color="auto"/>
        <w:bottom w:val="none" w:sz="0" w:space="0" w:color="auto"/>
        <w:right w:val="none" w:sz="0" w:space="0" w:color="auto"/>
      </w:divBdr>
    </w:div>
    <w:div w:id="1083335915">
      <w:bodyDiv w:val="1"/>
      <w:marLeft w:val="150"/>
      <w:marRight w:val="150"/>
      <w:marTop w:val="75"/>
      <w:marBottom w:val="0"/>
      <w:divBdr>
        <w:top w:val="none" w:sz="0" w:space="0" w:color="auto"/>
        <w:left w:val="none" w:sz="0" w:space="0" w:color="auto"/>
        <w:bottom w:val="none" w:sz="0" w:space="0" w:color="auto"/>
        <w:right w:val="none" w:sz="0" w:space="0" w:color="auto"/>
      </w:divBdr>
      <w:divsChild>
        <w:div w:id="2107651212">
          <w:marLeft w:val="0"/>
          <w:marRight w:val="0"/>
          <w:marTop w:val="0"/>
          <w:marBottom w:val="0"/>
          <w:divBdr>
            <w:top w:val="none" w:sz="0" w:space="0" w:color="auto"/>
            <w:left w:val="none" w:sz="0" w:space="0" w:color="auto"/>
            <w:bottom w:val="none" w:sz="0" w:space="0" w:color="auto"/>
            <w:right w:val="none" w:sz="0" w:space="0" w:color="auto"/>
          </w:divBdr>
          <w:divsChild>
            <w:div w:id="606233847">
              <w:marLeft w:val="0"/>
              <w:marRight w:val="0"/>
              <w:marTop w:val="0"/>
              <w:marBottom w:val="0"/>
              <w:divBdr>
                <w:top w:val="none" w:sz="0" w:space="0" w:color="auto"/>
                <w:left w:val="none" w:sz="0" w:space="0" w:color="auto"/>
                <w:bottom w:val="none" w:sz="0" w:space="0" w:color="auto"/>
                <w:right w:val="none" w:sz="0" w:space="0" w:color="auto"/>
              </w:divBdr>
              <w:divsChild>
                <w:div w:id="21367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6512">
      <w:bodyDiv w:val="1"/>
      <w:marLeft w:val="0"/>
      <w:marRight w:val="0"/>
      <w:marTop w:val="0"/>
      <w:marBottom w:val="0"/>
      <w:divBdr>
        <w:top w:val="none" w:sz="0" w:space="0" w:color="auto"/>
        <w:left w:val="none" w:sz="0" w:space="0" w:color="auto"/>
        <w:bottom w:val="none" w:sz="0" w:space="0" w:color="auto"/>
        <w:right w:val="none" w:sz="0" w:space="0" w:color="auto"/>
      </w:divBdr>
    </w:div>
    <w:div w:id="1251700167">
      <w:bodyDiv w:val="1"/>
      <w:marLeft w:val="0"/>
      <w:marRight w:val="0"/>
      <w:marTop w:val="0"/>
      <w:marBottom w:val="0"/>
      <w:divBdr>
        <w:top w:val="none" w:sz="0" w:space="0" w:color="auto"/>
        <w:left w:val="none" w:sz="0" w:space="0" w:color="auto"/>
        <w:bottom w:val="none" w:sz="0" w:space="0" w:color="auto"/>
        <w:right w:val="none" w:sz="0" w:space="0" w:color="auto"/>
      </w:divBdr>
      <w:divsChild>
        <w:div w:id="1906792403">
          <w:marLeft w:val="2045"/>
          <w:marRight w:val="0"/>
          <w:marTop w:val="115"/>
          <w:marBottom w:val="0"/>
          <w:divBdr>
            <w:top w:val="none" w:sz="0" w:space="0" w:color="auto"/>
            <w:left w:val="none" w:sz="0" w:space="0" w:color="auto"/>
            <w:bottom w:val="none" w:sz="0" w:space="0" w:color="auto"/>
            <w:right w:val="none" w:sz="0" w:space="0" w:color="auto"/>
          </w:divBdr>
        </w:div>
      </w:divsChild>
    </w:div>
    <w:div w:id="20491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26DD1-2044-4BB9-8273-5509EC52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4693</Words>
  <Characters>27661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Prof</vt:lpstr>
    </vt:vector>
  </TitlesOfParts>
  <Company>efst</Company>
  <LinksUpToDate>false</LinksUpToDate>
  <CharactersWithSpaces>32290</CharactersWithSpaces>
  <SharedDoc>false</SharedDoc>
  <HLinks>
    <vt:vector size="6" baseType="variant">
      <vt:variant>
        <vt:i4>3145847</vt:i4>
      </vt:variant>
      <vt:variant>
        <vt:i4>6</vt:i4>
      </vt:variant>
      <vt:variant>
        <vt:i4>0</vt:i4>
      </vt:variant>
      <vt:variant>
        <vt:i4>5</vt:i4>
      </vt:variant>
      <vt:variant>
        <vt:lpwstr>http://www.nber.org/cycles.html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djelatnik</dc:creator>
  <cp:lastModifiedBy>Snježana Pivac</cp:lastModifiedBy>
  <cp:revision>5</cp:revision>
  <cp:lastPrinted>2016-09-30T10:45:00Z</cp:lastPrinted>
  <dcterms:created xsi:type="dcterms:W3CDTF">2017-03-20T09:55:00Z</dcterms:created>
  <dcterms:modified xsi:type="dcterms:W3CDTF">2017-03-20T10:51:00Z</dcterms:modified>
</cp:coreProperties>
</file>