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B71" w:rsidRDefault="006E2B71" w:rsidP="006E2B71">
      <w:r w:rsidRPr="00733CFB">
        <w:rPr>
          <w:lang w:val="en-US"/>
        </w:rPr>
        <w:t>Tab. 2</w:t>
      </w:r>
      <w:r w:rsidRPr="00733CFB">
        <w:t xml:space="preserve">: Mean values </w:t>
      </w:r>
      <w:r>
        <w:t>and standard d</w:t>
      </w:r>
      <w:r w:rsidRPr="00733CFB">
        <w:t xml:space="preserve">eviations (SD) for the five most frequently collected species and MIB values on the study sites in 2013 and 2014. </w:t>
      </w:r>
      <w:r>
        <w:t>Significance refers to comparisons between the respective samples using Mann-Whitney U-tests.</w:t>
      </w:r>
    </w:p>
    <w:p w:rsidR="006E2B71" w:rsidRPr="00E55F71" w:rsidRDefault="006E2B71" w:rsidP="006E2B71"/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371"/>
        <w:gridCol w:w="2303"/>
        <w:gridCol w:w="2303"/>
      </w:tblGrid>
      <w:tr w:rsidR="006E2B71" w:rsidRPr="006C5E1E" w:rsidTr="005E0B30">
        <w:tc>
          <w:tcPr>
            <w:tcW w:w="2235" w:type="dxa"/>
          </w:tcPr>
          <w:p w:rsidR="006E2B71" w:rsidRPr="006C5E1E" w:rsidRDefault="006E2B71" w:rsidP="005E0B30">
            <w:pPr>
              <w:rPr>
                <w:b/>
                <w:sz w:val="20"/>
                <w:szCs w:val="20"/>
              </w:rPr>
            </w:pPr>
            <w:r w:rsidRPr="006C5E1E">
              <w:rPr>
                <w:b/>
                <w:sz w:val="20"/>
                <w:szCs w:val="20"/>
              </w:rPr>
              <w:t>Species – year</w:t>
            </w:r>
          </w:p>
        </w:tc>
        <w:tc>
          <w:tcPr>
            <w:tcW w:w="2371" w:type="dxa"/>
          </w:tcPr>
          <w:p w:rsidR="006E2B71" w:rsidRPr="006C5E1E" w:rsidRDefault="006E2B71" w:rsidP="005E0B30">
            <w:pPr>
              <w:jc w:val="center"/>
              <w:rPr>
                <w:b/>
                <w:sz w:val="20"/>
                <w:szCs w:val="20"/>
              </w:rPr>
            </w:pPr>
            <w:r w:rsidRPr="006C5E1E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2303" w:type="dxa"/>
          </w:tcPr>
          <w:p w:rsidR="006E2B71" w:rsidRPr="006C5E1E" w:rsidRDefault="006E2B71" w:rsidP="005E0B30">
            <w:pPr>
              <w:jc w:val="center"/>
              <w:rPr>
                <w:b/>
                <w:sz w:val="20"/>
                <w:szCs w:val="20"/>
              </w:rPr>
            </w:pPr>
            <w:r w:rsidRPr="006C5E1E">
              <w:rPr>
                <w:b/>
                <w:sz w:val="20"/>
                <w:szCs w:val="20"/>
              </w:rPr>
              <w:t>Mean ± SD</w:t>
            </w:r>
          </w:p>
        </w:tc>
        <w:tc>
          <w:tcPr>
            <w:tcW w:w="2303" w:type="dxa"/>
          </w:tcPr>
          <w:p w:rsidR="006E2B71" w:rsidRPr="006C5E1E" w:rsidRDefault="006E2B71" w:rsidP="005E0B30">
            <w:pPr>
              <w:jc w:val="center"/>
              <w:rPr>
                <w:b/>
                <w:sz w:val="20"/>
                <w:szCs w:val="20"/>
              </w:rPr>
            </w:pPr>
            <w:r w:rsidRPr="006C5E1E">
              <w:rPr>
                <w:b/>
                <w:sz w:val="20"/>
                <w:szCs w:val="20"/>
              </w:rPr>
              <w:t xml:space="preserve">Significance </w:t>
            </w:r>
          </w:p>
        </w:tc>
      </w:tr>
      <w:tr w:rsidR="006E2B71" w:rsidRPr="006C5E1E" w:rsidTr="005E0B30">
        <w:tc>
          <w:tcPr>
            <w:tcW w:w="9212" w:type="dxa"/>
            <w:gridSpan w:val="4"/>
          </w:tcPr>
          <w:p w:rsidR="006E2B71" w:rsidRPr="006C5E1E" w:rsidRDefault="006E2B71" w:rsidP="005E0B30">
            <w:pPr>
              <w:jc w:val="center"/>
              <w:rPr>
                <w:b/>
                <w:sz w:val="20"/>
                <w:szCs w:val="20"/>
              </w:rPr>
            </w:pPr>
            <w:r w:rsidRPr="006C5E1E">
              <w:rPr>
                <w:b/>
                <w:sz w:val="20"/>
                <w:szCs w:val="20"/>
              </w:rPr>
              <w:t>Treatment sites</w:t>
            </w:r>
          </w:p>
        </w:tc>
      </w:tr>
      <w:tr w:rsidR="006E2B71" w:rsidRPr="006C5E1E" w:rsidTr="005E0B30">
        <w:tc>
          <w:tcPr>
            <w:tcW w:w="2235" w:type="dxa"/>
          </w:tcPr>
          <w:p w:rsidR="006E2B71" w:rsidRPr="006C5E1E" w:rsidRDefault="006E2B71" w:rsidP="005E0B30">
            <w:pPr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 xml:space="preserve">H. rufipes – 2013 </w:t>
            </w:r>
          </w:p>
        </w:tc>
        <w:tc>
          <w:tcPr>
            <w:tcW w:w="2371" w:type="dxa"/>
          </w:tcPr>
          <w:p w:rsidR="006E2B71" w:rsidRPr="006C5E1E" w:rsidRDefault="006E2B71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3</w:t>
            </w:r>
          </w:p>
        </w:tc>
        <w:tc>
          <w:tcPr>
            <w:tcW w:w="2303" w:type="dxa"/>
          </w:tcPr>
          <w:p w:rsidR="006E2B71" w:rsidRPr="006C5E1E" w:rsidRDefault="006E2B71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40.00 ± 9.54</w:t>
            </w:r>
          </w:p>
        </w:tc>
        <w:tc>
          <w:tcPr>
            <w:tcW w:w="2303" w:type="dxa"/>
            <w:vMerge w:val="restart"/>
            <w:vAlign w:val="center"/>
          </w:tcPr>
          <w:p w:rsidR="006E2B71" w:rsidRPr="006C5E1E" w:rsidRDefault="006E2B71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n.s.</w:t>
            </w:r>
          </w:p>
        </w:tc>
      </w:tr>
      <w:tr w:rsidR="006E2B71" w:rsidRPr="006C5E1E" w:rsidTr="005E0B30">
        <w:tc>
          <w:tcPr>
            <w:tcW w:w="2235" w:type="dxa"/>
          </w:tcPr>
          <w:p w:rsidR="006E2B71" w:rsidRPr="006C5E1E" w:rsidRDefault="006E2B71" w:rsidP="005E0B30">
            <w:pPr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 xml:space="preserve">H. rufipes – 2014 </w:t>
            </w:r>
          </w:p>
        </w:tc>
        <w:tc>
          <w:tcPr>
            <w:tcW w:w="2371" w:type="dxa"/>
          </w:tcPr>
          <w:p w:rsidR="006E2B71" w:rsidRPr="006C5E1E" w:rsidRDefault="006E2B71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3</w:t>
            </w:r>
          </w:p>
        </w:tc>
        <w:tc>
          <w:tcPr>
            <w:tcW w:w="2303" w:type="dxa"/>
          </w:tcPr>
          <w:p w:rsidR="006E2B71" w:rsidRPr="006C5E1E" w:rsidRDefault="006E2B71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23.33 ± 7.64</w:t>
            </w:r>
          </w:p>
        </w:tc>
        <w:tc>
          <w:tcPr>
            <w:tcW w:w="2303" w:type="dxa"/>
            <w:vMerge/>
          </w:tcPr>
          <w:p w:rsidR="006E2B71" w:rsidRPr="006C5E1E" w:rsidRDefault="006E2B71" w:rsidP="005E0B30">
            <w:pPr>
              <w:jc w:val="center"/>
              <w:rPr>
                <w:sz w:val="20"/>
                <w:szCs w:val="20"/>
              </w:rPr>
            </w:pPr>
          </w:p>
        </w:tc>
      </w:tr>
      <w:tr w:rsidR="006E2B71" w:rsidRPr="006C5E1E" w:rsidTr="005E0B30">
        <w:tc>
          <w:tcPr>
            <w:tcW w:w="2235" w:type="dxa"/>
          </w:tcPr>
          <w:p w:rsidR="006E2B71" w:rsidRPr="006C5E1E" w:rsidRDefault="006E2B71" w:rsidP="005E0B30">
            <w:pPr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 xml:space="preserve">H. tardus – 2013 </w:t>
            </w:r>
          </w:p>
        </w:tc>
        <w:tc>
          <w:tcPr>
            <w:tcW w:w="2371" w:type="dxa"/>
          </w:tcPr>
          <w:p w:rsidR="006E2B71" w:rsidRPr="006C5E1E" w:rsidRDefault="006E2B71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3</w:t>
            </w:r>
          </w:p>
        </w:tc>
        <w:tc>
          <w:tcPr>
            <w:tcW w:w="2303" w:type="dxa"/>
          </w:tcPr>
          <w:p w:rsidR="006E2B71" w:rsidRPr="006C5E1E" w:rsidRDefault="006E2B71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21.33 ± 24.38</w:t>
            </w:r>
          </w:p>
        </w:tc>
        <w:tc>
          <w:tcPr>
            <w:tcW w:w="2303" w:type="dxa"/>
            <w:vMerge w:val="restart"/>
            <w:vAlign w:val="center"/>
          </w:tcPr>
          <w:p w:rsidR="006E2B71" w:rsidRPr="006C5E1E" w:rsidRDefault="006E2B71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n.s.</w:t>
            </w:r>
          </w:p>
        </w:tc>
      </w:tr>
      <w:tr w:rsidR="006E2B71" w:rsidRPr="006C5E1E" w:rsidTr="005E0B30">
        <w:tc>
          <w:tcPr>
            <w:tcW w:w="2235" w:type="dxa"/>
          </w:tcPr>
          <w:p w:rsidR="006E2B71" w:rsidRPr="006C5E1E" w:rsidRDefault="006E2B71" w:rsidP="005E0B30">
            <w:pPr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 xml:space="preserve">H. tardus – 2014 </w:t>
            </w:r>
          </w:p>
        </w:tc>
        <w:tc>
          <w:tcPr>
            <w:tcW w:w="2371" w:type="dxa"/>
          </w:tcPr>
          <w:p w:rsidR="006E2B71" w:rsidRPr="006C5E1E" w:rsidRDefault="006E2B71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3</w:t>
            </w:r>
          </w:p>
        </w:tc>
        <w:tc>
          <w:tcPr>
            <w:tcW w:w="2303" w:type="dxa"/>
          </w:tcPr>
          <w:p w:rsidR="006E2B71" w:rsidRPr="006C5E1E" w:rsidRDefault="006E2B71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11.67 ± 8.14</w:t>
            </w:r>
          </w:p>
        </w:tc>
        <w:tc>
          <w:tcPr>
            <w:tcW w:w="2303" w:type="dxa"/>
            <w:vMerge/>
            <w:vAlign w:val="center"/>
          </w:tcPr>
          <w:p w:rsidR="006E2B71" w:rsidRPr="006C5E1E" w:rsidRDefault="006E2B71" w:rsidP="005E0B30">
            <w:pPr>
              <w:jc w:val="center"/>
              <w:rPr>
                <w:sz w:val="20"/>
                <w:szCs w:val="20"/>
              </w:rPr>
            </w:pPr>
          </w:p>
        </w:tc>
      </w:tr>
      <w:tr w:rsidR="006E2B71" w:rsidRPr="006C5E1E" w:rsidTr="005E0B30">
        <w:tc>
          <w:tcPr>
            <w:tcW w:w="2235" w:type="dxa"/>
          </w:tcPr>
          <w:p w:rsidR="006E2B71" w:rsidRPr="006C5E1E" w:rsidRDefault="006E2B71" w:rsidP="005E0B30">
            <w:pPr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 xml:space="preserve">H. rubripes – 2013 </w:t>
            </w:r>
          </w:p>
        </w:tc>
        <w:tc>
          <w:tcPr>
            <w:tcW w:w="2371" w:type="dxa"/>
          </w:tcPr>
          <w:p w:rsidR="006E2B71" w:rsidRPr="006C5E1E" w:rsidRDefault="006E2B71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3</w:t>
            </w:r>
          </w:p>
        </w:tc>
        <w:tc>
          <w:tcPr>
            <w:tcW w:w="2303" w:type="dxa"/>
          </w:tcPr>
          <w:p w:rsidR="006E2B71" w:rsidRPr="006C5E1E" w:rsidRDefault="006E2B71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28.00 ± 2.00</w:t>
            </w:r>
          </w:p>
        </w:tc>
        <w:tc>
          <w:tcPr>
            <w:tcW w:w="2303" w:type="dxa"/>
            <w:vMerge w:val="restart"/>
            <w:vAlign w:val="center"/>
          </w:tcPr>
          <w:p w:rsidR="006E2B71" w:rsidRPr="006C5E1E" w:rsidRDefault="006E2B71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p &lt; 0.05</w:t>
            </w:r>
          </w:p>
        </w:tc>
      </w:tr>
      <w:tr w:rsidR="006E2B71" w:rsidRPr="006C5E1E" w:rsidTr="005E0B30">
        <w:tc>
          <w:tcPr>
            <w:tcW w:w="2235" w:type="dxa"/>
          </w:tcPr>
          <w:p w:rsidR="006E2B71" w:rsidRPr="006C5E1E" w:rsidRDefault="006E2B71" w:rsidP="005E0B30">
            <w:pPr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 xml:space="preserve">H. rubripes – 2014 </w:t>
            </w:r>
          </w:p>
        </w:tc>
        <w:tc>
          <w:tcPr>
            <w:tcW w:w="2371" w:type="dxa"/>
          </w:tcPr>
          <w:p w:rsidR="006E2B71" w:rsidRPr="006C5E1E" w:rsidRDefault="006E2B71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3</w:t>
            </w:r>
          </w:p>
        </w:tc>
        <w:tc>
          <w:tcPr>
            <w:tcW w:w="2303" w:type="dxa"/>
          </w:tcPr>
          <w:p w:rsidR="006E2B71" w:rsidRPr="006C5E1E" w:rsidRDefault="006E2B71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11.67 ± 8.62</w:t>
            </w:r>
          </w:p>
        </w:tc>
        <w:tc>
          <w:tcPr>
            <w:tcW w:w="2303" w:type="dxa"/>
            <w:vMerge/>
            <w:vAlign w:val="center"/>
          </w:tcPr>
          <w:p w:rsidR="006E2B71" w:rsidRPr="006C5E1E" w:rsidRDefault="006E2B71" w:rsidP="005E0B30">
            <w:pPr>
              <w:jc w:val="center"/>
              <w:rPr>
                <w:sz w:val="20"/>
                <w:szCs w:val="20"/>
              </w:rPr>
            </w:pPr>
          </w:p>
        </w:tc>
      </w:tr>
      <w:tr w:rsidR="006E2B71" w:rsidRPr="006C5E1E" w:rsidTr="005E0B30">
        <w:tc>
          <w:tcPr>
            <w:tcW w:w="2235" w:type="dxa"/>
          </w:tcPr>
          <w:p w:rsidR="006E2B71" w:rsidRPr="006C5E1E" w:rsidRDefault="006E2B71" w:rsidP="005E0B30">
            <w:pPr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 xml:space="preserve">C. erratus – 2013 </w:t>
            </w:r>
          </w:p>
        </w:tc>
        <w:tc>
          <w:tcPr>
            <w:tcW w:w="2371" w:type="dxa"/>
          </w:tcPr>
          <w:p w:rsidR="006E2B71" w:rsidRPr="006C5E1E" w:rsidRDefault="006E2B71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3</w:t>
            </w:r>
          </w:p>
        </w:tc>
        <w:tc>
          <w:tcPr>
            <w:tcW w:w="2303" w:type="dxa"/>
          </w:tcPr>
          <w:p w:rsidR="006E2B71" w:rsidRPr="006C5E1E" w:rsidRDefault="006E2B71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15.33 ± 3.79</w:t>
            </w:r>
          </w:p>
        </w:tc>
        <w:tc>
          <w:tcPr>
            <w:tcW w:w="2303" w:type="dxa"/>
            <w:vMerge w:val="restart"/>
            <w:vAlign w:val="center"/>
          </w:tcPr>
          <w:p w:rsidR="006E2B71" w:rsidRPr="006C5E1E" w:rsidRDefault="006E2B71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n.s.</w:t>
            </w:r>
          </w:p>
        </w:tc>
      </w:tr>
      <w:tr w:rsidR="006E2B71" w:rsidRPr="006C5E1E" w:rsidTr="005E0B30">
        <w:tc>
          <w:tcPr>
            <w:tcW w:w="2235" w:type="dxa"/>
          </w:tcPr>
          <w:p w:rsidR="006E2B71" w:rsidRPr="006C5E1E" w:rsidRDefault="006E2B71" w:rsidP="005E0B30">
            <w:pPr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 xml:space="preserve">C. erratus – 2014 </w:t>
            </w:r>
          </w:p>
        </w:tc>
        <w:tc>
          <w:tcPr>
            <w:tcW w:w="2371" w:type="dxa"/>
          </w:tcPr>
          <w:p w:rsidR="006E2B71" w:rsidRPr="006C5E1E" w:rsidRDefault="006E2B71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3</w:t>
            </w:r>
          </w:p>
        </w:tc>
        <w:tc>
          <w:tcPr>
            <w:tcW w:w="2303" w:type="dxa"/>
          </w:tcPr>
          <w:p w:rsidR="006E2B71" w:rsidRPr="006C5E1E" w:rsidRDefault="006E2B71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18.00 ± 14.93</w:t>
            </w:r>
          </w:p>
        </w:tc>
        <w:tc>
          <w:tcPr>
            <w:tcW w:w="2303" w:type="dxa"/>
            <w:vMerge/>
            <w:vAlign w:val="center"/>
          </w:tcPr>
          <w:p w:rsidR="006E2B71" w:rsidRPr="006C5E1E" w:rsidRDefault="006E2B71" w:rsidP="005E0B30">
            <w:pPr>
              <w:jc w:val="center"/>
              <w:rPr>
                <w:sz w:val="20"/>
                <w:szCs w:val="20"/>
              </w:rPr>
            </w:pPr>
          </w:p>
        </w:tc>
      </w:tr>
      <w:tr w:rsidR="006E2B71" w:rsidRPr="006C5E1E" w:rsidTr="005E0B30">
        <w:tc>
          <w:tcPr>
            <w:tcW w:w="2235" w:type="dxa"/>
          </w:tcPr>
          <w:p w:rsidR="006E2B71" w:rsidRPr="006C5E1E" w:rsidRDefault="006E2B71" w:rsidP="005E0B30">
            <w:pPr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 xml:space="preserve">A. aenea – 2013 </w:t>
            </w:r>
          </w:p>
        </w:tc>
        <w:tc>
          <w:tcPr>
            <w:tcW w:w="2371" w:type="dxa"/>
          </w:tcPr>
          <w:p w:rsidR="006E2B71" w:rsidRPr="006C5E1E" w:rsidRDefault="006E2B71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3</w:t>
            </w:r>
          </w:p>
        </w:tc>
        <w:tc>
          <w:tcPr>
            <w:tcW w:w="2303" w:type="dxa"/>
          </w:tcPr>
          <w:p w:rsidR="006E2B71" w:rsidRPr="006C5E1E" w:rsidRDefault="006E2B71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2.33 ± 3.21</w:t>
            </w:r>
          </w:p>
        </w:tc>
        <w:tc>
          <w:tcPr>
            <w:tcW w:w="2303" w:type="dxa"/>
            <w:vMerge w:val="restart"/>
            <w:vAlign w:val="center"/>
          </w:tcPr>
          <w:p w:rsidR="006E2B71" w:rsidRPr="006C5E1E" w:rsidRDefault="006E2B71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n.s.</w:t>
            </w:r>
          </w:p>
        </w:tc>
      </w:tr>
      <w:tr w:rsidR="006E2B71" w:rsidRPr="006C5E1E" w:rsidTr="005E0B30">
        <w:tc>
          <w:tcPr>
            <w:tcW w:w="2235" w:type="dxa"/>
          </w:tcPr>
          <w:p w:rsidR="006E2B71" w:rsidRPr="006C5E1E" w:rsidRDefault="006E2B71" w:rsidP="005E0B30">
            <w:pPr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6C5E1E">
              <w:rPr>
                <w:sz w:val="20"/>
                <w:szCs w:val="20"/>
              </w:rPr>
              <w:t xml:space="preserve">aenea – 2014 </w:t>
            </w:r>
          </w:p>
        </w:tc>
        <w:tc>
          <w:tcPr>
            <w:tcW w:w="2371" w:type="dxa"/>
          </w:tcPr>
          <w:p w:rsidR="006E2B71" w:rsidRPr="006C5E1E" w:rsidRDefault="006E2B71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3</w:t>
            </w:r>
          </w:p>
        </w:tc>
        <w:tc>
          <w:tcPr>
            <w:tcW w:w="2303" w:type="dxa"/>
          </w:tcPr>
          <w:p w:rsidR="006E2B71" w:rsidRPr="006C5E1E" w:rsidRDefault="006E2B71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1.33 ± 2.31</w:t>
            </w:r>
          </w:p>
        </w:tc>
        <w:tc>
          <w:tcPr>
            <w:tcW w:w="2303" w:type="dxa"/>
            <w:vMerge/>
            <w:vAlign w:val="center"/>
          </w:tcPr>
          <w:p w:rsidR="006E2B71" w:rsidRPr="006C5E1E" w:rsidRDefault="006E2B71" w:rsidP="005E0B30">
            <w:pPr>
              <w:jc w:val="center"/>
              <w:rPr>
                <w:sz w:val="20"/>
                <w:szCs w:val="20"/>
              </w:rPr>
            </w:pPr>
          </w:p>
        </w:tc>
      </w:tr>
      <w:tr w:rsidR="006E2B71" w:rsidRPr="006C5E1E" w:rsidTr="005E0B30">
        <w:tc>
          <w:tcPr>
            <w:tcW w:w="2235" w:type="dxa"/>
          </w:tcPr>
          <w:p w:rsidR="006E2B71" w:rsidRPr="006C5E1E" w:rsidRDefault="006E2B71" w:rsidP="005E0B30">
            <w:pPr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 xml:space="preserve">Pt. niger – 2013 </w:t>
            </w:r>
          </w:p>
        </w:tc>
        <w:tc>
          <w:tcPr>
            <w:tcW w:w="2371" w:type="dxa"/>
          </w:tcPr>
          <w:p w:rsidR="006E2B71" w:rsidRPr="006C5E1E" w:rsidRDefault="006E2B71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3</w:t>
            </w:r>
          </w:p>
        </w:tc>
        <w:tc>
          <w:tcPr>
            <w:tcW w:w="2303" w:type="dxa"/>
          </w:tcPr>
          <w:p w:rsidR="006E2B71" w:rsidRPr="006C5E1E" w:rsidRDefault="006E2B71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15.00 ± 2.00</w:t>
            </w:r>
          </w:p>
        </w:tc>
        <w:tc>
          <w:tcPr>
            <w:tcW w:w="2303" w:type="dxa"/>
            <w:vMerge w:val="restart"/>
            <w:vAlign w:val="center"/>
          </w:tcPr>
          <w:p w:rsidR="006E2B71" w:rsidRPr="006C5E1E" w:rsidRDefault="006E2B71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p &lt; 0.05</w:t>
            </w:r>
          </w:p>
        </w:tc>
      </w:tr>
      <w:tr w:rsidR="006E2B71" w:rsidRPr="006C5E1E" w:rsidTr="005E0B30">
        <w:tc>
          <w:tcPr>
            <w:tcW w:w="2235" w:type="dxa"/>
          </w:tcPr>
          <w:p w:rsidR="006E2B71" w:rsidRPr="006C5E1E" w:rsidRDefault="006E2B71" w:rsidP="005E0B30">
            <w:pPr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 xml:space="preserve">Pt. niger – 2014 </w:t>
            </w:r>
          </w:p>
        </w:tc>
        <w:tc>
          <w:tcPr>
            <w:tcW w:w="2371" w:type="dxa"/>
          </w:tcPr>
          <w:p w:rsidR="006E2B71" w:rsidRPr="006C5E1E" w:rsidRDefault="006E2B71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3</w:t>
            </w:r>
          </w:p>
        </w:tc>
        <w:tc>
          <w:tcPr>
            <w:tcW w:w="2303" w:type="dxa"/>
          </w:tcPr>
          <w:p w:rsidR="006E2B71" w:rsidRPr="006C5E1E" w:rsidRDefault="006E2B71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6.67 ± 3.79</w:t>
            </w:r>
          </w:p>
        </w:tc>
        <w:tc>
          <w:tcPr>
            <w:tcW w:w="2303" w:type="dxa"/>
            <w:vMerge/>
            <w:vAlign w:val="center"/>
          </w:tcPr>
          <w:p w:rsidR="006E2B71" w:rsidRPr="006C5E1E" w:rsidRDefault="006E2B71" w:rsidP="005E0B30">
            <w:pPr>
              <w:jc w:val="center"/>
              <w:rPr>
                <w:sz w:val="20"/>
                <w:szCs w:val="20"/>
              </w:rPr>
            </w:pPr>
          </w:p>
        </w:tc>
      </w:tr>
      <w:tr w:rsidR="006E2B71" w:rsidRPr="006C5E1E" w:rsidTr="005E0B30">
        <w:tc>
          <w:tcPr>
            <w:tcW w:w="2235" w:type="dxa"/>
          </w:tcPr>
          <w:p w:rsidR="006E2B71" w:rsidRPr="006C5E1E" w:rsidRDefault="006E2B71" w:rsidP="005E0B30">
            <w:pPr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 xml:space="preserve">MIB – 2013 </w:t>
            </w:r>
          </w:p>
        </w:tc>
        <w:tc>
          <w:tcPr>
            <w:tcW w:w="2371" w:type="dxa"/>
          </w:tcPr>
          <w:p w:rsidR="006E2B71" w:rsidRPr="006C5E1E" w:rsidRDefault="006E2B71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3</w:t>
            </w:r>
          </w:p>
        </w:tc>
        <w:tc>
          <w:tcPr>
            <w:tcW w:w="2303" w:type="dxa"/>
          </w:tcPr>
          <w:p w:rsidR="006E2B71" w:rsidRPr="006C5E1E" w:rsidRDefault="006E2B71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78.53 ± 9.80</w:t>
            </w:r>
          </w:p>
        </w:tc>
        <w:tc>
          <w:tcPr>
            <w:tcW w:w="2303" w:type="dxa"/>
            <w:vMerge w:val="restart"/>
            <w:vAlign w:val="center"/>
          </w:tcPr>
          <w:p w:rsidR="006E2B71" w:rsidRPr="006C5E1E" w:rsidRDefault="006E2B71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n.s.</w:t>
            </w:r>
          </w:p>
        </w:tc>
      </w:tr>
      <w:tr w:rsidR="006E2B71" w:rsidRPr="006C5E1E" w:rsidTr="005E0B30">
        <w:tc>
          <w:tcPr>
            <w:tcW w:w="2235" w:type="dxa"/>
          </w:tcPr>
          <w:p w:rsidR="006E2B71" w:rsidRPr="006C5E1E" w:rsidRDefault="006E2B71" w:rsidP="005E0B30">
            <w:pPr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 xml:space="preserve">MIB – 2014 </w:t>
            </w:r>
          </w:p>
        </w:tc>
        <w:tc>
          <w:tcPr>
            <w:tcW w:w="2371" w:type="dxa"/>
          </w:tcPr>
          <w:p w:rsidR="006E2B71" w:rsidRPr="006C5E1E" w:rsidRDefault="006E2B71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3</w:t>
            </w:r>
          </w:p>
        </w:tc>
        <w:tc>
          <w:tcPr>
            <w:tcW w:w="2303" w:type="dxa"/>
          </w:tcPr>
          <w:p w:rsidR="006E2B71" w:rsidRPr="006C5E1E" w:rsidRDefault="006E2B71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63.90 ± 14.48</w:t>
            </w:r>
          </w:p>
        </w:tc>
        <w:tc>
          <w:tcPr>
            <w:tcW w:w="2303" w:type="dxa"/>
            <w:vMerge/>
          </w:tcPr>
          <w:p w:rsidR="006E2B71" w:rsidRPr="006C5E1E" w:rsidRDefault="006E2B71" w:rsidP="005E0B30">
            <w:pPr>
              <w:jc w:val="center"/>
              <w:rPr>
                <w:sz w:val="20"/>
                <w:szCs w:val="20"/>
              </w:rPr>
            </w:pPr>
          </w:p>
        </w:tc>
      </w:tr>
      <w:tr w:rsidR="006E2B71" w:rsidRPr="006C5E1E" w:rsidTr="005E0B30">
        <w:tc>
          <w:tcPr>
            <w:tcW w:w="9212" w:type="dxa"/>
            <w:gridSpan w:val="4"/>
          </w:tcPr>
          <w:p w:rsidR="006E2B71" w:rsidRPr="006C5E1E" w:rsidRDefault="006E2B71" w:rsidP="005E0B30">
            <w:pPr>
              <w:jc w:val="center"/>
              <w:rPr>
                <w:b/>
                <w:sz w:val="20"/>
                <w:szCs w:val="20"/>
              </w:rPr>
            </w:pPr>
            <w:r w:rsidRPr="006C5E1E">
              <w:rPr>
                <w:b/>
                <w:sz w:val="20"/>
                <w:szCs w:val="20"/>
              </w:rPr>
              <w:t>Control sites</w:t>
            </w:r>
          </w:p>
        </w:tc>
      </w:tr>
      <w:tr w:rsidR="006E2B71" w:rsidRPr="006C5E1E" w:rsidTr="005E0B30">
        <w:tc>
          <w:tcPr>
            <w:tcW w:w="2235" w:type="dxa"/>
          </w:tcPr>
          <w:p w:rsidR="006E2B71" w:rsidRPr="006C5E1E" w:rsidRDefault="006E2B71" w:rsidP="005E0B30">
            <w:pPr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 xml:space="preserve">H. rufipes – 2013 </w:t>
            </w:r>
          </w:p>
        </w:tc>
        <w:tc>
          <w:tcPr>
            <w:tcW w:w="2371" w:type="dxa"/>
          </w:tcPr>
          <w:p w:rsidR="006E2B71" w:rsidRPr="006C5E1E" w:rsidRDefault="006E2B71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3</w:t>
            </w:r>
          </w:p>
        </w:tc>
        <w:tc>
          <w:tcPr>
            <w:tcW w:w="2303" w:type="dxa"/>
          </w:tcPr>
          <w:p w:rsidR="006E2B71" w:rsidRPr="006C5E1E" w:rsidRDefault="006E2B71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26.33 ± 15.04</w:t>
            </w:r>
          </w:p>
        </w:tc>
        <w:tc>
          <w:tcPr>
            <w:tcW w:w="2303" w:type="dxa"/>
            <w:vMerge w:val="restart"/>
            <w:vAlign w:val="center"/>
          </w:tcPr>
          <w:p w:rsidR="006E2B71" w:rsidRPr="006C5E1E" w:rsidRDefault="006E2B71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n.s.</w:t>
            </w:r>
          </w:p>
        </w:tc>
      </w:tr>
      <w:tr w:rsidR="006E2B71" w:rsidRPr="006C5E1E" w:rsidTr="005E0B30">
        <w:tc>
          <w:tcPr>
            <w:tcW w:w="2235" w:type="dxa"/>
          </w:tcPr>
          <w:p w:rsidR="006E2B71" w:rsidRPr="006C5E1E" w:rsidRDefault="006E2B71" w:rsidP="005E0B30">
            <w:pPr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 xml:space="preserve">H. rufipes – 2014 </w:t>
            </w:r>
          </w:p>
        </w:tc>
        <w:tc>
          <w:tcPr>
            <w:tcW w:w="2371" w:type="dxa"/>
          </w:tcPr>
          <w:p w:rsidR="006E2B71" w:rsidRPr="006C5E1E" w:rsidRDefault="006E2B71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3</w:t>
            </w:r>
          </w:p>
        </w:tc>
        <w:tc>
          <w:tcPr>
            <w:tcW w:w="2303" w:type="dxa"/>
          </w:tcPr>
          <w:p w:rsidR="006E2B71" w:rsidRPr="006C5E1E" w:rsidRDefault="006E2B71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13.33 ± 9.29</w:t>
            </w:r>
          </w:p>
        </w:tc>
        <w:tc>
          <w:tcPr>
            <w:tcW w:w="2303" w:type="dxa"/>
            <w:vMerge/>
            <w:vAlign w:val="center"/>
          </w:tcPr>
          <w:p w:rsidR="006E2B71" w:rsidRPr="006C5E1E" w:rsidRDefault="006E2B71" w:rsidP="005E0B30">
            <w:pPr>
              <w:jc w:val="center"/>
              <w:rPr>
                <w:sz w:val="20"/>
                <w:szCs w:val="20"/>
              </w:rPr>
            </w:pPr>
          </w:p>
        </w:tc>
      </w:tr>
      <w:tr w:rsidR="006E2B71" w:rsidRPr="006C5E1E" w:rsidTr="005E0B30">
        <w:tc>
          <w:tcPr>
            <w:tcW w:w="2235" w:type="dxa"/>
          </w:tcPr>
          <w:p w:rsidR="006E2B71" w:rsidRPr="006C5E1E" w:rsidRDefault="006E2B71" w:rsidP="005E0B30">
            <w:pPr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 xml:space="preserve">H. tardus – 2013 </w:t>
            </w:r>
          </w:p>
        </w:tc>
        <w:tc>
          <w:tcPr>
            <w:tcW w:w="2371" w:type="dxa"/>
          </w:tcPr>
          <w:p w:rsidR="006E2B71" w:rsidRPr="006C5E1E" w:rsidRDefault="006E2B71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3</w:t>
            </w:r>
          </w:p>
        </w:tc>
        <w:tc>
          <w:tcPr>
            <w:tcW w:w="2303" w:type="dxa"/>
          </w:tcPr>
          <w:p w:rsidR="006E2B71" w:rsidRPr="006C5E1E" w:rsidRDefault="006E2B71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27.67 ± 29.96</w:t>
            </w:r>
          </w:p>
        </w:tc>
        <w:tc>
          <w:tcPr>
            <w:tcW w:w="2303" w:type="dxa"/>
            <w:vMerge w:val="restart"/>
            <w:vAlign w:val="center"/>
          </w:tcPr>
          <w:p w:rsidR="006E2B71" w:rsidRPr="006C5E1E" w:rsidRDefault="006E2B71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n.s.</w:t>
            </w:r>
          </w:p>
        </w:tc>
      </w:tr>
      <w:tr w:rsidR="006E2B71" w:rsidRPr="006C5E1E" w:rsidTr="005E0B30">
        <w:tc>
          <w:tcPr>
            <w:tcW w:w="2235" w:type="dxa"/>
          </w:tcPr>
          <w:p w:rsidR="006E2B71" w:rsidRPr="006C5E1E" w:rsidRDefault="006E2B71" w:rsidP="005E0B30">
            <w:pPr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 xml:space="preserve">H. tardus – 2014 </w:t>
            </w:r>
          </w:p>
        </w:tc>
        <w:tc>
          <w:tcPr>
            <w:tcW w:w="2371" w:type="dxa"/>
          </w:tcPr>
          <w:p w:rsidR="006E2B71" w:rsidRPr="006C5E1E" w:rsidRDefault="006E2B71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3</w:t>
            </w:r>
          </w:p>
        </w:tc>
        <w:tc>
          <w:tcPr>
            <w:tcW w:w="2303" w:type="dxa"/>
          </w:tcPr>
          <w:p w:rsidR="006E2B71" w:rsidRPr="006C5E1E" w:rsidRDefault="006E2B71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18.67 ± 12.01</w:t>
            </w:r>
          </w:p>
        </w:tc>
        <w:tc>
          <w:tcPr>
            <w:tcW w:w="2303" w:type="dxa"/>
            <w:vMerge/>
            <w:vAlign w:val="center"/>
          </w:tcPr>
          <w:p w:rsidR="006E2B71" w:rsidRPr="006C5E1E" w:rsidRDefault="006E2B71" w:rsidP="005E0B30">
            <w:pPr>
              <w:jc w:val="center"/>
              <w:rPr>
                <w:sz w:val="20"/>
                <w:szCs w:val="20"/>
              </w:rPr>
            </w:pPr>
          </w:p>
        </w:tc>
      </w:tr>
      <w:tr w:rsidR="006E2B71" w:rsidRPr="006C5E1E" w:rsidTr="005E0B30">
        <w:tc>
          <w:tcPr>
            <w:tcW w:w="2235" w:type="dxa"/>
          </w:tcPr>
          <w:p w:rsidR="006E2B71" w:rsidRPr="006C5E1E" w:rsidRDefault="006E2B71" w:rsidP="005E0B30">
            <w:pPr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 xml:space="preserve">H. rubripes – 2013 </w:t>
            </w:r>
          </w:p>
        </w:tc>
        <w:tc>
          <w:tcPr>
            <w:tcW w:w="2371" w:type="dxa"/>
          </w:tcPr>
          <w:p w:rsidR="006E2B71" w:rsidRPr="006C5E1E" w:rsidRDefault="006E2B71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3</w:t>
            </w:r>
          </w:p>
        </w:tc>
        <w:tc>
          <w:tcPr>
            <w:tcW w:w="2303" w:type="dxa"/>
          </w:tcPr>
          <w:p w:rsidR="006E2B71" w:rsidRPr="006C5E1E" w:rsidRDefault="006E2B71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22.00 ± 10.58</w:t>
            </w:r>
          </w:p>
        </w:tc>
        <w:tc>
          <w:tcPr>
            <w:tcW w:w="2303" w:type="dxa"/>
            <w:vMerge w:val="restart"/>
            <w:vAlign w:val="center"/>
          </w:tcPr>
          <w:p w:rsidR="006E2B71" w:rsidRPr="006C5E1E" w:rsidRDefault="006E2B71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n.s.</w:t>
            </w:r>
          </w:p>
        </w:tc>
      </w:tr>
      <w:tr w:rsidR="006E2B71" w:rsidRPr="006C5E1E" w:rsidTr="005E0B30">
        <w:tc>
          <w:tcPr>
            <w:tcW w:w="2235" w:type="dxa"/>
          </w:tcPr>
          <w:p w:rsidR="006E2B71" w:rsidRPr="006C5E1E" w:rsidRDefault="006E2B71" w:rsidP="005E0B30">
            <w:pPr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 xml:space="preserve">H. rubripes – 2014 </w:t>
            </w:r>
          </w:p>
        </w:tc>
        <w:tc>
          <w:tcPr>
            <w:tcW w:w="2371" w:type="dxa"/>
          </w:tcPr>
          <w:p w:rsidR="006E2B71" w:rsidRPr="006C5E1E" w:rsidRDefault="006E2B71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3</w:t>
            </w:r>
          </w:p>
        </w:tc>
        <w:tc>
          <w:tcPr>
            <w:tcW w:w="2303" w:type="dxa"/>
          </w:tcPr>
          <w:p w:rsidR="006E2B71" w:rsidRPr="006C5E1E" w:rsidRDefault="006E2B71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11.67 ± 6.11</w:t>
            </w:r>
          </w:p>
        </w:tc>
        <w:tc>
          <w:tcPr>
            <w:tcW w:w="2303" w:type="dxa"/>
            <w:vMerge/>
            <w:vAlign w:val="center"/>
          </w:tcPr>
          <w:p w:rsidR="006E2B71" w:rsidRPr="006C5E1E" w:rsidRDefault="006E2B71" w:rsidP="005E0B30">
            <w:pPr>
              <w:jc w:val="center"/>
              <w:rPr>
                <w:sz w:val="20"/>
                <w:szCs w:val="20"/>
              </w:rPr>
            </w:pPr>
          </w:p>
        </w:tc>
      </w:tr>
      <w:tr w:rsidR="006E2B71" w:rsidRPr="006C5E1E" w:rsidTr="005E0B30">
        <w:tc>
          <w:tcPr>
            <w:tcW w:w="2235" w:type="dxa"/>
          </w:tcPr>
          <w:p w:rsidR="006E2B71" w:rsidRPr="006C5E1E" w:rsidRDefault="006E2B71" w:rsidP="005E0B30">
            <w:pPr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 xml:space="preserve">C. erratus – 2013 </w:t>
            </w:r>
          </w:p>
        </w:tc>
        <w:tc>
          <w:tcPr>
            <w:tcW w:w="2371" w:type="dxa"/>
          </w:tcPr>
          <w:p w:rsidR="006E2B71" w:rsidRPr="006C5E1E" w:rsidRDefault="006E2B71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3</w:t>
            </w:r>
          </w:p>
        </w:tc>
        <w:tc>
          <w:tcPr>
            <w:tcW w:w="2303" w:type="dxa"/>
          </w:tcPr>
          <w:p w:rsidR="006E2B71" w:rsidRPr="006C5E1E" w:rsidRDefault="006E2B71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8.00 ± 6.56</w:t>
            </w:r>
          </w:p>
        </w:tc>
        <w:tc>
          <w:tcPr>
            <w:tcW w:w="2303" w:type="dxa"/>
            <w:vMerge w:val="restart"/>
            <w:vAlign w:val="center"/>
          </w:tcPr>
          <w:p w:rsidR="006E2B71" w:rsidRPr="006C5E1E" w:rsidRDefault="006E2B71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n.s.</w:t>
            </w:r>
          </w:p>
        </w:tc>
      </w:tr>
      <w:tr w:rsidR="006E2B71" w:rsidRPr="006C5E1E" w:rsidTr="005E0B30">
        <w:tc>
          <w:tcPr>
            <w:tcW w:w="2235" w:type="dxa"/>
          </w:tcPr>
          <w:p w:rsidR="006E2B71" w:rsidRPr="006C5E1E" w:rsidRDefault="006E2B71" w:rsidP="005E0B30">
            <w:pPr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 xml:space="preserve">C. erratus – 2014 </w:t>
            </w:r>
          </w:p>
        </w:tc>
        <w:tc>
          <w:tcPr>
            <w:tcW w:w="2371" w:type="dxa"/>
          </w:tcPr>
          <w:p w:rsidR="006E2B71" w:rsidRPr="006C5E1E" w:rsidRDefault="006E2B71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3</w:t>
            </w:r>
          </w:p>
        </w:tc>
        <w:tc>
          <w:tcPr>
            <w:tcW w:w="2303" w:type="dxa"/>
          </w:tcPr>
          <w:p w:rsidR="006E2B71" w:rsidRPr="006C5E1E" w:rsidRDefault="006E2B71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13.00 ± 20.78</w:t>
            </w:r>
          </w:p>
        </w:tc>
        <w:tc>
          <w:tcPr>
            <w:tcW w:w="2303" w:type="dxa"/>
            <w:vMerge/>
            <w:vAlign w:val="center"/>
          </w:tcPr>
          <w:p w:rsidR="006E2B71" w:rsidRPr="006C5E1E" w:rsidRDefault="006E2B71" w:rsidP="005E0B30">
            <w:pPr>
              <w:jc w:val="center"/>
              <w:rPr>
                <w:sz w:val="20"/>
                <w:szCs w:val="20"/>
              </w:rPr>
            </w:pPr>
          </w:p>
        </w:tc>
      </w:tr>
      <w:tr w:rsidR="006E2B71" w:rsidRPr="006C5E1E" w:rsidTr="005E0B30">
        <w:tc>
          <w:tcPr>
            <w:tcW w:w="2235" w:type="dxa"/>
          </w:tcPr>
          <w:p w:rsidR="006E2B71" w:rsidRPr="006C5E1E" w:rsidRDefault="006E2B71" w:rsidP="005E0B30">
            <w:pPr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 xml:space="preserve">A. aenea – 2013 </w:t>
            </w:r>
          </w:p>
        </w:tc>
        <w:tc>
          <w:tcPr>
            <w:tcW w:w="2371" w:type="dxa"/>
          </w:tcPr>
          <w:p w:rsidR="006E2B71" w:rsidRPr="006C5E1E" w:rsidRDefault="006E2B71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3</w:t>
            </w:r>
          </w:p>
        </w:tc>
        <w:tc>
          <w:tcPr>
            <w:tcW w:w="2303" w:type="dxa"/>
          </w:tcPr>
          <w:p w:rsidR="006E2B71" w:rsidRPr="006C5E1E" w:rsidRDefault="006E2B71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10.00 ± 10.15</w:t>
            </w:r>
          </w:p>
        </w:tc>
        <w:tc>
          <w:tcPr>
            <w:tcW w:w="2303" w:type="dxa"/>
            <w:vMerge w:val="restart"/>
            <w:vAlign w:val="center"/>
          </w:tcPr>
          <w:p w:rsidR="006E2B71" w:rsidRPr="006C5E1E" w:rsidRDefault="006E2B71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n.s.</w:t>
            </w:r>
          </w:p>
        </w:tc>
      </w:tr>
      <w:tr w:rsidR="006E2B71" w:rsidRPr="006C5E1E" w:rsidTr="005E0B30">
        <w:tc>
          <w:tcPr>
            <w:tcW w:w="2235" w:type="dxa"/>
          </w:tcPr>
          <w:p w:rsidR="006E2B71" w:rsidRPr="006C5E1E" w:rsidRDefault="006E2B71" w:rsidP="005E0B30">
            <w:pPr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6C5E1E">
              <w:rPr>
                <w:sz w:val="20"/>
                <w:szCs w:val="20"/>
              </w:rPr>
              <w:t xml:space="preserve">aenea – 2014 </w:t>
            </w:r>
          </w:p>
        </w:tc>
        <w:tc>
          <w:tcPr>
            <w:tcW w:w="2371" w:type="dxa"/>
          </w:tcPr>
          <w:p w:rsidR="006E2B71" w:rsidRPr="006C5E1E" w:rsidRDefault="006E2B71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3</w:t>
            </w:r>
          </w:p>
        </w:tc>
        <w:tc>
          <w:tcPr>
            <w:tcW w:w="2303" w:type="dxa"/>
          </w:tcPr>
          <w:p w:rsidR="006E2B71" w:rsidRPr="006C5E1E" w:rsidRDefault="006E2B71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40.33 ± 60.43</w:t>
            </w:r>
          </w:p>
        </w:tc>
        <w:tc>
          <w:tcPr>
            <w:tcW w:w="2303" w:type="dxa"/>
            <w:vMerge/>
            <w:vAlign w:val="center"/>
          </w:tcPr>
          <w:p w:rsidR="006E2B71" w:rsidRPr="006C5E1E" w:rsidRDefault="006E2B71" w:rsidP="005E0B30">
            <w:pPr>
              <w:jc w:val="center"/>
              <w:rPr>
                <w:sz w:val="20"/>
                <w:szCs w:val="20"/>
              </w:rPr>
            </w:pPr>
          </w:p>
        </w:tc>
      </w:tr>
      <w:tr w:rsidR="006E2B71" w:rsidRPr="006C5E1E" w:rsidTr="005E0B30">
        <w:tc>
          <w:tcPr>
            <w:tcW w:w="2235" w:type="dxa"/>
          </w:tcPr>
          <w:p w:rsidR="006E2B71" w:rsidRPr="006C5E1E" w:rsidRDefault="006E2B71" w:rsidP="005E0B30">
            <w:pPr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 xml:space="preserve">Pt. niger – 2013 </w:t>
            </w:r>
          </w:p>
        </w:tc>
        <w:tc>
          <w:tcPr>
            <w:tcW w:w="2371" w:type="dxa"/>
          </w:tcPr>
          <w:p w:rsidR="006E2B71" w:rsidRPr="006C5E1E" w:rsidRDefault="006E2B71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3</w:t>
            </w:r>
          </w:p>
        </w:tc>
        <w:tc>
          <w:tcPr>
            <w:tcW w:w="2303" w:type="dxa"/>
          </w:tcPr>
          <w:p w:rsidR="006E2B71" w:rsidRPr="006C5E1E" w:rsidRDefault="006E2B71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17.00 ± 25.24</w:t>
            </w:r>
          </w:p>
        </w:tc>
        <w:tc>
          <w:tcPr>
            <w:tcW w:w="2303" w:type="dxa"/>
            <w:vMerge w:val="restart"/>
            <w:vAlign w:val="center"/>
          </w:tcPr>
          <w:p w:rsidR="006E2B71" w:rsidRPr="006C5E1E" w:rsidRDefault="006E2B71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n.s.</w:t>
            </w:r>
          </w:p>
        </w:tc>
      </w:tr>
      <w:tr w:rsidR="006E2B71" w:rsidRPr="006C5E1E" w:rsidTr="005E0B30">
        <w:tc>
          <w:tcPr>
            <w:tcW w:w="2235" w:type="dxa"/>
          </w:tcPr>
          <w:p w:rsidR="006E2B71" w:rsidRPr="006C5E1E" w:rsidRDefault="006E2B71" w:rsidP="005E0B30">
            <w:pPr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 xml:space="preserve">Pt. niger – 2014 </w:t>
            </w:r>
          </w:p>
        </w:tc>
        <w:tc>
          <w:tcPr>
            <w:tcW w:w="2371" w:type="dxa"/>
          </w:tcPr>
          <w:p w:rsidR="006E2B71" w:rsidRPr="006C5E1E" w:rsidRDefault="006E2B71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3</w:t>
            </w:r>
          </w:p>
        </w:tc>
        <w:tc>
          <w:tcPr>
            <w:tcW w:w="2303" w:type="dxa"/>
          </w:tcPr>
          <w:p w:rsidR="006E2B71" w:rsidRPr="006C5E1E" w:rsidRDefault="006E2B71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12.33 ± 12.50</w:t>
            </w:r>
          </w:p>
        </w:tc>
        <w:tc>
          <w:tcPr>
            <w:tcW w:w="2303" w:type="dxa"/>
            <w:vMerge/>
            <w:vAlign w:val="center"/>
          </w:tcPr>
          <w:p w:rsidR="006E2B71" w:rsidRPr="006C5E1E" w:rsidRDefault="006E2B71" w:rsidP="005E0B30">
            <w:pPr>
              <w:jc w:val="center"/>
              <w:rPr>
                <w:sz w:val="20"/>
                <w:szCs w:val="20"/>
              </w:rPr>
            </w:pPr>
          </w:p>
        </w:tc>
      </w:tr>
      <w:tr w:rsidR="006E2B71" w:rsidRPr="006C5E1E" w:rsidTr="005E0B30">
        <w:tc>
          <w:tcPr>
            <w:tcW w:w="2235" w:type="dxa"/>
          </w:tcPr>
          <w:p w:rsidR="006E2B71" w:rsidRPr="006C5E1E" w:rsidRDefault="006E2B71" w:rsidP="005E0B30">
            <w:pPr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 xml:space="preserve">MIB – 2013 </w:t>
            </w:r>
          </w:p>
        </w:tc>
        <w:tc>
          <w:tcPr>
            <w:tcW w:w="2371" w:type="dxa"/>
          </w:tcPr>
          <w:p w:rsidR="006E2B71" w:rsidRPr="006C5E1E" w:rsidRDefault="006E2B71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3</w:t>
            </w:r>
          </w:p>
        </w:tc>
        <w:tc>
          <w:tcPr>
            <w:tcW w:w="2303" w:type="dxa"/>
          </w:tcPr>
          <w:p w:rsidR="006E2B71" w:rsidRPr="006C5E1E" w:rsidRDefault="006E2B71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67.53 ± 20.46</w:t>
            </w:r>
          </w:p>
        </w:tc>
        <w:tc>
          <w:tcPr>
            <w:tcW w:w="2303" w:type="dxa"/>
            <w:vMerge w:val="restart"/>
            <w:vAlign w:val="center"/>
          </w:tcPr>
          <w:p w:rsidR="006E2B71" w:rsidRPr="006C5E1E" w:rsidRDefault="006E2B71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n.s.</w:t>
            </w:r>
          </w:p>
        </w:tc>
      </w:tr>
      <w:tr w:rsidR="006E2B71" w:rsidRPr="006C5E1E" w:rsidTr="005E0B30">
        <w:tc>
          <w:tcPr>
            <w:tcW w:w="2235" w:type="dxa"/>
          </w:tcPr>
          <w:p w:rsidR="006E2B71" w:rsidRPr="006C5E1E" w:rsidRDefault="006E2B71" w:rsidP="005E0B30">
            <w:pPr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 xml:space="preserve">MIB – 2014 </w:t>
            </w:r>
          </w:p>
        </w:tc>
        <w:tc>
          <w:tcPr>
            <w:tcW w:w="2371" w:type="dxa"/>
          </w:tcPr>
          <w:p w:rsidR="006E2B71" w:rsidRPr="006C5E1E" w:rsidRDefault="006E2B71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3</w:t>
            </w:r>
          </w:p>
        </w:tc>
        <w:tc>
          <w:tcPr>
            <w:tcW w:w="2303" w:type="dxa"/>
          </w:tcPr>
          <w:p w:rsidR="006E2B71" w:rsidRPr="006C5E1E" w:rsidRDefault="006E2B71" w:rsidP="005E0B30">
            <w:pPr>
              <w:jc w:val="center"/>
              <w:rPr>
                <w:sz w:val="20"/>
                <w:szCs w:val="20"/>
              </w:rPr>
            </w:pPr>
            <w:r w:rsidRPr="006C5E1E">
              <w:rPr>
                <w:sz w:val="20"/>
                <w:szCs w:val="20"/>
              </w:rPr>
              <w:t>59.93 ± 17.21</w:t>
            </w:r>
          </w:p>
        </w:tc>
        <w:tc>
          <w:tcPr>
            <w:tcW w:w="2303" w:type="dxa"/>
            <w:vMerge/>
          </w:tcPr>
          <w:p w:rsidR="006E2B71" w:rsidRPr="006C5E1E" w:rsidRDefault="006E2B71" w:rsidP="005E0B30">
            <w:pPr>
              <w:jc w:val="center"/>
              <w:rPr>
                <w:sz w:val="20"/>
                <w:szCs w:val="20"/>
              </w:rPr>
            </w:pPr>
          </w:p>
        </w:tc>
      </w:tr>
    </w:tbl>
    <w:p w:rsidR="006E2B71" w:rsidRPr="00760FFE" w:rsidRDefault="006E2B71" w:rsidP="006E2B71"/>
    <w:p w:rsidR="006E2B71" w:rsidRPr="00753918" w:rsidRDefault="006E2B71" w:rsidP="006E2B71">
      <w:pPr>
        <w:rPr>
          <w:lang w:val="pl-PL"/>
        </w:rPr>
      </w:pPr>
      <w:bookmarkStart w:id="0" w:name="_GoBack"/>
      <w:bookmarkEnd w:id="0"/>
    </w:p>
    <w:sectPr w:rsidR="006E2B71" w:rsidRPr="00753918" w:rsidSect="006E66BF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8976157"/>
      <w:docPartObj>
        <w:docPartGallery w:val="Page Numbers (Bottom of Page)"/>
        <w:docPartUnique/>
      </w:docPartObj>
    </w:sdtPr>
    <w:sdtEndPr/>
    <w:sdtContent>
      <w:p w:rsidR="00457297" w:rsidRDefault="006E2B7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E2B71">
          <w:rPr>
            <w:noProof/>
            <w:lang w:val="pl-PL"/>
          </w:rPr>
          <w:t>1</w:t>
        </w:r>
        <w:r>
          <w:fldChar w:fldCharType="end"/>
        </w:r>
      </w:p>
    </w:sdtContent>
  </w:sdt>
  <w:p w:rsidR="00457297" w:rsidRDefault="006E2B71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B71"/>
    <w:rsid w:val="006E2B71"/>
    <w:rsid w:val="00B4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E2B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2B71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ela-Siatka">
    <w:name w:val="Table Grid"/>
    <w:basedOn w:val="Standardowy"/>
    <w:uiPriority w:val="59"/>
    <w:rsid w:val="006E2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E2B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2B71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ela-Siatka">
    <w:name w:val="Table Grid"/>
    <w:basedOn w:val="Standardowy"/>
    <w:uiPriority w:val="59"/>
    <w:rsid w:val="006E2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Axel</dc:creator>
  <cp:lastModifiedBy>Axel</cp:lastModifiedBy>
  <cp:revision>1</cp:revision>
  <dcterms:created xsi:type="dcterms:W3CDTF">2016-01-13T14:48:00Z</dcterms:created>
  <dcterms:modified xsi:type="dcterms:W3CDTF">2016-01-13T14:48:00Z</dcterms:modified>
</cp:coreProperties>
</file>