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6121" w14:textId="0905F189" w:rsidR="00C666AE" w:rsidRPr="005B4957" w:rsidRDefault="00C666AE" w:rsidP="00C666AE">
      <w:pPr>
        <w:jc w:val="center"/>
        <w:rPr>
          <w:rFonts w:ascii="Times New Roman" w:hAnsi="Times New Roman" w:cs="Times New Roman"/>
          <w:b/>
          <w:bCs/>
        </w:rPr>
      </w:pPr>
      <w:r>
        <w:rPr>
          <w:rFonts w:ascii="Times New Roman" w:hAnsi="Times New Roman"/>
          <w:b/>
          <w:bCs/>
        </w:rPr>
        <w:t>D</w:t>
      </w:r>
      <w:r>
        <w:rPr>
          <w:rFonts w:ascii="Times New Roman" w:hAnsi="Times New Roman"/>
          <w:b/>
          <w:bCs/>
        </w:rPr>
        <w:t xml:space="preserve">OCUMENT ON PUBLISHING ETHICS AND SCIENTIFIC INTEGRITY </w:t>
      </w:r>
    </w:p>
    <w:p w14:paraId="4A300707" w14:textId="77777777" w:rsidR="00C666AE" w:rsidRPr="005B4957" w:rsidRDefault="00C666AE" w:rsidP="00C666AE">
      <w:pPr>
        <w:jc w:val="both"/>
        <w:rPr>
          <w:rFonts w:ascii="Times New Roman" w:hAnsi="Times New Roman" w:cs="Times New Roman"/>
        </w:rPr>
      </w:pPr>
      <w:r>
        <w:rPr>
          <w:rFonts w:ascii="Times New Roman" w:hAnsi="Times New Roman"/>
          <w:i/>
          <w:iCs/>
        </w:rPr>
        <w:t>Religion and Education.</w:t>
      </w:r>
      <w:r>
        <w:rPr>
          <w:rFonts w:ascii="Times New Roman" w:hAnsi="Times New Roman"/>
          <w:i/>
        </w:rPr>
        <w:t xml:space="preserve"> </w:t>
      </w:r>
      <w:r>
        <w:rPr>
          <w:rFonts w:ascii="Times New Roman" w:hAnsi="Times New Roman"/>
          <w:i/>
          <w:iCs/>
        </w:rPr>
        <w:t>Journal for Theological-Religious and Pedagogical Research</w:t>
      </w:r>
      <w:r>
        <w:rPr>
          <w:rFonts w:ascii="Times New Roman" w:hAnsi="Times New Roman"/>
        </w:rPr>
        <w:t xml:space="preserve"> is a scientific journal published by the Institute of Religious Sciences at the Catholic Faculty of Theology, University of Zagreb. </w:t>
      </w:r>
    </w:p>
    <w:p w14:paraId="2F8A81CB" w14:textId="77777777" w:rsidR="00C666AE" w:rsidRPr="005B4957" w:rsidRDefault="00C666AE" w:rsidP="00C666AE">
      <w:pPr>
        <w:jc w:val="both"/>
        <w:rPr>
          <w:rFonts w:ascii="Times New Roman" w:hAnsi="Times New Roman" w:cs="Times New Roman"/>
        </w:rPr>
      </w:pPr>
      <w:r>
        <w:rPr>
          <w:rFonts w:ascii="Times New Roman" w:hAnsi="Times New Roman"/>
        </w:rPr>
        <w:t xml:space="preserve">The journal is focused on scholarly papers in the fields of theology, religious studies, and pedagogy. It is also open to academic papers from other fields within the humanities and social sciences that explore religious issues from various perspectives. Particular attention is devoted to Christian religious topics. The journal promotes interdisciplinarity and welcomes critical reflection and collaboration with researchers from all scientific disciplines. </w:t>
      </w:r>
    </w:p>
    <w:p w14:paraId="6FA211F3" w14:textId="77777777" w:rsidR="00C666AE" w:rsidRPr="005B4957" w:rsidRDefault="00C666AE" w:rsidP="00C666AE">
      <w:pPr>
        <w:jc w:val="both"/>
        <w:rPr>
          <w:rFonts w:ascii="Times New Roman" w:hAnsi="Times New Roman" w:cs="Times New Roman"/>
        </w:rPr>
      </w:pPr>
      <w:r>
        <w:rPr>
          <w:rFonts w:ascii="Times New Roman" w:hAnsi="Times New Roman"/>
          <w:i/>
          <w:iCs/>
        </w:rPr>
        <w:t>Religion and Education.</w:t>
      </w:r>
      <w:r>
        <w:rPr>
          <w:rFonts w:ascii="Times New Roman" w:hAnsi="Times New Roman"/>
          <w:i/>
        </w:rPr>
        <w:t xml:space="preserve"> </w:t>
      </w:r>
      <w:r>
        <w:rPr>
          <w:rFonts w:ascii="Times New Roman" w:hAnsi="Times New Roman"/>
          <w:i/>
          <w:iCs/>
        </w:rPr>
        <w:t>Journal for Theological-Religious and Educational Research</w:t>
      </w:r>
      <w:r>
        <w:rPr>
          <w:rFonts w:ascii="Times New Roman" w:hAnsi="Times New Roman"/>
        </w:rPr>
        <w:t xml:space="preserve"> publishes papers in standard Croatian as well as in English and Italian. </w:t>
      </w:r>
    </w:p>
    <w:p w14:paraId="379782E0" w14:textId="77777777" w:rsidR="00C666AE" w:rsidRPr="005B4957" w:rsidRDefault="00C666AE" w:rsidP="00C666AE">
      <w:pPr>
        <w:rPr>
          <w:rFonts w:ascii="Times New Roman" w:hAnsi="Times New Roman" w:cs="Times New Roman"/>
          <w:b/>
          <w:bCs/>
        </w:rPr>
      </w:pPr>
      <w:r>
        <w:rPr>
          <w:rFonts w:ascii="Times New Roman" w:hAnsi="Times New Roman"/>
          <w:b/>
          <w:bCs/>
        </w:rPr>
        <w:t xml:space="preserve">Editorial Board </w:t>
      </w:r>
    </w:p>
    <w:p w14:paraId="4A849EEB" w14:textId="77777777" w:rsidR="00C666AE" w:rsidRDefault="00C666AE" w:rsidP="00C666AE">
      <w:pPr>
        <w:jc w:val="both"/>
        <w:rPr>
          <w:rFonts w:ascii="Times New Roman" w:hAnsi="Times New Roman" w:cs="Times New Roman"/>
        </w:rPr>
      </w:pPr>
      <w:r>
        <w:rPr>
          <w:rFonts w:ascii="Times New Roman" w:hAnsi="Times New Roman"/>
        </w:rPr>
        <w:t xml:space="preserve">The journal’s editorial board respects and adheres to high ethical and scientific standards in publishing activities. The board accepts or rejects manuscripts for publication solely on the basis of the journal’s prescribed and publicly available standards, as well as the intellectual and thematic content of the submission. The editor-in-chief and editorial board are obliged to maintain the integrity and confidentiality of the author’s work during the review process. The editor-in-chief and editorial board are responsible for selecting competent and qualified reviewers and for ensuring the fair conduct of the peer review process. The review process entails two or more reviews of a single paper. The journal employs a </w:t>
      </w:r>
      <w:r>
        <w:rPr>
          <w:rFonts w:ascii="Times New Roman" w:hAnsi="Times New Roman"/>
          <w:i/>
          <w:iCs/>
        </w:rPr>
        <w:t xml:space="preserve">double-blind </w:t>
      </w:r>
      <w:r>
        <w:rPr>
          <w:rFonts w:ascii="Times New Roman" w:hAnsi="Times New Roman"/>
        </w:rPr>
        <w:t xml:space="preserve">peer review procedure, meaning that communication between reviewers and authors is mediated by the editorial board and that neither the authors’ nor the reviewers’ identities are disclosed during the review process. The editor-in-chief and editorial board guarantee the anonymity of reviewers even after the completion of the review process. The editorial board may reject an paper without external review if it deems that the proposed topic does not fall within the journal’s scope, if a paper on the same subject has already been published in the journal, if the submission is of poor quality, or if it fails to meet clearly stated requirements for prospective authors. </w:t>
      </w:r>
    </w:p>
    <w:p w14:paraId="5CD18B84" w14:textId="77777777" w:rsidR="00C666AE" w:rsidRDefault="00C666AE" w:rsidP="00C666AE">
      <w:pPr>
        <w:jc w:val="both"/>
        <w:rPr>
          <w:rFonts w:ascii="Times New Roman" w:hAnsi="Times New Roman" w:cs="Times New Roman"/>
        </w:rPr>
      </w:pPr>
      <w:r>
        <w:rPr>
          <w:rFonts w:ascii="Times New Roman" w:hAnsi="Times New Roman"/>
        </w:rPr>
        <w:t xml:space="preserve">To prevent plagiarism, falsification, or any other conduct inconsistent with academic integrity, all received manuscripts are thoroughly screened using available digital tools such as </w:t>
      </w:r>
      <w:r w:rsidRPr="00B11293">
        <w:rPr>
          <w:rFonts w:ascii="Times New Roman" w:hAnsi="Times New Roman"/>
          <w:i/>
          <w:iCs/>
        </w:rPr>
        <w:t>CrossCheck</w:t>
      </w:r>
      <w:r>
        <w:rPr>
          <w:rFonts w:ascii="Times New Roman" w:hAnsi="Times New Roman"/>
        </w:rPr>
        <w:t xml:space="preserve"> and </w:t>
      </w:r>
      <w:r w:rsidRPr="00B11293">
        <w:rPr>
          <w:rFonts w:ascii="Times New Roman" w:hAnsi="Times New Roman"/>
          <w:i/>
          <w:iCs/>
        </w:rPr>
        <w:t>PlagScan</w:t>
      </w:r>
      <w:r>
        <w:rPr>
          <w:rFonts w:ascii="Times New Roman" w:hAnsi="Times New Roman"/>
        </w:rPr>
        <w:t>. If the editorial board detects unacceptable or dishonest intentions on the part of the author, it will reject the paper and recommend precautionary measures.</w:t>
      </w:r>
    </w:p>
    <w:p w14:paraId="6DE2213D" w14:textId="77777777" w:rsidR="00C666AE" w:rsidRPr="005B4957" w:rsidRDefault="00C666AE" w:rsidP="00C666AE">
      <w:pPr>
        <w:rPr>
          <w:rFonts w:ascii="Times New Roman" w:hAnsi="Times New Roman" w:cs="Times New Roman"/>
          <w:b/>
          <w:bCs/>
        </w:rPr>
      </w:pPr>
      <w:r>
        <w:rPr>
          <w:rFonts w:ascii="Times New Roman" w:hAnsi="Times New Roman"/>
          <w:b/>
          <w:bCs/>
        </w:rPr>
        <w:t xml:space="preserve">Reviewers </w:t>
      </w:r>
    </w:p>
    <w:p w14:paraId="17221CA5" w14:textId="77777777" w:rsidR="00C666AE" w:rsidRPr="005B4957" w:rsidRDefault="00C666AE" w:rsidP="00C666AE">
      <w:pPr>
        <w:jc w:val="both"/>
        <w:rPr>
          <w:rFonts w:ascii="Times New Roman" w:hAnsi="Times New Roman" w:cs="Times New Roman"/>
        </w:rPr>
      </w:pPr>
      <w:r>
        <w:rPr>
          <w:rFonts w:ascii="Times New Roman" w:hAnsi="Times New Roman"/>
        </w:rPr>
        <w:t xml:space="preserve">Reviewers are expected to evaluate submissions objectively, responsibly, and constructively, and to notify the editorial board if they lack sufficient expertise in the subject matter or if there is any potential conflict of interest. In such cases, reviewers should withdraw from the review </w:t>
      </w:r>
      <w:r>
        <w:rPr>
          <w:rFonts w:ascii="Times New Roman" w:hAnsi="Times New Roman"/>
        </w:rPr>
        <w:lastRenderedPageBreak/>
        <w:t xml:space="preserve">process. Reviewers are obliged to safeguard the integrity and authorship of the manuscript entrusted to them for review and must not disclose the text or accompanying materials to third parties or use them in their own publications and research prior to the paper’s official publication. Reviewers propose to the editorial board a classification of the paper, but the final decision rests with the board. In the event of differing evaluations from two reviewers, the editorial board may seek the opinion of a third reviewer, and the final decision on publication and categorisation lies with the board. </w:t>
      </w:r>
    </w:p>
    <w:p w14:paraId="12B1A69C" w14:textId="77777777" w:rsidR="00C666AE" w:rsidRPr="005B4957" w:rsidRDefault="00C666AE" w:rsidP="00C666AE">
      <w:pPr>
        <w:rPr>
          <w:rFonts w:ascii="Times New Roman" w:hAnsi="Times New Roman" w:cs="Times New Roman"/>
          <w:b/>
          <w:bCs/>
        </w:rPr>
      </w:pPr>
      <w:r>
        <w:rPr>
          <w:rFonts w:ascii="Times New Roman" w:hAnsi="Times New Roman"/>
          <w:b/>
          <w:bCs/>
        </w:rPr>
        <w:t xml:space="preserve">Authors </w:t>
      </w:r>
    </w:p>
    <w:p w14:paraId="445158C8" w14:textId="77777777" w:rsidR="00C666AE" w:rsidRDefault="00C666AE" w:rsidP="00C666AE">
      <w:pPr>
        <w:jc w:val="both"/>
        <w:rPr>
          <w:rFonts w:ascii="Times New Roman" w:hAnsi="Times New Roman" w:cs="Times New Roman"/>
        </w:rPr>
      </w:pPr>
      <w:r>
        <w:rPr>
          <w:rFonts w:ascii="Times New Roman" w:hAnsi="Times New Roman"/>
        </w:rPr>
        <w:t xml:space="preserve">Authors are responsible for the originality and authorship of their manuscript. They are required to clearly indicate their use of others’ work, citing and referencing it appropriately. They must obtain permission to publish images, documents, and similar materials from the relevant copyright holders. Authors should acknowledge organisations, scientific projects, or institutions that supported the research published in the paper. The journal does not publish articles that have already been published or submitted to another journal. Such practices constitute a misuse of reviewers’ and editors’ time and are deemed unacceptable and inconsistent with the standards of the academic community. By submitting their work for publication in the journal, authors consent to having their papers displayed in the PDF format on the </w:t>
      </w:r>
      <w:r w:rsidRPr="00B11293">
        <w:rPr>
          <w:rFonts w:ascii="Times New Roman" w:hAnsi="Times New Roman"/>
          <w:i/>
          <w:iCs/>
        </w:rPr>
        <w:t>Hrčak</w:t>
      </w:r>
      <w:r>
        <w:rPr>
          <w:rFonts w:ascii="Times New Roman" w:hAnsi="Times New Roman"/>
        </w:rPr>
        <w:t xml:space="preserve"> website, the Croatian scientific journals portal, and other online bibliographic databases. In cases of suspected misuse of authorship data, plagiarism, redundant publication, data falsification, or conflicts of interest, the editorial board will act in accordance with the recommendations of the Ministry of Science and Education and the COPE Guidelines </w:t>
      </w:r>
      <w:bookmarkStart w:id="0" w:name="_Hlk187142785"/>
      <w:r>
        <w:rPr>
          <w:rFonts w:ascii="Times New Roman" w:hAnsi="Times New Roman"/>
        </w:rPr>
        <w:t>(</w:t>
      </w:r>
      <w:r>
        <w:rPr>
          <w:rFonts w:ascii="Times New Roman" w:hAnsi="Times New Roman"/>
          <w:i/>
        </w:rPr>
        <w:t>Committee of Publication Ethics Guidelines</w:t>
      </w:r>
      <w:r>
        <w:rPr>
          <w:rFonts w:ascii="Times New Roman" w:hAnsi="Times New Roman"/>
        </w:rPr>
        <w:t xml:space="preserve">: </w:t>
      </w:r>
      <w:hyperlink r:id="rId6" w:history="1">
        <w:r>
          <w:rPr>
            <w:rStyle w:val="Hyperlink"/>
            <w:rFonts w:ascii="Times New Roman" w:hAnsi="Times New Roman"/>
          </w:rPr>
          <w:t>https://publicationethics.org/files/Code%20of%20Conduct_2.pdf</w:t>
        </w:r>
      </w:hyperlink>
      <w:r>
        <w:rPr>
          <w:rFonts w:ascii="Times New Roman" w:hAnsi="Times New Roman"/>
        </w:rPr>
        <w:t xml:space="preserve">). </w:t>
      </w:r>
      <w:bookmarkEnd w:id="0"/>
    </w:p>
    <w:sectPr w:rsidR="00C666A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D4FF" w14:textId="77777777" w:rsidR="00D76B2A" w:rsidRDefault="00D76B2A" w:rsidP="00D76B2A">
      <w:pPr>
        <w:spacing w:after="0" w:line="240" w:lineRule="auto"/>
      </w:pPr>
      <w:r>
        <w:separator/>
      </w:r>
    </w:p>
  </w:endnote>
  <w:endnote w:type="continuationSeparator" w:id="0">
    <w:p w14:paraId="6C62E0D0" w14:textId="77777777" w:rsidR="00D76B2A" w:rsidRDefault="00D76B2A" w:rsidP="00D7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FCC3" w14:textId="77777777" w:rsidR="00BD10DF" w:rsidRDefault="00BD1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36DF" w14:textId="3FCEF05A" w:rsidR="00BD10DF" w:rsidRPr="00BD10DF" w:rsidRDefault="00BD10DF" w:rsidP="00BD10DF">
    <w:pPr>
      <w:pStyle w:val="BasicParagraph"/>
      <w:jc w:val="center"/>
      <w:rPr>
        <w:rFonts w:ascii="Cambria" w:hAnsi="Cambria" w:cs="Cambria"/>
        <w:color w:val="003FCB"/>
        <w:sz w:val="15"/>
        <w:szCs w:val="16"/>
      </w:rPr>
    </w:pPr>
    <w:r>
      <w:rPr>
        <w:noProof/>
      </w:rPr>
      <mc:AlternateContent>
        <mc:Choice Requires="wps">
          <w:drawing>
            <wp:anchor distT="0" distB="0" distL="114300" distR="114300" simplePos="0" relativeHeight="251660288" behindDoc="0" locked="0" layoutInCell="1" allowOverlap="1" wp14:anchorId="393439BF" wp14:editId="2DEB4223">
              <wp:simplePos x="0" y="0"/>
              <wp:positionH relativeFrom="column">
                <wp:posOffset>-29845</wp:posOffset>
              </wp:positionH>
              <wp:positionV relativeFrom="paragraph">
                <wp:posOffset>-130810</wp:posOffset>
              </wp:positionV>
              <wp:extent cx="5767705" cy="0"/>
              <wp:effectExtent l="0" t="0" r="0" b="0"/>
              <wp:wrapNone/>
              <wp:docPr id="2" name="Ravni poveznik 1"/>
              <wp:cNvGraphicFramePr/>
              <a:graphic xmlns:a="http://schemas.openxmlformats.org/drawingml/2006/main">
                <a:graphicData uri="http://schemas.microsoft.com/office/word/2010/wordprocessingShape">
                  <wps:wsp>
                    <wps:cNvCnPr/>
                    <wps:spPr>
                      <a:xfrm>
                        <a:off x="0" y="0"/>
                        <a:ext cx="576770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6AD9F94" id="Ravni poveznik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0.3pt" to="451.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" strokecolor="#0070c0" strokeweight=".5pt">
              <v:stroke joinstyle="miter"/>
            </v:line>
          </w:pict>
        </mc:Fallback>
      </mc:AlternateContent>
    </w:r>
    <w:r>
      <w:rPr>
        <w:rFonts w:ascii="Cambria" w:hAnsi="Cambria" w:cs="Cambria"/>
        <w:color w:val="003FCB"/>
        <w:sz w:val="15"/>
        <w:szCs w:val="16"/>
        <w:lang w:val="pl-PL"/>
      </w:rPr>
      <w:t xml:space="preserve">Vlaška ulica 38, p.p. 5; HR-10000 ZAGREB • Tel. </w:t>
    </w:r>
    <w:r>
      <w:rPr>
        <w:rFonts w:ascii="Cambria" w:hAnsi="Cambria" w:cs="Cambria"/>
        <w:color w:val="003FCB"/>
        <w:sz w:val="15"/>
        <w:szCs w:val="16"/>
      </w:rPr>
      <w:t>+385 1 2117 624 •</w:t>
    </w:r>
    <w:r>
      <w:rPr>
        <w:rFonts w:ascii="Cambria" w:hAnsi="Cambria"/>
        <w:color w:val="004DC0"/>
        <w:sz w:val="22"/>
      </w:rPr>
      <w:br/>
    </w:r>
    <w:r>
      <w:rPr>
        <w:rFonts w:ascii="Cambria" w:hAnsi="Cambria" w:cs="Cambria"/>
        <w:color w:val="003FCB"/>
        <w:sz w:val="15"/>
        <w:szCs w:val="16"/>
      </w:rPr>
      <w:t>e-mail: rio@kbf.unizg.hr • www.kbf.unizg.hr • OIB: 48987767944 • IBAN: HR7323600001101358687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46A9" w14:textId="77777777" w:rsidR="00BD10DF" w:rsidRDefault="00BD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D441" w14:textId="77777777" w:rsidR="00D76B2A" w:rsidRDefault="00D76B2A" w:rsidP="00D76B2A">
      <w:pPr>
        <w:spacing w:after="0" w:line="240" w:lineRule="auto"/>
      </w:pPr>
      <w:r>
        <w:separator/>
      </w:r>
    </w:p>
  </w:footnote>
  <w:footnote w:type="continuationSeparator" w:id="0">
    <w:p w14:paraId="36C0A74D" w14:textId="77777777" w:rsidR="00D76B2A" w:rsidRDefault="00D76B2A" w:rsidP="00D76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E99B" w14:textId="77777777" w:rsidR="00BD10DF" w:rsidRDefault="00BD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EB6D" w14:textId="15F54D00" w:rsidR="00D76B2A" w:rsidRDefault="00D76B2A">
    <w:pPr>
      <w:pStyle w:val="Header"/>
    </w:pPr>
    <w:r>
      <w:rPr>
        <w:noProof/>
      </w:rPr>
      <w:drawing>
        <wp:anchor distT="0" distB="0" distL="114300" distR="114300" simplePos="0" relativeHeight="251658240" behindDoc="0" locked="0" layoutInCell="1" allowOverlap="1" wp14:anchorId="7E97B025" wp14:editId="50711EFD">
          <wp:simplePos x="0" y="0"/>
          <wp:positionH relativeFrom="margin">
            <wp:align>center</wp:align>
          </wp:positionH>
          <wp:positionV relativeFrom="paragraph">
            <wp:posOffset>-363855</wp:posOffset>
          </wp:positionV>
          <wp:extent cx="7316967" cy="1298536"/>
          <wp:effectExtent l="0" t="0" r="0" b="0"/>
          <wp:wrapSquare wrapText="bothSides"/>
          <wp:docPr id="4718862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86214" name="Slika 471886214"/>
                  <pic:cNvPicPr/>
                </pic:nvPicPr>
                <pic:blipFill>
                  <a:blip r:embed="rId1">
                    <a:extLst>
                      <a:ext uri="{28A0092B-C50C-407E-A947-70E740481C1C}">
                        <a14:useLocalDpi xmlns:a14="http://schemas.microsoft.com/office/drawing/2010/main" val="0"/>
                      </a:ext>
                    </a:extLst>
                  </a:blip>
                  <a:stretch>
                    <a:fillRect/>
                  </a:stretch>
                </pic:blipFill>
                <pic:spPr>
                  <a:xfrm>
                    <a:off x="0" y="0"/>
                    <a:ext cx="7316967" cy="129853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1E47" w14:textId="77777777" w:rsidR="00BD10DF" w:rsidRDefault="00BD10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2A"/>
    <w:rsid w:val="003C046C"/>
    <w:rsid w:val="00577DDD"/>
    <w:rsid w:val="00756FCD"/>
    <w:rsid w:val="00AF4B5A"/>
    <w:rsid w:val="00BD10DF"/>
    <w:rsid w:val="00C666AE"/>
    <w:rsid w:val="00D43A13"/>
    <w:rsid w:val="00D76B2A"/>
    <w:rsid w:val="00FC2C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44A0F"/>
  <w15:chartTrackingRefBased/>
  <w15:docId w15:val="{A512ABED-4DA0-4303-B876-EE9F3558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B2A"/>
    <w:rPr>
      <w:rFonts w:eastAsiaTheme="majorEastAsia" w:cstheme="majorBidi"/>
      <w:color w:val="272727" w:themeColor="text1" w:themeTint="D8"/>
    </w:rPr>
  </w:style>
  <w:style w:type="paragraph" w:styleId="Title">
    <w:name w:val="Title"/>
    <w:basedOn w:val="Normal"/>
    <w:next w:val="Normal"/>
    <w:link w:val="TitleChar"/>
    <w:uiPriority w:val="10"/>
    <w:qFormat/>
    <w:rsid w:val="00D7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B2A"/>
    <w:pPr>
      <w:spacing w:before="160"/>
      <w:jc w:val="center"/>
    </w:pPr>
    <w:rPr>
      <w:i/>
      <w:iCs/>
      <w:color w:val="404040" w:themeColor="text1" w:themeTint="BF"/>
    </w:rPr>
  </w:style>
  <w:style w:type="character" w:customStyle="1" w:styleId="QuoteChar">
    <w:name w:val="Quote Char"/>
    <w:basedOn w:val="DefaultParagraphFont"/>
    <w:link w:val="Quote"/>
    <w:uiPriority w:val="29"/>
    <w:rsid w:val="00D76B2A"/>
    <w:rPr>
      <w:i/>
      <w:iCs/>
      <w:color w:val="404040" w:themeColor="text1" w:themeTint="BF"/>
    </w:rPr>
  </w:style>
  <w:style w:type="paragraph" w:styleId="ListParagraph">
    <w:name w:val="List Paragraph"/>
    <w:basedOn w:val="Normal"/>
    <w:uiPriority w:val="34"/>
    <w:qFormat/>
    <w:rsid w:val="00D76B2A"/>
    <w:pPr>
      <w:ind w:left="720"/>
      <w:contextualSpacing/>
    </w:pPr>
  </w:style>
  <w:style w:type="character" w:styleId="IntenseEmphasis">
    <w:name w:val="Intense Emphasis"/>
    <w:basedOn w:val="DefaultParagraphFont"/>
    <w:uiPriority w:val="21"/>
    <w:qFormat/>
    <w:rsid w:val="00D76B2A"/>
    <w:rPr>
      <w:i/>
      <w:iCs/>
      <w:color w:val="0F4761" w:themeColor="accent1" w:themeShade="BF"/>
    </w:rPr>
  </w:style>
  <w:style w:type="paragraph" w:styleId="IntenseQuote">
    <w:name w:val="Intense Quote"/>
    <w:basedOn w:val="Normal"/>
    <w:next w:val="Normal"/>
    <w:link w:val="IntenseQuoteChar"/>
    <w:uiPriority w:val="30"/>
    <w:qFormat/>
    <w:rsid w:val="00D76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B2A"/>
    <w:rPr>
      <w:i/>
      <w:iCs/>
      <w:color w:val="0F4761" w:themeColor="accent1" w:themeShade="BF"/>
    </w:rPr>
  </w:style>
  <w:style w:type="character" w:styleId="IntenseReference">
    <w:name w:val="Intense Reference"/>
    <w:basedOn w:val="DefaultParagraphFont"/>
    <w:uiPriority w:val="32"/>
    <w:qFormat/>
    <w:rsid w:val="00D76B2A"/>
    <w:rPr>
      <w:b/>
      <w:bCs/>
      <w:smallCaps/>
      <w:color w:val="0F4761" w:themeColor="accent1" w:themeShade="BF"/>
      <w:spacing w:val="5"/>
    </w:rPr>
  </w:style>
  <w:style w:type="paragraph" w:styleId="Header">
    <w:name w:val="header"/>
    <w:basedOn w:val="Normal"/>
    <w:link w:val="HeaderChar"/>
    <w:uiPriority w:val="99"/>
    <w:unhideWhenUsed/>
    <w:rsid w:val="00D76B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6B2A"/>
  </w:style>
  <w:style w:type="paragraph" w:styleId="Footer">
    <w:name w:val="footer"/>
    <w:basedOn w:val="Normal"/>
    <w:link w:val="FooterChar"/>
    <w:uiPriority w:val="99"/>
    <w:unhideWhenUsed/>
    <w:rsid w:val="00D76B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6B2A"/>
  </w:style>
  <w:style w:type="paragraph" w:customStyle="1" w:styleId="BasicParagraph">
    <w:name w:val="[Basic Paragraph]"/>
    <w:basedOn w:val="Normal"/>
    <w:uiPriority w:val="99"/>
    <w:rsid w:val="00BD10DF"/>
    <w:pPr>
      <w:autoSpaceDE w:val="0"/>
      <w:autoSpaceDN w:val="0"/>
      <w:adjustRightInd w:val="0"/>
      <w:spacing w:after="0" w:line="288" w:lineRule="auto"/>
    </w:pPr>
    <w:rPr>
      <w:rFonts w:ascii="Minion Pro" w:hAnsi="Minion Pro" w:cs="Minion Pro"/>
      <w:color w:val="000000"/>
      <w:kern w:val="0"/>
      <w:lang w:val="en-US"/>
      <w14:ligatures w14:val="none"/>
    </w:rPr>
  </w:style>
  <w:style w:type="character" w:styleId="Hyperlink">
    <w:name w:val="Hyperlink"/>
    <w:basedOn w:val="DefaultParagraphFont"/>
    <w:uiPriority w:val="99"/>
    <w:unhideWhenUsed/>
    <w:rsid w:val="00C666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tionethics.org/files/Code%20of%20Conduct_2.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Čorba</dc:creator>
  <cp:keywords/>
  <dc:description/>
  <cp:lastModifiedBy>Ružica Razum</cp:lastModifiedBy>
  <cp:revision>2</cp:revision>
  <cp:lastPrinted>2025-10-07T12:45:00Z</cp:lastPrinted>
  <dcterms:created xsi:type="dcterms:W3CDTF">2025-10-08T07:44:00Z</dcterms:created>
  <dcterms:modified xsi:type="dcterms:W3CDTF">2025-10-08T07:44:00Z</dcterms:modified>
</cp:coreProperties>
</file>