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1A913" w14:textId="23C38B73" w:rsidR="007B264B" w:rsidRPr="00AB34BA" w:rsidRDefault="007B264B" w:rsidP="007B264B">
      <w:pPr>
        <w:jc w:val="center"/>
        <w:rPr>
          <w:rFonts w:asciiTheme="majorBidi" w:hAnsiTheme="majorBidi" w:cstheme="majorBidi"/>
          <w:b/>
        </w:rPr>
      </w:pPr>
      <w:r w:rsidRPr="00AB34BA">
        <w:rPr>
          <w:rFonts w:asciiTheme="majorBidi" w:hAnsiTheme="majorBidi" w:cstheme="majorBidi"/>
          <w:b/>
        </w:rPr>
        <w:t>G</w:t>
      </w:r>
      <w:r>
        <w:rPr>
          <w:rFonts w:asciiTheme="majorBidi" w:hAnsiTheme="majorBidi" w:cstheme="majorBidi"/>
          <w:b/>
        </w:rPr>
        <w:t>UIDELINES FOR AUTHORS</w:t>
      </w:r>
    </w:p>
    <w:p w14:paraId="43AFF919" w14:textId="77777777" w:rsidR="007B264B" w:rsidRPr="00AB34BA" w:rsidRDefault="007B264B" w:rsidP="007B264B">
      <w:pPr>
        <w:jc w:val="center"/>
        <w:rPr>
          <w:rFonts w:asciiTheme="majorBidi" w:hAnsiTheme="majorBidi" w:cstheme="majorBidi"/>
        </w:rPr>
      </w:pPr>
    </w:p>
    <w:p w14:paraId="50F3FA97" w14:textId="77777777" w:rsidR="007B264B" w:rsidRPr="00AB34BA" w:rsidRDefault="007B264B" w:rsidP="007B264B">
      <w:pPr>
        <w:pStyle w:val="ListParagraph"/>
        <w:numPr>
          <w:ilvl w:val="0"/>
          <w:numId w:val="1"/>
        </w:numPr>
        <w:spacing w:line="259" w:lineRule="auto"/>
        <w:jc w:val="both"/>
        <w:rPr>
          <w:rFonts w:asciiTheme="majorBidi" w:hAnsiTheme="majorBidi" w:cstheme="majorBidi"/>
          <w:b/>
          <w:bCs/>
        </w:rPr>
      </w:pPr>
      <w:r w:rsidRPr="00AB34BA">
        <w:rPr>
          <w:rFonts w:asciiTheme="majorBidi" w:hAnsiTheme="majorBidi" w:cstheme="majorBidi"/>
          <w:b/>
          <w:bCs/>
        </w:rPr>
        <w:t>General Information</w:t>
      </w:r>
    </w:p>
    <w:p w14:paraId="3AE149C6" w14:textId="77777777" w:rsidR="007B264B" w:rsidRPr="00AB34BA" w:rsidRDefault="007B264B" w:rsidP="007B264B">
      <w:pPr>
        <w:jc w:val="both"/>
        <w:rPr>
          <w:rFonts w:asciiTheme="majorBidi" w:hAnsiTheme="majorBidi" w:cstheme="majorBidi"/>
        </w:rPr>
      </w:pPr>
      <w:r w:rsidRPr="00AB34BA">
        <w:rPr>
          <w:rFonts w:asciiTheme="majorBidi" w:hAnsiTheme="majorBidi" w:cstheme="majorBidi"/>
          <w:i/>
          <w:iCs/>
        </w:rPr>
        <w:t>Religion and Education.</w:t>
      </w:r>
      <w:r w:rsidRPr="00AB34BA">
        <w:rPr>
          <w:rFonts w:asciiTheme="majorBidi" w:hAnsiTheme="majorBidi" w:cstheme="majorBidi"/>
          <w:i/>
        </w:rPr>
        <w:t xml:space="preserve"> </w:t>
      </w:r>
      <w:r w:rsidRPr="00AB34BA">
        <w:rPr>
          <w:rFonts w:asciiTheme="majorBidi" w:hAnsiTheme="majorBidi" w:cstheme="majorBidi"/>
          <w:i/>
          <w:iCs/>
        </w:rPr>
        <w:t>Journal for Theological-Religious and Pedagogical Research</w:t>
      </w:r>
      <w:r w:rsidRPr="00AB34BA">
        <w:rPr>
          <w:rFonts w:asciiTheme="majorBidi" w:hAnsiTheme="majorBidi" w:cstheme="majorBidi"/>
        </w:rPr>
        <w:t xml:space="preserve"> is a scientific journal published by the Institute of Religious Sciences at the Catholic Faculty of Theology, University of Zagreb. The decision to establish the journal was adopted by the Catholic Faculty of Theology Faculty Council on 20 September 2024. </w:t>
      </w:r>
    </w:p>
    <w:p w14:paraId="6FD7FF61" w14:textId="77777777" w:rsidR="007B264B" w:rsidRPr="00AB34BA" w:rsidRDefault="007B264B" w:rsidP="007B264B">
      <w:pPr>
        <w:jc w:val="both"/>
        <w:rPr>
          <w:rFonts w:asciiTheme="majorBidi" w:hAnsiTheme="majorBidi" w:cstheme="majorBidi"/>
        </w:rPr>
      </w:pPr>
      <w:r w:rsidRPr="00AB34BA">
        <w:rPr>
          <w:rFonts w:asciiTheme="majorBidi" w:hAnsiTheme="majorBidi" w:cstheme="majorBidi"/>
        </w:rPr>
        <w:t xml:space="preserve">The journal is focused on scholarly papers in the fields of theology, religious studies, and pedagogy. It is also open to academic papers from other fields within the humanities and social sciences that explore religious issues from various perspectives. Particular attention is devoted to Christian religious topics. The journal promotes interdisciplinarity and welcomes critical reflection and collaboration with researchers from all scientific disciplines. </w:t>
      </w:r>
    </w:p>
    <w:p w14:paraId="4C6D0CE5" w14:textId="77777777" w:rsidR="007B264B" w:rsidRPr="00AB34BA" w:rsidRDefault="007B264B" w:rsidP="007B264B">
      <w:pPr>
        <w:jc w:val="both"/>
        <w:rPr>
          <w:rFonts w:asciiTheme="majorBidi" w:hAnsiTheme="majorBidi" w:cstheme="majorBidi"/>
        </w:rPr>
      </w:pPr>
      <w:r w:rsidRPr="00AB34BA">
        <w:rPr>
          <w:rFonts w:asciiTheme="majorBidi" w:hAnsiTheme="majorBidi" w:cstheme="majorBidi"/>
        </w:rPr>
        <w:t xml:space="preserve">The journal is published twice a year in electronic format. Each issue is thematically curated, featuring peer-reviewed and categorised papers, as well as papers that are not subject to peer review. Peer-reviewed articles are accepted for publication based on positive reviews received through a double-blind peer review process. </w:t>
      </w:r>
    </w:p>
    <w:p w14:paraId="0E949352" w14:textId="77777777" w:rsidR="007B264B" w:rsidRPr="00AB34BA" w:rsidRDefault="007B264B" w:rsidP="007B264B">
      <w:pPr>
        <w:jc w:val="both"/>
        <w:rPr>
          <w:rFonts w:asciiTheme="majorBidi" w:hAnsiTheme="majorBidi" w:cstheme="majorBidi"/>
        </w:rPr>
      </w:pPr>
      <w:r w:rsidRPr="00AB34BA">
        <w:rPr>
          <w:rFonts w:asciiTheme="majorBidi" w:hAnsiTheme="majorBidi" w:cstheme="majorBidi"/>
        </w:rPr>
        <w:t xml:space="preserve">In addition to categorised scholarly and professional papers, </w:t>
      </w:r>
      <w:r w:rsidRPr="00AB34BA">
        <w:rPr>
          <w:rFonts w:asciiTheme="majorBidi" w:hAnsiTheme="majorBidi" w:cstheme="majorBidi"/>
          <w:i/>
          <w:iCs/>
        </w:rPr>
        <w:t>Religion and Education.</w:t>
      </w:r>
      <w:r w:rsidRPr="00AB34BA">
        <w:rPr>
          <w:rFonts w:asciiTheme="majorBidi" w:hAnsiTheme="majorBidi" w:cstheme="majorBidi"/>
          <w:i/>
        </w:rPr>
        <w:t xml:space="preserve"> </w:t>
      </w:r>
      <w:r w:rsidRPr="00AB34BA">
        <w:rPr>
          <w:rFonts w:asciiTheme="majorBidi" w:hAnsiTheme="majorBidi" w:cstheme="majorBidi"/>
          <w:i/>
          <w:iCs/>
        </w:rPr>
        <w:t>Journal for Theological-Religious and Pedagogical Research</w:t>
      </w:r>
      <w:r w:rsidRPr="00AB34BA">
        <w:rPr>
          <w:rFonts w:asciiTheme="majorBidi" w:hAnsiTheme="majorBidi" w:cstheme="majorBidi"/>
        </w:rPr>
        <w:t xml:space="preserve"> also publishes reports on academic conferences related to theological, religious, and pedagogical topics, as well as communications, commentaries, reviews, overviews, and bibliographies. The editorial board accepts only those manuscripts that have not been previously published in either print or electronic form.</w:t>
      </w:r>
    </w:p>
    <w:p w14:paraId="74E47A5E" w14:textId="77777777" w:rsidR="007B264B" w:rsidRPr="00AB34BA" w:rsidRDefault="007B264B" w:rsidP="007B264B">
      <w:pPr>
        <w:pStyle w:val="ListParagraph"/>
        <w:ind w:left="284"/>
        <w:jc w:val="both"/>
        <w:rPr>
          <w:rFonts w:asciiTheme="majorBidi" w:hAnsiTheme="majorBidi" w:cstheme="majorBidi"/>
          <w:b/>
        </w:rPr>
      </w:pPr>
    </w:p>
    <w:p w14:paraId="7C375038" w14:textId="77777777" w:rsidR="007B264B" w:rsidRPr="00AB34BA" w:rsidRDefault="007B264B" w:rsidP="007B264B">
      <w:pPr>
        <w:pStyle w:val="ListParagraph"/>
        <w:ind w:left="284"/>
        <w:jc w:val="both"/>
        <w:rPr>
          <w:rFonts w:asciiTheme="majorBidi" w:hAnsiTheme="majorBidi" w:cstheme="majorBidi"/>
          <w:b/>
        </w:rPr>
      </w:pPr>
      <w:r w:rsidRPr="00AB34BA">
        <w:rPr>
          <w:rFonts w:asciiTheme="majorBidi" w:hAnsiTheme="majorBidi" w:cstheme="majorBidi"/>
          <w:b/>
        </w:rPr>
        <w:t>Categorised Papers</w:t>
      </w:r>
    </w:p>
    <w:p w14:paraId="710D8015" w14:textId="77777777" w:rsidR="007B264B" w:rsidRPr="00AB34BA" w:rsidRDefault="007B264B" w:rsidP="007B264B">
      <w:pPr>
        <w:pStyle w:val="ListParagraph"/>
        <w:ind w:left="284"/>
        <w:jc w:val="both"/>
        <w:rPr>
          <w:rFonts w:asciiTheme="majorBidi" w:hAnsiTheme="majorBidi" w:cstheme="majorBidi"/>
        </w:rPr>
      </w:pPr>
      <w:bookmarkStart w:id="0" w:name="_Hlk187158811"/>
      <w:r w:rsidRPr="00AB34BA">
        <w:rPr>
          <w:rFonts w:asciiTheme="majorBidi" w:hAnsiTheme="majorBidi" w:cstheme="majorBidi"/>
        </w:rPr>
        <w:t xml:space="preserve">1) </w:t>
      </w:r>
      <w:r w:rsidRPr="00AB34BA">
        <w:rPr>
          <w:rFonts w:asciiTheme="majorBidi" w:hAnsiTheme="majorBidi" w:cstheme="majorBidi"/>
          <w:i/>
          <w:iCs/>
        </w:rPr>
        <w:t>Original scientific paper</w:t>
      </w:r>
      <w:r w:rsidRPr="00AB34BA">
        <w:rPr>
          <w:rFonts w:asciiTheme="majorBidi" w:hAnsiTheme="majorBidi" w:cstheme="majorBidi"/>
        </w:rPr>
        <w:t xml:space="preserve">: A paper containing previously unpublished theoretical or practical results of scientific research, thoroughly elaborated and presented in an objectively verifiable manner. </w:t>
      </w:r>
    </w:p>
    <w:p w14:paraId="2DF79CB1" w14:textId="77777777" w:rsidR="007B264B" w:rsidRPr="00AB34BA" w:rsidRDefault="007B264B" w:rsidP="007B264B">
      <w:pPr>
        <w:pStyle w:val="ListParagraph"/>
        <w:ind w:left="284"/>
        <w:jc w:val="both"/>
        <w:rPr>
          <w:rFonts w:asciiTheme="majorBidi" w:hAnsiTheme="majorBidi" w:cstheme="majorBidi"/>
        </w:rPr>
      </w:pPr>
      <w:r w:rsidRPr="00AB34BA">
        <w:rPr>
          <w:rFonts w:asciiTheme="majorBidi" w:hAnsiTheme="majorBidi" w:cstheme="majorBidi"/>
        </w:rPr>
        <w:t xml:space="preserve">2) </w:t>
      </w:r>
      <w:r w:rsidRPr="00AB34BA">
        <w:rPr>
          <w:rFonts w:asciiTheme="majorBidi" w:hAnsiTheme="majorBidi" w:cstheme="majorBidi"/>
          <w:i/>
          <w:iCs/>
        </w:rPr>
        <w:t>Preliminary communication</w:t>
      </w:r>
      <w:r w:rsidRPr="00AB34BA">
        <w:rPr>
          <w:rFonts w:asciiTheme="majorBidi" w:hAnsiTheme="majorBidi" w:cstheme="majorBidi"/>
        </w:rPr>
        <w:t xml:space="preserve">: A paper containing preliminary results of ongoing scientific research. It does not have to allow for verification of the presented results. This category also includes paper that present a newly formulated problem accompanied by a well-argued rationale, albeit without full elaboration. </w:t>
      </w:r>
    </w:p>
    <w:p w14:paraId="0F42FDE8" w14:textId="77777777" w:rsidR="007B264B" w:rsidRPr="00AB34BA" w:rsidRDefault="007B264B" w:rsidP="007B264B">
      <w:pPr>
        <w:pStyle w:val="ListParagraph"/>
        <w:ind w:left="284"/>
        <w:jc w:val="both"/>
        <w:rPr>
          <w:rFonts w:asciiTheme="majorBidi" w:hAnsiTheme="majorBidi" w:cstheme="majorBidi"/>
        </w:rPr>
      </w:pPr>
      <w:r w:rsidRPr="00AB34BA">
        <w:rPr>
          <w:rFonts w:asciiTheme="majorBidi" w:hAnsiTheme="majorBidi" w:cstheme="majorBidi"/>
        </w:rPr>
        <w:t xml:space="preserve">3) </w:t>
      </w:r>
      <w:r w:rsidRPr="00AB34BA">
        <w:rPr>
          <w:rFonts w:asciiTheme="majorBidi" w:hAnsiTheme="majorBidi" w:cstheme="majorBidi"/>
          <w:i/>
          <w:iCs/>
        </w:rPr>
        <w:t>Review article</w:t>
      </w:r>
      <w:r w:rsidRPr="00AB34BA">
        <w:rPr>
          <w:rFonts w:asciiTheme="majorBidi" w:hAnsiTheme="majorBidi" w:cstheme="majorBidi"/>
        </w:rPr>
        <w:t xml:space="preserve">: An original, concise, and critical overview of the current state and trends in a given research area, with evaluative commentary and assessment. </w:t>
      </w:r>
    </w:p>
    <w:p w14:paraId="18136B53" w14:textId="77777777" w:rsidR="007B264B" w:rsidRPr="00AB34BA" w:rsidRDefault="007B264B" w:rsidP="007B264B">
      <w:pPr>
        <w:pStyle w:val="ListParagraph"/>
        <w:ind w:left="284"/>
        <w:jc w:val="both"/>
        <w:rPr>
          <w:rFonts w:asciiTheme="majorBidi" w:hAnsiTheme="majorBidi" w:cstheme="majorBidi"/>
        </w:rPr>
      </w:pPr>
      <w:r w:rsidRPr="00AB34BA">
        <w:rPr>
          <w:rFonts w:asciiTheme="majorBidi" w:hAnsiTheme="majorBidi" w:cstheme="majorBidi"/>
        </w:rPr>
        <w:t xml:space="preserve">4) </w:t>
      </w:r>
      <w:r w:rsidRPr="00AB34BA">
        <w:rPr>
          <w:rFonts w:asciiTheme="majorBidi" w:hAnsiTheme="majorBidi" w:cstheme="majorBidi"/>
          <w:i/>
          <w:iCs/>
        </w:rPr>
        <w:t>Professional paper</w:t>
      </w:r>
      <w:r w:rsidRPr="00AB34BA">
        <w:rPr>
          <w:rFonts w:asciiTheme="majorBidi" w:hAnsiTheme="majorBidi" w:cstheme="majorBidi"/>
        </w:rPr>
        <w:t>: A paper that provides information or introduces issues within a particular professional field, or presents original solutions from the field.</w:t>
      </w:r>
    </w:p>
    <w:bookmarkEnd w:id="0"/>
    <w:p w14:paraId="3C0911EA" w14:textId="77777777" w:rsidR="007B264B" w:rsidRPr="00AB34BA" w:rsidRDefault="007B264B" w:rsidP="007B264B">
      <w:pPr>
        <w:pStyle w:val="ListParagraph"/>
        <w:ind w:left="284"/>
        <w:jc w:val="both"/>
        <w:rPr>
          <w:rFonts w:asciiTheme="majorBidi" w:hAnsiTheme="majorBidi" w:cstheme="majorBidi"/>
        </w:rPr>
      </w:pPr>
    </w:p>
    <w:p w14:paraId="430111C7" w14:textId="77777777" w:rsidR="007B264B" w:rsidRPr="00AB34BA" w:rsidRDefault="007B264B" w:rsidP="007B264B">
      <w:pPr>
        <w:pStyle w:val="ListParagraph"/>
        <w:ind w:left="284"/>
        <w:jc w:val="both"/>
        <w:rPr>
          <w:rFonts w:asciiTheme="majorBidi" w:hAnsiTheme="majorBidi" w:cstheme="majorBidi"/>
          <w:b/>
        </w:rPr>
      </w:pPr>
      <w:r w:rsidRPr="00AB34BA">
        <w:rPr>
          <w:rFonts w:asciiTheme="majorBidi" w:hAnsiTheme="majorBidi" w:cstheme="majorBidi"/>
          <w:b/>
        </w:rPr>
        <w:t>Uncategorised Texts:</w:t>
      </w:r>
    </w:p>
    <w:p w14:paraId="1B13DBFB" w14:textId="77777777" w:rsidR="007B264B" w:rsidRPr="00AB34BA" w:rsidRDefault="007B264B" w:rsidP="007B264B">
      <w:pPr>
        <w:pStyle w:val="ListParagraph"/>
        <w:ind w:left="284"/>
        <w:jc w:val="both"/>
        <w:rPr>
          <w:rFonts w:asciiTheme="majorBidi" w:hAnsiTheme="majorBidi" w:cstheme="majorBidi"/>
        </w:rPr>
      </w:pPr>
      <w:r w:rsidRPr="00AB34BA">
        <w:rPr>
          <w:rFonts w:asciiTheme="majorBidi" w:hAnsiTheme="majorBidi" w:cstheme="majorBidi"/>
          <w:i/>
          <w:iCs/>
        </w:rPr>
        <w:lastRenderedPageBreak/>
        <w:t>Editorial</w:t>
      </w:r>
      <w:r w:rsidRPr="00AB34BA">
        <w:rPr>
          <w:rFonts w:asciiTheme="majorBidi" w:hAnsiTheme="majorBidi" w:cstheme="majorBidi"/>
        </w:rPr>
        <w:t>: contains a brief commentary on the main theme of the issue.</w:t>
      </w:r>
    </w:p>
    <w:p w14:paraId="63EAFA1B" w14:textId="77777777" w:rsidR="007B264B" w:rsidRPr="00AB34BA" w:rsidRDefault="007B264B" w:rsidP="007B264B">
      <w:pPr>
        <w:pStyle w:val="ListParagraph"/>
        <w:ind w:left="284"/>
        <w:jc w:val="both"/>
        <w:rPr>
          <w:rFonts w:asciiTheme="majorBidi" w:hAnsiTheme="majorBidi" w:cstheme="majorBidi"/>
        </w:rPr>
      </w:pPr>
      <w:r w:rsidRPr="00AB34BA">
        <w:rPr>
          <w:rFonts w:asciiTheme="majorBidi" w:hAnsiTheme="majorBidi" w:cstheme="majorBidi"/>
          <w:i/>
          <w:iCs/>
        </w:rPr>
        <w:t>Critical Review</w:t>
      </w:r>
      <w:r w:rsidRPr="00AB34BA">
        <w:rPr>
          <w:rFonts w:asciiTheme="majorBidi" w:hAnsiTheme="majorBidi" w:cstheme="majorBidi"/>
        </w:rPr>
        <w:t>: contains a presentation and discussion of a work relevant to theology, religion, pedagogy, or more broadly to scientific, social, or cultural fields, published within the last three years in Croatia or abroad.</w:t>
      </w:r>
    </w:p>
    <w:p w14:paraId="4889DA6A" w14:textId="77777777" w:rsidR="007B264B" w:rsidRPr="00AB34BA" w:rsidRDefault="007B264B" w:rsidP="007B264B">
      <w:pPr>
        <w:pStyle w:val="ListParagraph"/>
        <w:ind w:left="284"/>
        <w:jc w:val="both"/>
        <w:rPr>
          <w:rFonts w:asciiTheme="majorBidi" w:hAnsiTheme="majorBidi" w:cstheme="majorBidi"/>
        </w:rPr>
      </w:pPr>
      <w:r w:rsidRPr="00AB34BA">
        <w:rPr>
          <w:rFonts w:asciiTheme="majorBidi" w:hAnsiTheme="majorBidi" w:cstheme="majorBidi"/>
          <w:i/>
          <w:iCs/>
        </w:rPr>
        <w:t>Report</w:t>
      </w:r>
      <w:r w:rsidRPr="00AB34BA">
        <w:rPr>
          <w:rFonts w:asciiTheme="majorBidi" w:hAnsiTheme="majorBidi" w:cstheme="majorBidi"/>
        </w:rPr>
        <w:t>: provides information on scientific and popular-scientific events relevant to theology, religion, pedagogy, the Church, society, and culture in general.</w:t>
      </w:r>
    </w:p>
    <w:p w14:paraId="6B8CF0F8" w14:textId="77777777" w:rsidR="007B264B" w:rsidRPr="00AB34BA" w:rsidRDefault="007B264B" w:rsidP="007B264B">
      <w:pPr>
        <w:pStyle w:val="ListParagraph"/>
        <w:ind w:left="284"/>
        <w:jc w:val="both"/>
        <w:rPr>
          <w:rFonts w:asciiTheme="majorBidi" w:hAnsiTheme="majorBidi" w:cstheme="majorBidi"/>
        </w:rPr>
      </w:pPr>
      <w:r w:rsidRPr="00AB34BA">
        <w:rPr>
          <w:rFonts w:asciiTheme="majorBidi" w:hAnsiTheme="majorBidi" w:cstheme="majorBidi"/>
          <w:i/>
          <w:iCs/>
        </w:rPr>
        <w:t>Bibliography</w:t>
      </w:r>
      <w:r w:rsidRPr="00AB34BA">
        <w:rPr>
          <w:rFonts w:asciiTheme="majorBidi" w:hAnsiTheme="majorBidi" w:cstheme="majorBidi"/>
        </w:rPr>
        <w:t xml:space="preserve">: includes all relevant bibliographic data </w:t>
      </w:r>
      <w:r>
        <w:rPr>
          <w:rFonts w:asciiTheme="majorBidi" w:hAnsiTheme="majorBidi" w:cstheme="majorBidi"/>
        </w:rPr>
        <w:t>related to the pertinent year of publication</w:t>
      </w:r>
      <w:r w:rsidRPr="00AB34BA">
        <w:rPr>
          <w:rFonts w:asciiTheme="majorBidi" w:hAnsiTheme="majorBidi" w:cstheme="majorBidi"/>
        </w:rPr>
        <w:t xml:space="preserve"> or a list of bibliographically processed materials related to a specific topic or author.</w:t>
      </w:r>
    </w:p>
    <w:p w14:paraId="1905397B" w14:textId="77777777" w:rsidR="007B264B" w:rsidRPr="00AB34BA" w:rsidRDefault="007B264B" w:rsidP="007B264B">
      <w:pPr>
        <w:pStyle w:val="ListParagraph"/>
        <w:ind w:left="284"/>
        <w:jc w:val="both"/>
        <w:rPr>
          <w:rFonts w:asciiTheme="majorBidi" w:hAnsiTheme="majorBidi" w:cstheme="majorBidi"/>
        </w:rPr>
      </w:pPr>
    </w:p>
    <w:p w14:paraId="787ADFFF" w14:textId="77777777" w:rsidR="007B264B" w:rsidRPr="00AB34BA" w:rsidRDefault="007B264B" w:rsidP="007B264B">
      <w:pPr>
        <w:pStyle w:val="ListParagraph"/>
        <w:ind w:left="284"/>
        <w:jc w:val="both"/>
        <w:rPr>
          <w:rFonts w:asciiTheme="majorBidi" w:hAnsiTheme="majorBidi" w:cstheme="majorBidi"/>
        </w:rPr>
      </w:pPr>
      <w:r w:rsidRPr="00AB34BA">
        <w:rPr>
          <w:rFonts w:asciiTheme="majorBidi" w:hAnsiTheme="majorBidi" w:cstheme="majorBidi"/>
        </w:rPr>
        <w:t>The journal may also publish the following types of texts:</w:t>
      </w:r>
    </w:p>
    <w:p w14:paraId="1CF0424F" w14:textId="77777777" w:rsidR="007B264B" w:rsidRPr="00AB34BA" w:rsidRDefault="007B264B" w:rsidP="007B264B">
      <w:pPr>
        <w:pStyle w:val="ListParagraph"/>
        <w:ind w:left="284"/>
        <w:jc w:val="both"/>
        <w:rPr>
          <w:rFonts w:asciiTheme="majorBidi" w:hAnsiTheme="majorBidi" w:cstheme="majorBidi"/>
        </w:rPr>
      </w:pPr>
      <w:r w:rsidRPr="00AB34BA">
        <w:rPr>
          <w:rFonts w:asciiTheme="majorBidi" w:hAnsiTheme="majorBidi" w:cstheme="majorBidi"/>
          <w:i/>
          <w:iCs/>
        </w:rPr>
        <w:t>In Memoriam:</w:t>
      </w:r>
      <w:r w:rsidRPr="00AB34BA">
        <w:rPr>
          <w:rFonts w:asciiTheme="majorBidi" w:hAnsiTheme="majorBidi" w:cstheme="majorBidi"/>
        </w:rPr>
        <w:t xml:space="preserve"> includes a reflection on the life and work of deceased persons significant to the fields covered by the journal.</w:t>
      </w:r>
    </w:p>
    <w:p w14:paraId="482C902A" w14:textId="77777777" w:rsidR="007B264B" w:rsidRPr="00AB34BA" w:rsidRDefault="007B264B" w:rsidP="007B264B">
      <w:pPr>
        <w:pStyle w:val="ListParagraph"/>
        <w:ind w:left="284"/>
        <w:jc w:val="both"/>
        <w:rPr>
          <w:rFonts w:asciiTheme="majorBidi" w:hAnsiTheme="majorBidi" w:cstheme="majorBidi"/>
        </w:rPr>
      </w:pPr>
      <w:r w:rsidRPr="00AB34BA">
        <w:rPr>
          <w:rFonts w:asciiTheme="majorBidi" w:hAnsiTheme="majorBidi" w:cstheme="majorBidi"/>
          <w:i/>
          <w:iCs/>
        </w:rPr>
        <w:t>Commentary</w:t>
      </w:r>
      <w:r w:rsidRPr="00AB34BA">
        <w:rPr>
          <w:rFonts w:asciiTheme="majorBidi" w:hAnsiTheme="majorBidi" w:cstheme="majorBidi"/>
        </w:rPr>
        <w:t>: contains a reflection on a specific phenomenon, event, or published contribution.</w:t>
      </w:r>
    </w:p>
    <w:p w14:paraId="70A36F53" w14:textId="77777777" w:rsidR="007B264B" w:rsidRPr="00AB34BA" w:rsidRDefault="007B264B" w:rsidP="007B264B">
      <w:pPr>
        <w:pStyle w:val="ListParagraph"/>
        <w:ind w:left="284"/>
        <w:jc w:val="both"/>
        <w:rPr>
          <w:rFonts w:asciiTheme="majorBidi" w:hAnsiTheme="majorBidi" w:cstheme="majorBidi"/>
        </w:rPr>
      </w:pPr>
      <w:r w:rsidRPr="00AB34BA">
        <w:rPr>
          <w:rFonts w:asciiTheme="majorBidi" w:hAnsiTheme="majorBidi" w:cstheme="majorBidi"/>
          <w:i/>
          <w:iCs/>
        </w:rPr>
        <w:t>Portraits</w:t>
      </w:r>
      <w:r w:rsidRPr="00AB34BA">
        <w:rPr>
          <w:rFonts w:asciiTheme="majorBidi" w:hAnsiTheme="majorBidi" w:cstheme="majorBidi"/>
          <w:iCs/>
        </w:rPr>
        <w:t>: provides an overview of the life’s work of a particular scholar or institution.</w:t>
      </w:r>
    </w:p>
    <w:p w14:paraId="48F2BBB6" w14:textId="77777777" w:rsidR="007B264B" w:rsidRPr="00AB34BA" w:rsidRDefault="007B264B" w:rsidP="007B264B">
      <w:pPr>
        <w:pStyle w:val="ListParagraph"/>
        <w:ind w:left="284"/>
        <w:jc w:val="both"/>
        <w:rPr>
          <w:rFonts w:asciiTheme="majorBidi" w:hAnsiTheme="majorBidi" w:cstheme="majorBidi"/>
        </w:rPr>
      </w:pPr>
    </w:p>
    <w:p w14:paraId="23181900" w14:textId="77777777" w:rsidR="007B264B" w:rsidRPr="00AB34BA" w:rsidRDefault="007B264B" w:rsidP="007B264B">
      <w:pPr>
        <w:jc w:val="both"/>
        <w:rPr>
          <w:rFonts w:asciiTheme="majorBidi" w:hAnsiTheme="majorBidi" w:cstheme="majorBidi"/>
        </w:rPr>
      </w:pPr>
      <w:r w:rsidRPr="00AB34BA">
        <w:rPr>
          <w:rFonts w:asciiTheme="majorBidi" w:hAnsiTheme="majorBidi" w:cstheme="majorBidi"/>
        </w:rPr>
        <w:t xml:space="preserve">The journal is available on the portal of Croatian scientific and professional journals </w:t>
      </w:r>
      <w:r w:rsidRPr="00AB34BA">
        <w:rPr>
          <w:rFonts w:asciiTheme="majorBidi" w:hAnsiTheme="majorBidi" w:cstheme="majorBidi"/>
          <w:i/>
          <w:iCs/>
        </w:rPr>
        <w:t>Hrčak</w:t>
      </w:r>
      <w:r w:rsidRPr="00AB34BA">
        <w:rPr>
          <w:rFonts w:asciiTheme="majorBidi" w:hAnsiTheme="majorBidi" w:cstheme="majorBidi"/>
        </w:rPr>
        <w:t xml:space="preserve"> (https://hrcak.srce.hr/).</w:t>
      </w:r>
    </w:p>
    <w:p w14:paraId="6E83CD58" w14:textId="77777777" w:rsidR="007B264B" w:rsidRPr="00AB34BA" w:rsidRDefault="007B264B" w:rsidP="007B264B">
      <w:pPr>
        <w:jc w:val="both"/>
        <w:rPr>
          <w:rFonts w:asciiTheme="majorBidi" w:hAnsiTheme="majorBidi" w:cstheme="majorBidi"/>
        </w:rPr>
      </w:pPr>
      <w:r w:rsidRPr="00AB34BA">
        <w:rPr>
          <w:rFonts w:asciiTheme="majorBidi" w:hAnsiTheme="majorBidi" w:cstheme="majorBidi"/>
        </w:rPr>
        <w:t xml:space="preserve">The journal </w:t>
      </w:r>
      <w:r w:rsidRPr="00AB34BA">
        <w:rPr>
          <w:rFonts w:asciiTheme="majorBidi" w:hAnsiTheme="majorBidi" w:cstheme="majorBidi"/>
          <w:i/>
          <w:iCs/>
        </w:rPr>
        <w:t>Religion and Education.</w:t>
      </w:r>
      <w:r w:rsidRPr="00AB34BA">
        <w:rPr>
          <w:rFonts w:asciiTheme="majorBidi" w:hAnsiTheme="majorBidi" w:cstheme="majorBidi"/>
          <w:i/>
        </w:rPr>
        <w:t xml:space="preserve"> </w:t>
      </w:r>
      <w:r w:rsidRPr="00AB34BA">
        <w:rPr>
          <w:rFonts w:asciiTheme="majorBidi" w:hAnsiTheme="majorBidi" w:cstheme="majorBidi"/>
          <w:i/>
          <w:iCs/>
        </w:rPr>
        <w:t>Journal for Theological-Religious and Pedagogical Research</w:t>
      </w:r>
      <w:r w:rsidRPr="00AB34BA">
        <w:rPr>
          <w:rFonts w:asciiTheme="majorBidi" w:hAnsiTheme="majorBidi" w:cstheme="majorBidi"/>
        </w:rPr>
        <w:t xml:space="preserve"> publishes academic papers in Croatian, English, and Italian. If the manuscript is written in Croatian, authors are expected to adhere to the norms of the standard Croatian literary language. If the manuscript is written in a foreign language, the author is responsible for ensuring that it meets the standard of the language in which it is written. Manuscripts are not returned.</w:t>
      </w:r>
    </w:p>
    <w:p w14:paraId="51699996" w14:textId="77777777" w:rsidR="007B264B" w:rsidRPr="00AB34BA" w:rsidRDefault="007B264B" w:rsidP="007B264B">
      <w:pPr>
        <w:pStyle w:val="ListParagraph"/>
        <w:numPr>
          <w:ilvl w:val="0"/>
          <w:numId w:val="1"/>
        </w:numPr>
        <w:spacing w:line="259" w:lineRule="auto"/>
        <w:rPr>
          <w:rFonts w:asciiTheme="majorBidi" w:hAnsiTheme="majorBidi" w:cstheme="majorBidi"/>
          <w:b/>
        </w:rPr>
      </w:pPr>
      <w:r w:rsidRPr="00AB34BA">
        <w:rPr>
          <w:rFonts w:asciiTheme="majorBidi" w:hAnsiTheme="majorBidi" w:cstheme="majorBidi"/>
          <w:b/>
        </w:rPr>
        <w:t>Submission, Length, and Formatting of Manuscripts</w:t>
      </w:r>
    </w:p>
    <w:p w14:paraId="5B35E9A1" w14:textId="77777777" w:rsidR="007B264B" w:rsidRPr="00AB34BA" w:rsidRDefault="007B264B" w:rsidP="007B264B">
      <w:pPr>
        <w:jc w:val="both"/>
        <w:rPr>
          <w:rFonts w:asciiTheme="majorBidi" w:hAnsiTheme="majorBidi" w:cstheme="majorBidi"/>
        </w:rPr>
      </w:pPr>
      <w:r w:rsidRPr="00AB34BA">
        <w:rPr>
          <w:rFonts w:asciiTheme="majorBidi" w:hAnsiTheme="majorBidi" w:cstheme="majorBidi"/>
        </w:rPr>
        <w:t xml:space="preserve">Manuscripts should be submitted electronically to the Editorial Board at the following address: </w:t>
      </w:r>
      <w:hyperlink r:id="rId7" w:history="1">
        <w:r w:rsidRPr="00AB34BA">
          <w:rPr>
            <w:rStyle w:val="Hyperlink"/>
            <w:rFonts w:asciiTheme="majorBidi" w:hAnsiTheme="majorBidi"/>
          </w:rPr>
          <w:t>rio@kbf.unizg.hr</w:t>
        </w:r>
      </w:hyperlink>
      <w:r w:rsidRPr="00AB34BA">
        <w:rPr>
          <w:rFonts w:asciiTheme="majorBidi" w:hAnsiTheme="majorBidi" w:cstheme="majorBidi"/>
        </w:rPr>
        <w:t xml:space="preserve"> in two separate documents: </w:t>
      </w:r>
    </w:p>
    <w:p w14:paraId="3E50B309" w14:textId="77777777" w:rsidR="007B264B" w:rsidRPr="00AB34BA" w:rsidRDefault="007B264B" w:rsidP="007B264B">
      <w:pPr>
        <w:jc w:val="both"/>
        <w:rPr>
          <w:rFonts w:asciiTheme="majorBidi" w:hAnsiTheme="majorBidi" w:cstheme="majorBidi"/>
        </w:rPr>
      </w:pPr>
      <w:r w:rsidRPr="00AB34BA">
        <w:rPr>
          <w:rFonts w:asciiTheme="majorBidi" w:hAnsiTheme="majorBidi" w:cstheme="majorBidi"/>
        </w:rPr>
        <w:t xml:space="preserve">1. Completed </w:t>
      </w:r>
      <w:r w:rsidRPr="00AB34BA">
        <w:rPr>
          <w:rFonts w:asciiTheme="majorBidi" w:hAnsiTheme="majorBidi" w:cstheme="majorBidi"/>
          <w:i/>
          <w:iCs/>
        </w:rPr>
        <w:t>Declaration of Authorship</w:t>
      </w:r>
      <w:r w:rsidRPr="00AB34BA">
        <w:rPr>
          <w:rFonts w:asciiTheme="majorBidi" w:hAnsiTheme="majorBidi" w:cstheme="majorBidi"/>
        </w:rPr>
        <w:t xml:space="preserve"> form. </w:t>
      </w:r>
    </w:p>
    <w:p w14:paraId="38F1292D" w14:textId="77777777" w:rsidR="007B264B" w:rsidRPr="00AB34BA" w:rsidRDefault="007B264B" w:rsidP="007B264B">
      <w:pPr>
        <w:jc w:val="both"/>
        <w:rPr>
          <w:rFonts w:asciiTheme="majorBidi" w:hAnsiTheme="majorBidi" w:cstheme="majorBidi"/>
        </w:rPr>
      </w:pPr>
      <w:r w:rsidRPr="00AB34BA">
        <w:rPr>
          <w:rFonts w:asciiTheme="majorBidi" w:hAnsiTheme="majorBidi" w:cstheme="majorBidi"/>
        </w:rPr>
        <w:t>2. The paper with abstracts and keywords.</w:t>
      </w:r>
    </w:p>
    <w:p w14:paraId="16C57313" w14:textId="77777777" w:rsidR="007B264B" w:rsidRPr="00AB34BA" w:rsidRDefault="007B264B" w:rsidP="007B264B">
      <w:pPr>
        <w:rPr>
          <w:rFonts w:asciiTheme="majorBidi" w:hAnsiTheme="majorBidi" w:cstheme="majorBidi"/>
          <w:bCs/>
          <w:i/>
          <w:iCs/>
        </w:rPr>
      </w:pPr>
      <w:r w:rsidRPr="00AB34BA">
        <w:rPr>
          <w:rFonts w:asciiTheme="majorBidi" w:hAnsiTheme="majorBidi" w:cstheme="majorBidi"/>
          <w:bCs/>
          <w:i/>
          <w:iCs/>
        </w:rPr>
        <w:t>Length of Manuscripts</w:t>
      </w:r>
    </w:p>
    <w:p w14:paraId="2FDC5D92" w14:textId="77777777" w:rsidR="007B264B" w:rsidRPr="00AB34BA" w:rsidRDefault="007B264B" w:rsidP="007B264B">
      <w:pPr>
        <w:rPr>
          <w:rFonts w:asciiTheme="majorBidi" w:hAnsiTheme="majorBidi" w:cstheme="majorBidi"/>
        </w:rPr>
      </w:pPr>
      <w:r w:rsidRPr="00AB34BA">
        <w:rPr>
          <w:rFonts w:asciiTheme="majorBidi" w:hAnsiTheme="majorBidi" w:cstheme="majorBidi"/>
        </w:rPr>
        <w:t>The length of categorised papers must be between 16 and 32 typed manuscript pages (1 page = 1800 characters including spaces), and uncategorised papers up to 8 pages. Footnotes and the list of references are included in the total length. For more extensive texts, the Editorial Board may request that the author shorten the manuscript.</w:t>
      </w:r>
    </w:p>
    <w:p w14:paraId="33FE7053" w14:textId="77777777" w:rsidR="007B264B" w:rsidRPr="00AB34BA" w:rsidRDefault="007B264B" w:rsidP="007B264B">
      <w:pPr>
        <w:rPr>
          <w:rFonts w:asciiTheme="majorBidi" w:hAnsiTheme="majorBidi" w:cstheme="majorBidi"/>
          <w:i/>
          <w:iCs/>
        </w:rPr>
      </w:pPr>
      <w:r w:rsidRPr="00AB34BA">
        <w:rPr>
          <w:rFonts w:asciiTheme="majorBidi" w:hAnsiTheme="majorBidi" w:cstheme="majorBidi"/>
          <w:i/>
          <w:iCs/>
        </w:rPr>
        <w:t>Manuscript Formatting</w:t>
      </w:r>
    </w:p>
    <w:p w14:paraId="4327E22A" w14:textId="77777777" w:rsidR="007B264B" w:rsidRPr="00AB34BA" w:rsidRDefault="007B264B" w:rsidP="007B264B">
      <w:pPr>
        <w:rPr>
          <w:rFonts w:asciiTheme="majorBidi" w:hAnsiTheme="majorBidi" w:cstheme="majorBidi"/>
        </w:rPr>
      </w:pPr>
      <w:r w:rsidRPr="00AB34BA">
        <w:rPr>
          <w:rFonts w:asciiTheme="majorBidi" w:hAnsiTheme="majorBidi" w:cstheme="majorBidi"/>
        </w:rPr>
        <w:lastRenderedPageBreak/>
        <w:t xml:space="preserve">Manuscripts must be formatted in accordance with the </w:t>
      </w:r>
      <w:r w:rsidRPr="00AB34BA">
        <w:rPr>
          <w:rFonts w:asciiTheme="majorBidi" w:hAnsiTheme="majorBidi" w:cstheme="majorBidi"/>
          <w:i/>
          <w:iCs/>
        </w:rPr>
        <w:t>Manuscript Formatting Guidelines</w:t>
      </w:r>
      <w:r w:rsidRPr="00AB34BA">
        <w:rPr>
          <w:rFonts w:asciiTheme="majorBidi" w:hAnsiTheme="majorBidi" w:cstheme="majorBidi"/>
        </w:rPr>
        <w:t xml:space="preserve"> (see: http://....).</w:t>
      </w:r>
    </w:p>
    <w:p w14:paraId="6C1C4012" w14:textId="77777777" w:rsidR="007B264B" w:rsidRPr="00AB34BA" w:rsidRDefault="007B264B" w:rsidP="007B264B">
      <w:pPr>
        <w:pStyle w:val="ListParagraph"/>
        <w:numPr>
          <w:ilvl w:val="0"/>
          <w:numId w:val="1"/>
        </w:numPr>
        <w:spacing w:line="259" w:lineRule="auto"/>
        <w:rPr>
          <w:rFonts w:asciiTheme="majorBidi" w:hAnsiTheme="majorBidi" w:cstheme="majorBidi"/>
          <w:b/>
        </w:rPr>
      </w:pPr>
      <w:r w:rsidRPr="00AB34BA">
        <w:rPr>
          <w:rFonts w:asciiTheme="majorBidi" w:hAnsiTheme="majorBidi" w:cstheme="majorBidi"/>
          <w:b/>
        </w:rPr>
        <w:t>Peer Review Process</w:t>
      </w:r>
    </w:p>
    <w:p w14:paraId="12D2D213" w14:textId="77777777" w:rsidR="007B264B" w:rsidRPr="00AB34BA" w:rsidRDefault="007B264B" w:rsidP="007B264B">
      <w:pPr>
        <w:jc w:val="both"/>
        <w:rPr>
          <w:rFonts w:asciiTheme="majorBidi" w:hAnsiTheme="majorBidi" w:cstheme="majorBidi"/>
        </w:rPr>
      </w:pPr>
      <w:r w:rsidRPr="00AB34BA">
        <w:rPr>
          <w:rFonts w:asciiTheme="majorBidi" w:hAnsiTheme="majorBidi" w:cstheme="majorBidi"/>
        </w:rPr>
        <w:t>The Editorial Board receives and evaluates all submitted manuscripts and based on its decision, initiates the peer review process. It reserves the right to return the manuscript to the author for revision, to change the categorisation of the paper, or to reject the manuscript following or without conducting the peer review process.</w:t>
      </w:r>
    </w:p>
    <w:p w14:paraId="3CD1ED28" w14:textId="77777777" w:rsidR="007B264B" w:rsidRPr="00AB34BA" w:rsidRDefault="007B264B" w:rsidP="007B264B">
      <w:pPr>
        <w:jc w:val="both"/>
        <w:rPr>
          <w:rFonts w:asciiTheme="majorBidi" w:hAnsiTheme="majorBidi" w:cstheme="majorBidi"/>
        </w:rPr>
      </w:pPr>
      <w:r w:rsidRPr="00AB34BA">
        <w:rPr>
          <w:rFonts w:asciiTheme="majorBidi" w:hAnsiTheme="majorBidi" w:cstheme="majorBidi"/>
        </w:rPr>
        <w:t xml:space="preserve">Manuscripts that align with the journal’s general thematic orientation and are prepared in accordance with the </w:t>
      </w:r>
      <w:r w:rsidRPr="00AB34BA">
        <w:rPr>
          <w:rFonts w:asciiTheme="majorBidi" w:hAnsiTheme="majorBidi" w:cstheme="majorBidi"/>
          <w:i/>
          <w:iCs/>
        </w:rPr>
        <w:t>Guidelines for Authors</w:t>
      </w:r>
      <w:r w:rsidRPr="00AB34BA">
        <w:rPr>
          <w:rFonts w:asciiTheme="majorBidi" w:hAnsiTheme="majorBidi" w:cstheme="majorBidi"/>
        </w:rPr>
        <w:t xml:space="preserve"> and </w:t>
      </w:r>
      <w:r w:rsidRPr="00AB34BA">
        <w:rPr>
          <w:rFonts w:asciiTheme="majorBidi" w:hAnsiTheme="majorBidi" w:cstheme="majorBidi"/>
          <w:i/>
          <w:iCs/>
        </w:rPr>
        <w:t>Manuscript Formatting Guidelines</w:t>
      </w:r>
      <w:r w:rsidRPr="00AB34BA">
        <w:rPr>
          <w:rFonts w:asciiTheme="majorBidi" w:hAnsiTheme="majorBidi" w:cstheme="majorBidi"/>
        </w:rPr>
        <w:t xml:space="preserve"> will be submitted for peer review. The journal implements a </w:t>
      </w:r>
      <w:r w:rsidRPr="00AB34BA">
        <w:rPr>
          <w:rFonts w:asciiTheme="majorBidi" w:hAnsiTheme="majorBidi" w:cstheme="majorBidi"/>
          <w:i/>
          <w:iCs/>
        </w:rPr>
        <w:t>double-blind</w:t>
      </w:r>
      <w:r w:rsidRPr="00AB34BA">
        <w:rPr>
          <w:rFonts w:asciiTheme="majorBidi" w:hAnsiTheme="majorBidi" w:cstheme="majorBidi"/>
        </w:rPr>
        <w:t xml:space="preserve"> review process: the identities of authors and reviewers are known only to the Editorial Board. </w:t>
      </w:r>
    </w:p>
    <w:p w14:paraId="5C83F198" w14:textId="77777777" w:rsidR="007B264B" w:rsidRPr="00AB34BA" w:rsidRDefault="007B264B" w:rsidP="007B264B">
      <w:pPr>
        <w:jc w:val="both"/>
        <w:rPr>
          <w:rFonts w:asciiTheme="majorBidi" w:hAnsiTheme="majorBidi" w:cstheme="majorBidi"/>
        </w:rPr>
      </w:pPr>
      <w:r w:rsidRPr="00AB34BA">
        <w:rPr>
          <w:rFonts w:asciiTheme="majorBidi" w:hAnsiTheme="majorBidi" w:cstheme="majorBidi"/>
        </w:rPr>
        <w:t>The Editorial Board reserves the right to reject a manuscript before the peer review process if there is clear evidence of unethical research practices or if the data presented in the paper are unreliable, previously published elsewhere, or wholly or partially plagiarised.</w:t>
      </w:r>
    </w:p>
    <w:p w14:paraId="4CD83ACC" w14:textId="77777777" w:rsidR="007B264B" w:rsidRPr="00AB34BA" w:rsidRDefault="007B264B" w:rsidP="007B264B">
      <w:pPr>
        <w:rPr>
          <w:rFonts w:asciiTheme="majorBidi" w:hAnsiTheme="majorBidi" w:cstheme="majorBidi"/>
        </w:rPr>
      </w:pPr>
      <w:r w:rsidRPr="00AB34BA">
        <w:rPr>
          <w:rFonts w:asciiTheme="majorBidi" w:hAnsiTheme="majorBidi" w:cstheme="majorBidi"/>
        </w:rPr>
        <w:t>The peer review process includes the following steps:</w:t>
      </w:r>
    </w:p>
    <w:p w14:paraId="1E547123" w14:textId="77777777" w:rsidR="007B264B" w:rsidRPr="00AB34BA" w:rsidRDefault="007B264B" w:rsidP="007B264B">
      <w:pPr>
        <w:pStyle w:val="ListParagraph"/>
        <w:numPr>
          <w:ilvl w:val="0"/>
          <w:numId w:val="2"/>
        </w:numPr>
        <w:spacing w:line="259" w:lineRule="auto"/>
        <w:jc w:val="both"/>
        <w:rPr>
          <w:rFonts w:asciiTheme="majorBidi" w:hAnsiTheme="majorBidi" w:cstheme="majorBidi"/>
        </w:rPr>
      </w:pPr>
      <w:r w:rsidRPr="00AB34BA">
        <w:rPr>
          <w:rFonts w:asciiTheme="majorBidi" w:hAnsiTheme="majorBidi" w:cstheme="majorBidi"/>
        </w:rPr>
        <w:t>Submission of the anonymised manuscript to at least two experts on the subject matter of the submitted paper, with all participants in the process remaining unaware of each other’s identities. In the event of conflicting evaluations, the Editorial Board may engage additional reviewers to gain a clearer assessment of the paper’s quality.</w:t>
      </w:r>
    </w:p>
    <w:p w14:paraId="28851B11" w14:textId="77777777" w:rsidR="007B264B" w:rsidRPr="00AB34BA" w:rsidRDefault="007B264B" w:rsidP="007B264B">
      <w:pPr>
        <w:pStyle w:val="ListParagraph"/>
        <w:numPr>
          <w:ilvl w:val="0"/>
          <w:numId w:val="2"/>
        </w:numPr>
        <w:spacing w:line="259" w:lineRule="auto"/>
        <w:jc w:val="both"/>
        <w:rPr>
          <w:rFonts w:asciiTheme="majorBidi" w:hAnsiTheme="majorBidi" w:cstheme="majorBidi"/>
        </w:rPr>
      </w:pPr>
      <w:r w:rsidRPr="00AB34BA">
        <w:rPr>
          <w:rFonts w:asciiTheme="majorBidi" w:hAnsiTheme="majorBidi" w:cstheme="majorBidi"/>
        </w:rPr>
        <w:t xml:space="preserve">The Editorial Board may also contact the author to request manuscript revisions based on the reviewers’ comments. Authors are expected to carefully consider the suggestions of the reviewers and the Editorial Board when preparing the revised version of the manuscript. After revision, the Editorial Board may resubmit the manuscript to the original reviewers or send it through the peer review process again. </w:t>
      </w:r>
    </w:p>
    <w:p w14:paraId="156C1C5E" w14:textId="77777777" w:rsidR="007B264B" w:rsidRPr="00AB34BA" w:rsidRDefault="007B264B" w:rsidP="007B264B">
      <w:pPr>
        <w:pStyle w:val="ListParagraph"/>
        <w:numPr>
          <w:ilvl w:val="0"/>
          <w:numId w:val="2"/>
        </w:numPr>
        <w:spacing w:line="259" w:lineRule="auto"/>
        <w:jc w:val="both"/>
        <w:rPr>
          <w:rFonts w:asciiTheme="majorBidi" w:hAnsiTheme="majorBidi" w:cstheme="majorBidi"/>
        </w:rPr>
      </w:pPr>
      <w:r w:rsidRPr="00AB34BA">
        <w:rPr>
          <w:rFonts w:asciiTheme="majorBidi" w:hAnsiTheme="majorBidi" w:cstheme="majorBidi"/>
        </w:rPr>
        <w:t xml:space="preserve">Reviewers propose the article's categorisation, while the final decision is made by the Editorial Board. Following the peer review process, the Editorial Board informs the author of its decision on whether the submitted manuscript will be published as well as of the categorisation of the article. </w:t>
      </w:r>
    </w:p>
    <w:p w14:paraId="6F88F6AC" w14:textId="77777777" w:rsidR="007B264B" w:rsidRPr="00AB34BA" w:rsidRDefault="007B264B" w:rsidP="007B264B">
      <w:pPr>
        <w:pStyle w:val="ListParagraph"/>
        <w:numPr>
          <w:ilvl w:val="0"/>
          <w:numId w:val="2"/>
        </w:numPr>
        <w:spacing w:line="259" w:lineRule="auto"/>
        <w:jc w:val="both"/>
        <w:rPr>
          <w:rFonts w:asciiTheme="majorBidi" w:hAnsiTheme="majorBidi" w:cstheme="majorBidi"/>
        </w:rPr>
      </w:pPr>
      <w:r w:rsidRPr="00AB34BA">
        <w:rPr>
          <w:rFonts w:asciiTheme="majorBidi" w:hAnsiTheme="majorBidi" w:cstheme="majorBidi"/>
        </w:rPr>
        <w:t>If necessary, following the decision to publish the manuscript, the Editorial Board may issue the author a confirmation of acceptance for publication.</w:t>
      </w:r>
    </w:p>
    <w:p w14:paraId="746C0AFC" w14:textId="77777777" w:rsidR="007B264B" w:rsidRPr="00AB34BA" w:rsidRDefault="007B264B" w:rsidP="007B264B">
      <w:pPr>
        <w:rPr>
          <w:rFonts w:asciiTheme="majorBidi" w:hAnsiTheme="majorBidi" w:cstheme="majorBidi"/>
        </w:rPr>
      </w:pPr>
    </w:p>
    <w:p w14:paraId="6FEE51F7" w14:textId="77777777" w:rsidR="007B264B" w:rsidRPr="00AB34BA" w:rsidRDefault="007B264B" w:rsidP="007B264B">
      <w:pPr>
        <w:pStyle w:val="ListParagraph"/>
        <w:numPr>
          <w:ilvl w:val="0"/>
          <w:numId w:val="1"/>
        </w:numPr>
        <w:spacing w:line="259" w:lineRule="auto"/>
        <w:jc w:val="both"/>
        <w:rPr>
          <w:rFonts w:asciiTheme="majorBidi" w:hAnsiTheme="majorBidi" w:cstheme="majorBidi"/>
        </w:rPr>
      </w:pPr>
      <w:r w:rsidRPr="00AB34BA">
        <w:rPr>
          <w:rFonts w:asciiTheme="majorBidi" w:hAnsiTheme="majorBidi" w:cstheme="majorBidi"/>
          <w:b/>
        </w:rPr>
        <w:t>Copyright</w:t>
      </w:r>
    </w:p>
    <w:p w14:paraId="24CB6AA4" w14:textId="77777777" w:rsidR="007B264B" w:rsidRPr="00AB34BA" w:rsidRDefault="007B264B" w:rsidP="007B264B">
      <w:pPr>
        <w:jc w:val="both"/>
        <w:rPr>
          <w:rFonts w:asciiTheme="majorBidi" w:hAnsiTheme="majorBidi" w:cstheme="majorBidi"/>
        </w:rPr>
      </w:pPr>
      <w:bookmarkStart w:id="1" w:name="_Hlk186808220"/>
      <w:r w:rsidRPr="00AB34BA">
        <w:rPr>
          <w:rFonts w:asciiTheme="majorBidi" w:hAnsiTheme="majorBidi" w:cstheme="majorBidi"/>
          <w:i/>
          <w:iCs/>
        </w:rPr>
        <w:t>Religion and Education.</w:t>
      </w:r>
      <w:r w:rsidRPr="00AB34BA">
        <w:rPr>
          <w:rFonts w:asciiTheme="majorBidi" w:hAnsiTheme="majorBidi" w:cstheme="majorBidi"/>
          <w:i/>
        </w:rPr>
        <w:t xml:space="preserve"> </w:t>
      </w:r>
      <w:r w:rsidRPr="00AB34BA">
        <w:rPr>
          <w:rFonts w:asciiTheme="majorBidi" w:hAnsiTheme="majorBidi" w:cstheme="majorBidi"/>
          <w:i/>
          <w:iCs/>
        </w:rPr>
        <w:t>Journal for Theological-Religious and Pedagogical</w:t>
      </w:r>
      <w:r w:rsidRPr="00AB34BA">
        <w:rPr>
          <w:rFonts w:asciiTheme="majorBidi" w:hAnsiTheme="majorBidi" w:cstheme="majorBidi"/>
        </w:rPr>
        <w:t xml:space="preserve"> </w:t>
      </w:r>
      <w:bookmarkEnd w:id="1"/>
      <w:r w:rsidRPr="00AB34BA">
        <w:rPr>
          <w:rFonts w:asciiTheme="majorBidi" w:hAnsiTheme="majorBidi" w:cstheme="majorBidi"/>
          <w:i/>
          <w:iCs/>
        </w:rPr>
        <w:t>Research</w:t>
      </w:r>
      <w:r w:rsidRPr="00AB34BA">
        <w:rPr>
          <w:rFonts w:asciiTheme="majorBidi" w:hAnsiTheme="majorBidi" w:cstheme="majorBidi"/>
        </w:rPr>
        <w:t xml:space="preserve"> is an open access journal. All content is freely available to users and their institutions without charge. Users are permitted to read, download, copy, distribute, print, search, link to, or use the full texts of the papers for any non-commercial lawful purpose, provided that the author’s and publisher’s copyright is respected and the source is properly cited. This provision is in </w:t>
      </w:r>
      <w:r w:rsidRPr="00AB34BA">
        <w:rPr>
          <w:rFonts w:asciiTheme="majorBidi" w:hAnsiTheme="majorBidi" w:cstheme="majorBidi"/>
        </w:rPr>
        <w:lastRenderedPageBreak/>
        <w:t xml:space="preserve">accordance with the CC BY-NC 4.0 licence (Creative Commons Attribution Non-Commercial 4.0 International Licence), available at: http://creativecommons.org/licenses/by-nc/4.0/ Authors retain copyright over their published work without restriction. The journal </w:t>
      </w:r>
      <w:r w:rsidRPr="00AB34BA">
        <w:rPr>
          <w:rFonts w:asciiTheme="majorBidi" w:hAnsiTheme="majorBidi" w:cstheme="majorBidi"/>
          <w:i/>
          <w:iCs/>
        </w:rPr>
        <w:t>Religion and Education.</w:t>
      </w:r>
      <w:r w:rsidRPr="00AB34BA">
        <w:rPr>
          <w:rFonts w:asciiTheme="majorBidi" w:hAnsiTheme="majorBidi" w:cstheme="majorBidi"/>
          <w:i/>
        </w:rPr>
        <w:t xml:space="preserve"> </w:t>
      </w:r>
      <w:r w:rsidRPr="00AB34BA">
        <w:rPr>
          <w:rFonts w:asciiTheme="majorBidi" w:hAnsiTheme="majorBidi" w:cstheme="majorBidi"/>
          <w:i/>
          <w:iCs/>
        </w:rPr>
        <w:t>Journal for Theological-Religious and Pedagogical Research</w:t>
      </w:r>
      <w:r w:rsidRPr="00AB34BA">
        <w:rPr>
          <w:rFonts w:asciiTheme="majorBidi" w:hAnsiTheme="majorBidi" w:cstheme="majorBidi"/>
        </w:rPr>
        <w:t xml:space="preserve"> does not charge for the publication of papers.</w:t>
      </w:r>
    </w:p>
    <w:p w14:paraId="1FB8FA22" w14:textId="77777777" w:rsidR="00D76B2A" w:rsidRDefault="00D76B2A"/>
    <w:p w14:paraId="14BBB25F" w14:textId="77777777" w:rsidR="00D76B2A" w:rsidRDefault="00D76B2A"/>
    <w:p w14:paraId="1ACE35A1" w14:textId="77777777" w:rsidR="00D76B2A" w:rsidRDefault="00D76B2A"/>
    <w:p w14:paraId="43F58D81" w14:textId="77777777" w:rsidR="00D76B2A" w:rsidRDefault="00D76B2A"/>
    <w:p w14:paraId="15322ED3" w14:textId="77777777" w:rsidR="00D76B2A" w:rsidRDefault="00D76B2A"/>
    <w:p w14:paraId="108B6D79" w14:textId="77777777" w:rsidR="00D76B2A" w:rsidRDefault="00D76B2A"/>
    <w:p w14:paraId="4BB4C968" w14:textId="77777777" w:rsidR="00D76B2A" w:rsidRDefault="00D76B2A"/>
    <w:p w14:paraId="0CD10EDE" w14:textId="77777777" w:rsidR="00D76B2A" w:rsidRDefault="00D76B2A"/>
    <w:p w14:paraId="29EE9231" w14:textId="77777777" w:rsidR="00D76B2A" w:rsidRDefault="00D76B2A"/>
    <w:p w14:paraId="69EAB622" w14:textId="77777777" w:rsidR="00D76B2A" w:rsidRDefault="00D76B2A"/>
    <w:p w14:paraId="56EF70AD" w14:textId="77777777" w:rsidR="00D76B2A" w:rsidRDefault="00D76B2A"/>
    <w:p w14:paraId="5543E216" w14:textId="77777777" w:rsidR="00D76B2A" w:rsidRDefault="00D76B2A"/>
    <w:p w14:paraId="04B1546A" w14:textId="77777777" w:rsidR="00D76B2A" w:rsidRDefault="00D76B2A"/>
    <w:p w14:paraId="7AC91502" w14:textId="77777777" w:rsidR="00D76B2A" w:rsidRDefault="00D76B2A"/>
    <w:p w14:paraId="6C11FED9" w14:textId="77777777" w:rsidR="00D76B2A" w:rsidRDefault="00D76B2A"/>
    <w:p w14:paraId="5F9A59D9" w14:textId="77777777" w:rsidR="00D76B2A" w:rsidRDefault="00D76B2A"/>
    <w:p w14:paraId="22A2B1D6" w14:textId="77777777" w:rsidR="00D76B2A" w:rsidRDefault="00D76B2A"/>
    <w:p w14:paraId="025062D9" w14:textId="77777777" w:rsidR="00D76B2A" w:rsidRDefault="00D76B2A"/>
    <w:p w14:paraId="7952869A" w14:textId="77777777" w:rsidR="00D76B2A" w:rsidRDefault="00D76B2A"/>
    <w:p w14:paraId="79CB09F7" w14:textId="77777777" w:rsidR="00D76B2A" w:rsidRDefault="00D76B2A"/>
    <w:p w14:paraId="0A9B268B" w14:textId="77777777" w:rsidR="00D76B2A" w:rsidRDefault="00D76B2A"/>
    <w:sectPr w:rsidR="00D76B2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FD4FF" w14:textId="77777777" w:rsidR="00D76B2A" w:rsidRDefault="00D76B2A" w:rsidP="00D76B2A">
      <w:pPr>
        <w:spacing w:after="0" w:line="240" w:lineRule="auto"/>
      </w:pPr>
      <w:r>
        <w:separator/>
      </w:r>
    </w:p>
  </w:endnote>
  <w:endnote w:type="continuationSeparator" w:id="0">
    <w:p w14:paraId="6C62E0D0" w14:textId="77777777" w:rsidR="00D76B2A" w:rsidRDefault="00D76B2A" w:rsidP="00D76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3FCC3" w14:textId="77777777" w:rsidR="00BD10DF" w:rsidRDefault="00BD1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136DF" w14:textId="3FCEF05A" w:rsidR="00BD10DF" w:rsidRPr="00BD10DF" w:rsidRDefault="00BD10DF" w:rsidP="00BD10DF">
    <w:pPr>
      <w:pStyle w:val="BasicParagraph"/>
      <w:jc w:val="center"/>
      <w:rPr>
        <w:rFonts w:ascii="Cambria" w:hAnsi="Cambria" w:cs="Cambria"/>
        <w:color w:val="003FCB"/>
        <w:sz w:val="15"/>
        <w:szCs w:val="16"/>
      </w:rPr>
    </w:pPr>
    <w:r>
      <w:rPr>
        <w:noProof/>
      </w:rPr>
      <mc:AlternateContent>
        <mc:Choice Requires="wps">
          <w:drawing>
            <wp:anchor distT="0" distB="0" distL="114300" distR="114300" simplePos="0" relativeHeight="251660288" behindDoc="0" locked="0" layoutInCell="1" allowOverlap="1" wp14:anchorId="393439BF" wp14:editId="2DEB4223">
              <wp:simplePos x="0" y="0"/>
              <wp:positionH relativeFrom="column">
                <wp:posOffset>-29845</wp:posOffset>
              </wp:positionH>
              <wp:positionV relativeFrom="paragraph">
                <wp:posOffset>-130810</wp:posOffset>
              </wp:positionV>
              <wp:extent cx="5767705" cy="0"/>
              <wp:effectExtent l="0" t="0" r="0" b="0"/>
              <wp:wrapNone/>
              <wp:docPr id="2" name="Ravni poveznik 1"/>
              <wp:cNvGraphicFramePr/>
              <a:graphic xmlns:a="http://schemas.openxmlformats.org/drawingml/2006/main">
                <a:graphicData uri="http://schemas.microsoft.com/office/word/2010/wordprocessingShape">
                  <wps:wsp>
                    <wps:cNvCnPr/>
                    <wps:spPr>
                      <a:xfrm>
                        <a:off x="0" y="0"/>
                        <a:ext cx="5767705"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46AD9F94" id="Ravni poveznik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0.3pt" to="451.8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" strokecolor="#0070c0" strokeweight=".5pt">
              <v:stroke joinstyle="miter"/>
            </v:line>
          </w:pict>
        </mc:Fallback>
      </mc:AlternateContent>
    </w:r>
    <w:r>
      <w:rPr>
        <w:rFonts w:ascii="Cambria" w:hAnsi="Cambria" w:cs="Cambria"/>
        <w:color w:val="003FCB"/>
        <w:sz w:val="15"/>
        <w:szCs w:val="16"/>
        <w:lang w:val="pl-PL"/>
      </w:rPr>
      <w:t xml:space="preserve">Vlaška ulica 38, p.p. 5; HR-10000 ZAGREB • Tel. </w:t>
    </w:r>
    <w:r>
      <w:rPr>
        <w:rFonts w:ascii="Cambria" w:hAnsi="Cambria" w:cs="Cambria"/>
        <w:color w:val="003FCB"/>
        <w:sz w:val="15"/>
        <w:szCs w:val="16"/>
      </w:rPr>
      <w:t>+385 1 2117 624 •</w:t>
    </w:r>
    <w:r>
      <w:rPr>
        <w:rFonts w:ascii="Cambria" w:hAnsi="Cambria"/>
        <w:color w:val="004DC0"/>
        <w:sz w:val="22"/>
      </w:rPr>
      <w:br/>
    </w:r>
    <w:r>
      <w:rPr>
        <w:rFonts w:ascii="Cambria" w:hAnsi="Cambria" w:cs="Cambria"/>
        <w:color w:val="003FCB"/>
        <w:sz w:val="15"/>
        <w:szCs w:val="16"/>
      </w:rPr>
      <w:t>e-mail: rio@kbf.unizg.hr • www.kbf.unizg.hr • OIB: 48987767944 • IBAN: HR7323600001101358687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F46A9" w14:textId="77777777" w:rsidR="00BD10DF" w:rsidRDefault="00BD1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7D441" w14:textId="77777777" w:rsidR="00D76B2A" w:rsidRDefault="00D76B2A" w:rsidP="00D76B2A">
      <w:pPr>
        <w:spacing w:after="0" w:line="240" w:lineRule="auto"/>
      </w:pPr>
      <w:r>
        <w:separator/>
      </w:r>
    </w:p>
  </w:footnote>
  <w:footnote w:type="continuationSeparator" w:id="0">
    <w:p w14:paraId="36C0A74D" w14:textId="77777777" w:rsidR="00D76B2A" w:rsidRDefault="00D76B2A" w:rsidP="00D76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0E99B" w14:textId="77777777" w:rsidR="00BD10DF" w:rsidRDefault="00BD10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0EB6D" w14:textId="15F54D00" w:rsidR="00D76B2A" w:rsidRDefault="00D76B2A">
    <w:pPr>
      <w:pStyle w:val="Header"/>
    </w:pPr>
    <w:r>
      <w:rPr>
        <w:noProof/>
      </w:rPr>
      <w:drawing>
        <wp:anchor distT="0" distB="0" distL="114300" distR="114300" simplePos="0" relativeHeight="251658240" behindDoc="0" locked="0" layoutInCell="1" allowOverlap="1" wp14:anchorId="7E97B025" wp14:editId="50711EFD">
          <wp:simplePos x="0" y="0"/>
          <wp:positionH relativeFrom="margin">
            <wp:align>center</wp:align>
          </wp:positionH>
          <wp:positionV relativeFrom="paragraph">
            <wp:posOffset>-363855</wp:posOffset>
          </wp:positionV>
          <wp:extent cx="7316967" cy="1298536"/>
          <wp:effectExtent l="0" t="0" r="0" b="0"/>
          <wp:wrapSquare wrapText="bothSides"/>
          <wp:docPr id="47188621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886214" name="Slika 471886214"/>
                  <pic:cNvPicPr/>
                </pic:nvPicPr>
                <pic:blipFill>
                  <a:blip r:embed="rId1">
                    <a:extLst>
                      <a:ext uri="{28A0092B-C50C-407E-A947-70E740481C1C}">
                        <a14:useLocalDpi xmlns:a14="http://schemas.microsoft.com/office/drawing/2010/main" val="0"/>
                      </a:ext>
                    </a:extLst>
                  </a:blip>
                  <a:stretch>
                    <a:fillRect/>
                  </a:stretch>
                </pic:blipFill>
                <pic:spPr>
                  <a:xfrm>
                    <a:off x="0" y="0"/>
                    <a:ext cx="7316967" cy="129853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91E47" w14:textId="77777777" w:rsidR="00BD10DF" w:rsidRDefault="00BD10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44AA9"/>
    <w:multiLevelType w:val="hybridMultilevel"/>
    <w:tmpl w:val="D8385598"/>
    <w:lvl w:ilvl="0" w:tplc="2A207EA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78556F"/>
    <w:multiLevelType w:val="hybridMultilevel"/>
    <w:tmpl w:val="132847B8"/>
    <w:lvl w:ilvl="0" w:tplc="12ACD630">
      <w:start w:val="1"/>
      <w:numFmt w:val="upp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B2A"/>
    <w:rsid w:val="003C046C"/>
    <w:rsid w:val="00577DDD"/>
    <w:rsid w:val="00756FCD"/>
    <w:rsid w:val="007B264B"/>
    <w:rsid w:val="00AF4B5A"/>
    <w:rsid w:val="00BD10DF"/>
    <w:rsid w:val="00D43A13"/>
    <w:rsid w:val="00D76B2A"/>
    <w:rsid w:val="00FC2C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44A0F"/>
  <w15:chartTrackingRefBased/>
  <w15:docId w15:val="{A512ABED-4DA0-4303-B876-EE9F3558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B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B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B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B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B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B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B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B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B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B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B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B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B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B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B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B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B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B2A"/>
    <w:rPr>
      <w:rFonts w:eastAsiaTheme="majorEastAsia" w:cstheme="majorBidi"/>
      <w:color w:val="272727" w:themeColor="text1" w:themeTint="D8"/>
    </w:rPr>
  </w:style>
  <w:style w:type="paragraph" w:styleId="Title">
    <w:name w:val="Title"/>
    <w:basedOn w:val="Normal"/>
    <w:next w:val="Normal"/>
    <w:link w:val="TitleChar"/>
    <w:uiPriority w:val="10"/>
    <w:qFormat/>
    <w:rsid w:val="00D76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B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B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B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B2A"/>
    <w:pPr>
      <w:spacing w:before="160"/>
      <w:jc w:val="center"/>
    </w:pPr>
    <w:rPr>
      <w:i/>
      <w:iCs/>
      <w:color w:val="404040" w:themeColor="text1" w:themeTint="BF"/>
    </w:rPr>
  </w:style>
  <w:style w:type="character" w:customStyle="1" w:styleId="QuoteChar">
    <w:name w:val="Quote Char"/>
    <w:basedOn w:val="DefaultParagraphFont"/>
    <w:link w:val="Quote"/>
    <w:uiPriority w:val="29"/>
    <w:rsid w:val="00D76B2A"/>
    <w:rPr>
      <w:i/>
      <w:iCs/>
      <w:color w:val="404040" w:themeColor="text1" w:themeTint="BF"/>
    </w:rPr>
  </w:style>
  <w:style w:type="paragraph" w:styleId="ListParagraph">
    <w:name w:val="List Paragraph"/>
    <w:basedOn w:val="Normal"/>
    <w:uiPriority w:val="34"/>
    <w:qFormat/>
    <w:rsid w:val="00D76B2A"/>
    <w:pPr>
      <w:ind w:left="720"/>
      <w:contextualSpacing/>
    </w:pPr>
  </w:style>
  <w:style w:type="character" w:styleId="IntenseEmphasis">
    <w:name w:val="Intense Emphasis"/>
    <w:basedOn w:val="DefaultParagraphFont"/>
    <w:uiPriority w:val="21"/>
    <w:qFormat/>
    <w:rsid w:val="00D76B2A"/>
    <w:rPr>
      <w:i/>
      <w:iCs/>
      <w:color w:val="0F4761" w:themeColor="accent1" w:themeShade="BF"/>
    </w:rPr>
  </w:style>
  <w:style w:type="paragraph" w:styleId="IntenseQuote">
    <w:name w:val="Intense Quote"/>
    <w:basedOn w:val="Normal"/>
    <w:next w:val="Normal"/>
    <w:link w:val="IntenseQuoteChar"/>
    <w:uiPriority w:val="30"/>
    <w:qFormat/>
    <w:rsid w:val="00D76B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B2A"/>
    <w:rPr>
      <w:i/>
      <w:iCs/>
      <w:color w:val="0F4761" w:themeColor="accent1" w:themeShade="BF"/>
    </w:rPr>
  </w:style>
  <w:style w:type="character" w:styleId="IntenseReference">
    <w:name w:val="Intense Reference"/>
    <w:basedOn w:val="DefaultParagraphFont"/>
    <w:uiPriority w:val="32"/>
    <w:qFormat/>
    <w:rsid w:val="00D76B2A"/>
    <w:rPr>
      <w:b/>
      <w:bCs/>
      <w:smallCaps/>
      <w:color w:val="0F4761" w:themeColor="accent1" w:themeShade="BF"/>
      <w:spacing w:val="5"/>
    </w:rPr>
  </w:style>
  <w:style w:type="paragraph" w:styleId="Header">
    <w:name w:val="header"/>
    <w:basedOn w:val="Normal"/>
    <w:link w:val="HeaderChar"/>
    <w:uiPriority w:val="99"/>
    <w:unhideWhenUsed/>
    <w:rsid w:val="00D76B2A"/>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6B2A"/>
  </w:style>
  <w:style w:type="paragraph" w:styleId="Footer">
    <w:name w:val="footer"/>
    <w:basedOn w:val="Normal"/>
    <w:link w:val="FooterChar"/>
    <w:uiPriority w:val="99"/>
    <w:unhideWhenUsed/>
    <w:rsid w:val="00D76B2A"/>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6B2A"/>
  </w:style>
  <w:style w:type="paragraph" w:customStyle="1" w:styleId="BasicParagraph">
    <w:name w:val="[Basic Paragraph]"/>
    <w:basedOn w:val="Normal"/>
    <w:uiPriority w:val="99"/>
    <w:rsid w:val="00BD10DF"/>
    <w:pPr>
      <w:autoSpaceDE w:val="0"/>
      <w:autoSpaceDN w:val="0"/>
      <w:adjustRightInd w:val="0"/>
      <w:spacing w:after="0" w:line="288" w:lineRule="auto"/>
    </w:pPr>
    <w:rPr>
      <w:rFonts w:ascii="Minion Pro" w:hAnsi="Minion Pro" w:cs="Minion Pro"/>
      <w:color w:val="000000"/>
      <w:kern w:val="0"/>
      <w:lang w:val="en-US"/>
      <w14:ligatures w14:val="none"/>
    </w:rPr>
  </w:style>
  <w:style w:type="character" w:styleId="Hyperlink">
    <w:name w:val="Hyperlink"/>
    <w:basedOn w:val="DefaultParagraphFont"/>
    <w:uiPriority w:val="99"/>
    <w:unhideWhenUsed/>
    <w:rsid w:val="007B264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0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io@kbf.unizg.h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1202</Words>
  <Characters>6853</Characters>
  <Application>Microsoft Office Word</Application>
  <DocSecurity>0</DocSecurity>
  <Lines>57</Lines>
  <Paragraphs>16</Paragraphs>
  <ScaleCrop>false</ScaleCrop>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Čorba</dc:creator>
  <cp:keywords/>
  <dc:description/>
  <cp:lastModifiedBy>Ružica Razum</cp:lastModifiedBy>
  <cp:revision>2</cp:revision>
  <cp:lastPrinted>2025-10-07T12:45:00Z</cp:lastPrinted>
  <dcterms:created xsi:type="dcterms:W3CDTF">2025-10-08T07:36:00Z</dcterms:created>
  <dcterms:modified xsi:type="dcterms:W3CDTF">2025-10-08T07:36:00Z</dcterms:modified>
</cp:coreProperties>
</file>