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E3E" w:rsidRPr="00441F58" w:rsidRDefault="00446E3E" w:rsidP="00446E3E">
      <w:pPr>
        <w:shd w:val="clear" w:color="auto" w:fill="FFFFFF"/>
        <w:spacing w:line="240" w:lineRule="auto"/>
        <w:outlineLvl w:val="1"/>
        <w:rPr>
          <w:rFonts w:ascii="Lato" w:eastAsia="Times New Roman" w:hAnsi="Lato" w:cs="Times New Roman"/>
          <w:bCs/>
          <w:sz w:val="24"/>
          <w:szCs w:val="24"/>
        </w:rPr>
      </w:pPr>
      <w:r w:rsidRPr="00441F58">
        <w:rPr>
          <w:rFonts w:ascii="Lato" w:eastAsia="Times New Roman" w:hAnsi="Lato" w:cs="Times New Roman"/>
          <w:bCs/>
          <w:sz w:val="24"/>
          <w:szCs w:val="24"/>
        </w:rPr>
        <w:fldChar w:fldCharType="begin"/>
      </w:r>
      <w:r w:rsidRPr="00441F58">
        <w:rPr>
          <w:rFonts w:ascii="Lato" w:eastAsia="Times New Roman" w:hAnsi="Lato" w:cs="Times New Roman"/>
          <w:bCs/>
          <w:sz w:val="24"/>
          <w:szCs w:val="24"/>
        </w:rPr>
        <w:instrText xml:space="preserve"> HYPERLINK "https://thm.fthm.hr/publications-ethics/reviewer-guidelines" </w:instrText>
      </w:r>
      <w:r w:rsidRPr="00441F58">
        <w:rPr>
          <w:rFonts w:ascii="Lato" w:eastAsia="Times New Roman" w:hAnsi="Lato" w:cs="Times New Roman"/>
          <w:bCs/>
          <w:sz w:val="24"/>
          <w:szCs w:val="24"/>
        </w:rPr>
        <w:fldChar w:fldCharType="separate"/>
      </w:r>
      <w:r w:rsidRPr="00441F58">
        <w:rPr>
          <w:rStyle w:val="Hyperlink"/>
          <w:rFonts w:ascii="Lato" w:eastAsia="Times New Roman" w:hAnsi="Lato" w:cs="Times New Roman"/>
          <w:bCs/>
          <w:color w:val="auto"/>
          <w:sz w:val="24"/>
          <w:szCs w:val="24"/>
        </w:rPr>
        <w:t>https://thm.fthm.hr/publications-ethics/reviewer-guidelines</w:t>
      </w:r>
      <w:r w:rsidRPr="00441F58">
        <w:rPr>
          <w:rFonts w:ascii="Lato" w:eastAsia="Times New Roman" w:hAnsi="Lato" w:cs="Times New Roman"/>
          <w:bCs/>
          <w:sz w:val="24"/>
          <w:szCs w:val="24"/>
        </w:rPr>
        <w:fldChar w:fldCharType="end"/>
      </w:r>
    </w:p>
    <w:p w:rsidR="00446E3E" w:rsidRPr="00441F58" w:rsidRDefault="00446E3E" w:rsidP="00446E3E">
      <w:pPr>
        <w:shd w:val="clear" w:color="auto" w:fill="FFFFFF"/>
        <w:spacing w:line="240" w:lineRule="auto"/>
        <w:outlineLvl w:val="1"/>
        <w:rPr>
          <w:rFonts w:ascii="Lato" w:eastAsia="Times New Roman" w:hAnsi="Lato" w:cs="Times New Roman"/>
          <w:b/>
          <w:bCs/>
          <w:sz w:val="72"/>
          <w:szCs w:val="72"/>
        </w:rPr>
      </w:pPr>
      <w:r w:rsidRPr="00441F58">
        <w:rPr>
          <w:rFonts w:ascii="Lato" w:eastAsia="Times New Roman" w:hAnsi="Lato" w:cs="Times New Roman"/>
          <w:b/>
          <w:bCs/>
          <w:sz w:val="72"/>
          <w:szCs w:val="72"/>
        </w:rPr>
        <w:t>Reviewer Guidelines</w:t>
      </w:r>
    </w:p>
    <w:p w:rsidR="00446E3E" w:rsidRPr="00441F58" w:rsidRDefault="00446E3E" w:rsidP="00446E3E">
      <w:pPr>
        <w:shd w:val="clear" w:color="auto" w:fill="FFFFFF"/>
        <w:spacing w:after="120" w:line="240" w:lineRule="auto"/>
        <w:jc w:val="both"/>
        <w:rPr>
          <w:rFonts w:ascii="PT Sans" w:eastAsia="Times New Roman" w:hAnsi="PT Sans" w:cs="Times New Roman"/>
          <w:sz w:val="24"/>
          <w:szCs w:val="24"/>
        </w:rPr>
      </w:pPr>
      <w:r w:rsidRPr="00441F58">
        <w:rPr>
          <w:rFonts w:ascii="PT Sans" w:eastAsia="Times New Roman" w:hAnsi="PT Sans" w:cs="Times New Roman"/>
          <w:sz w:val="24"/>
          <w:szCs w:val="24"/>
        </w:rPr>
        <w:t>Each paper submitted to the </w:t>
      </w:r>
      <w:r w:rsidRPr="00441F58">
        <w:rPr>
          <w:rFonts w:ascii="PT Sans" w:eastAsia="Times New Roman" w:hAnsi="PT Sans" w:cs="Times New Roman"/>
          <w:i/>
          <w:iCs/>
          <w:sz w:val="24"/>
          <w:szCs w:val="24"/>
        </w:rPr>
        <w:t>Tourism and Hospitality Management</w:t>
      </w:r>
      <w:r w:rsidRPr="00441F58">
        <w:rPr>
          <w:rFonts w:ascii="PT Sans" w:eastAsia="Times New Roman" w:hAnsi="PT Sans" w:cs="Times New Roman"/>
          <w:sz w:val="24"/>
          <w:szCs w:val="24"/>
        </w:rPr>
        <w:t> journal is subject to the following review procedures:</w:t>
      </w:r>
    </w:p>
    <w:p w:rsidR="00446E3E" w:rsidRPr="00441F58" w:rsidRDefault="00446E3E" w:rsidP="00446E3E">
      <w:pPr>
        <w:numPr>
          <w:ilvl w:val="0"/>
          <w:numId w:val="1"/>
        </w:numPr>
        <w:shd w:val="clear" w:color="auto" w:fill="FFFFFF"/>
        <w:spacing w:before="100" w:beforeAutospacing="1" w:after="100" w:afterAutospacing="1" w:line="240" w:lineRule="auto"/>
        <w:ind w:left="375"/>
        <w:rPr>
          <w:rFonts w:ascii="PT Sans" w:eastAsia="Times New Roman" w:hAnsi="PT Sans" w:cs="Times New Roman"/>
          <w:sz w:val="24"/>
          <w:szCs w:val="24"/>
        </w:rPr>
      </w:pPr>
      <w:r w:rsidRPr="00441F58">
        <w:rPr>
          <w:rFonts w:ascii="PT Sans" w:eastAsia="Times New Roman" w:hAnsi="PT Sans" w:cs="Times New Roman"/>
          <w:sz w:val="24"/>
          <w:szCs w:val="24"/>
        </w:rPr>
        <w:t>it is reviewed by the editors for general suitability for this publication</w:t>
      </w:r>
    </w:p>
    <w:p w:rsidR="00446E3E" w:rsidRPr="00441F58" w:rsidRDefault="00446E3E" w:rsidP="00446E3E">
      <w:pPr>
        <w:numPr>
          <w:ilvl w:val="0"/>
          <w:numId w:val="1"/>
        </w:numPr>
        <w:shd w:val="clear" w:color="auto" w:fill="FFFFFF"/>
        <w:spacing w:before="100" w:beforeAutospacing="1" w:after="100" w:afterAutospacing="1" w:line="240" w:lineRule="auto"/>
        <w:ind w:left="375"/>
        <w:rPr>
          <w:rFonts w:ascii="PT Sans" w:eastAsia="Times New Roman" w:hAnsi="PT Sans" w:cs="Times New Roman"/>
          <w:sz w:val="24"/>
          <w:szCs w:val="24"/>
        </w:rPr>
      </w:pPr>
      <w:r w:rsidRPr="00441F58">
        <w:rPr>
          <w:rFonts w:ascii="PT Sans" w:eastAsia="Times New Roman" w:hAnsi="PT Sans" w:cs="Times New Roman"/>
          <w:sz w:val="24"/>
          <w:szCs w:val="24"/>
        </w:rPr>
        <w:t xml:space="preserve">it is checked using a special software program for preventing plagiarism using </w:t>
      </w:r>
      <w:proofErr w:type="spellStart"/>
      <w:r w:rsidRPr="00441F58">
        <w:rPr>
          <w:rFonts w:ascii="PT Sans" w:eastAsia="Times New Roman" w:hAnsi="PT Sans" w:cs="Times New Roman"/>
          <w:sz w:val="24"/>
          <w:szCs w:val="24"/>
        </w:rPr>
        <w:t>Crossref</w:t>
      </w:r>
      <w:proofErr w:type="spellEnd"/>
      <w:r w:rsidRPr="00441F58">
        <w:rPr>
          <w:rFonts w:ascii="PT Sans" w:eastAsia="Times New Roman" w:hAnsi="PT Sans" w:cs="Times New Roman"/>
          <w:sz w:val="24"/>
          <w:szCs w:val="24"/>
        </w:rPr>
        <w:t xml:space="preserve"> Similarity Check (</w:t>
      </w:r>
      <w:proofErr w:type="spellStart"/>
      <w:r w:rsidRPr="00441F58">
        <w:rPr>
          <w:rFonts w:ascii="PT Sans" w:eastAsia="Times New Roman" w:hAnsi="PT Sans" w:cs="Times New Roman"/>
          <w:sz w:val="24"/>
          <w:szCs w:val="24"/>
        </w:rPr>
        <w:t>iThenticate</w:t>
      </w:r>
      <w:proofErr w:type="spellEnd"/>
      <w:r w:rsidRPr="00441F58">
        <w:rPr>
          <w:rFonts w:ascii="PT Sans" w:eastAsia="Times New Roman" w:hAnsi="PT Sans" w:cs="Times New Roman"/>
          <w:sz w:val="24"/>
          <w:szCs w:val="24"/>
        </w:rPr>
        <w:t>)</w:t>
      </w:r>
    </w:p>
    <w:p w:rsidR="00446E3E" w:rsidRPr="00441F58" w:rsidRDefault="00446E3E" w:rsidP="00446E3E">
      <w:pPr>
        <w:numPr>
          <w:ilvl w:val="0"/>
          <w:numId w:val="1"/>
        </w:numPr>
        <w:shd w:val="clear" w:color="auto" w:fill="FFFFFF"/>
        <w:spacing w:before="100" w:beforeAutospacing="1" w:after="100" w:afterAutospacing="1" w:line="240" w:lineRule="auto"/>
        <w:ind w:left="375"/>
        <w:rPr>
          <w:rFonts w:ascii="PT Sans" w:eastAsia="Times New Roman" w:hAnsi="PT Sans" w:cs="Times New Roman"/>
          <w:sz w:val="24"/>
          <w:szCs w:val="24"/>
        </w:rPr>
      </w:pPr>
      <w:r w:rsidRPr="00441F58">
        <w:rPr>
          <w:rFonts w:ascii="PT Sans" w:eastAsia="Times New Roman" w:hAnsi="PT Sans" w:cs="Times New Roman"/>
          <w:sz w:val="24"/>
          <w:szCs w:val="24"/>
        </w:rPr>
        <w:t>two reviewers are selected and a double blind review process takes place</w:t>
      </w:r>
    </w:p>
    <w:p w:rsidR="00446E3E" w:rsidRPr="00441F58" w:rsidRDefault="00446E3E" w:rsidP="00446E3E">
      <w:pPr>
        <w:numPr>
          <w:ilvl w:val="0"/>
          <w:numId w:val="1"/>
        </w:numPr>
        <w:shd w:val="clear" w:color="auto" w:fill="FFFFFF"/>
        <w:spacing w:before="100" w:beforeAutospacing="1" w:after="100" w:afterAutospacing="1" w:line="240" w:lineRule="auto"/>
        <w:ind w:left="375"/>
        <w:rPr>
          <w:rFonts w:ascii="PT Sans" w:eastAsia="Times New Roman" w:hAnsi="PT Sans" w:cs="Times New Roman"/>
          <w:sz w:val="24"/>
          <w:szCs w:val="24"/>
        </w:rPr>
      </w:pPr>
      <w:proofErr w:type="gramStart"/>
      <w:r w:rsidRPr="00441F58">
        <w:rPr>
          <w:rFonts w:ascii="PT Sans" w:eastAsia="Times New Roman" w:hAnsi="PT Sans" w:cs="Times New Roman"/>
          <w:sz w:val="24"/>
          <w:szCs w:val="24"/>
        </w:rPr>
        <w:t>based</w:t>
      </w:r>
      <w:proofErr w:type="gramEnd"/>
      <w:r w:rsidRPr="00441F58">
        <w:rPr>
          <w:rFonts w:ascii="PT Sans" w:eastAsia="Times New Roman" w:hAnsi="PT Sans" w:cs="Times New Roman"/>
          <w:sz w:val="24"/>
          <w:szCs w:val="24"/>
        </w:rPr>
        <w:t xml:space="preserve"> on the recommendations of the reviewers, the editors then decide whether the particular article should be accepted, revised or rejected, or the third (fourth) reviewer will be engaged.</w:t>
      </w:r>
    </w:p>
    <w:p w:rsidR="00446E3E" w:rsidRPr="00441F58" w:rsidRDefault="00446E3E" w:rsidP="00446E3E">
      <w:pPr>
        <w:shd w:val="clear" w:color="auto" w:fill="FFFFFF"/>
        <w:spacing w:after="180" w:line="240" w:lineRule="auto"/>
        <w:jc w:val="both"/>
        <w:rPr>
          <w:rFonts w:ascii="PT Sans" w:eastAsia="Times New Roman" w:hAnsi="PT Sans" w:cs="Times New Roman"/>
          <w:sz w:val="24"/>
          <w:szCs w:val="24"/>
        </w:rPr>
      </w:pPr>
      <w:r w:rsidRPr="00441F58">
        <w:rPr>
          <w:rFonts w:ascii="PT Sans" w:eastAsia="Times New Roman" w:hAnsi="PT Sans" w:cs="Times New Roman"/>
          <w:sz w:val="24"/>
          <w:szCs w:val="24"/>
        </w:rPr>
        <w:t xml:space="preserve">Reviewers’ comments </w:t>
      </w:r>
      <w:proofErr w:type="gramStart"/>
      <w:r w:rsidRPr="00441F58">
        <w:rPr>
          <w:rFonts w:ascii="PT Sans" w:eastAsia="Times New Roman" w:hAnsi="PT Sans" w:cs="Times New Roman"/>
          <w:sz w:val="24"/>
          <w:szCs w:val="24"/>
        </w:rPr>
        <w:t>will be returned</w:t>
      </w:r>
      <w:proofErr w:type="gramEnd"/>
      <w:r w:rsidRPr="00441F58">
        <w:rPr>
          <w:rFonts w:ascii="PT Sans" w:eastAsia="Times New Roman" w:hAnsi="PT Sans" w:cs="Times New Roman"/>
          <w:sz w:val="24"/>
          <w:szCs w:val="24"/>
        </w:rPr>
        <w:t xml:space="preserve"> to the original author.  Where appropriate, authors will be encouraged to revise the paper and to resubmit it for further consideration, whereby they are obligated to fill in the author response form. The review process will follow the criteria laid out in review form.</w:t>
      </w:r>
      <w:bookmarkStart w:id="0" w:name="_GoBack"/>
      <w:bookmarkEnd w:id="0"/>
    </w:p>
    <w:p w:rsidR="0096560B" w:rsidRPr="00441F58" w:rsidRDefault="0096560B" w:rsidP="00446E3E">
      <w:pPr>
        <w:shd w:val="clear" w:color="auto" w:fill="FFFFFF"/>
        <w:spacing w:after="120" w:line="240" w:lineRule="auto"/>
        <w:jc w:val="both"/>
        <w:rPr>
          <w:rFonts w:ascii="PT Sans" w:eastAsia="Times New Roman" w:hAnsi="PT Sans" w:cs="Times New Roman"/>
          <w:sz w:val="24"/>
          <w:szCs w:val="24"/>
        </w:rPr>
      </w:pPr>
    </w:p>
    <w:p w:rsidR="00446E3E" w:rsidRPr="00441F58" w:rsidRDefault="00577D37" w:rsidP="00446E3E">
      <w:pPr>
        <w:shd w:val="clear" w:color="auto" w:fill="FFFFFF"/>
        <w:spacing w:after="120" w:line="240" w:lineRule="auto"/>
        <w:jc w:val="both"/>
        <w:rPr>
          <w:rFonts w:ascii="PT Sans" w:eastAsia="Times New Roman" w:hAnsi="PT Sans" w:cs="Times New Roman"/>
          <w:sz w:val="24"/>
          <w:szCs w:val="24"/>
        </w:rPr>
      </w:pPr>
      <w:r w:rsidRPr="00441F58">
        <w:rPr>
          <w:rFonts w:ascii="PT Sans" w:eastAsia="Times New Roman" w:hAnsi="PT Sans" w:cs="Times New Roman"/>
          <w:sz w:val="24"/>
          <w:szCs w:val="24"/>
        </w:rPr>
        <w:t>P</w:t>
      </w:r>
      <w:r w:rsidR="00446E3E" w:rsidRPr="00441F58">
        <w:rPr>
          <w:rFonts w:ascii="PT Sans" w:eastAsia="Times New Roman" w:hAnsi="PT Sans" w:cs="Times New Roman"/>
          <w:sz w:val="24"/>
          <w:szCs w:val="24"/>
        </w:rPr>
        <w:t xml:space="preserve">apers </w:t>
      </w:r>
      <w:proofErr w:type="gramStart"/>
      <w:r w:rsidR="00446E3E" w:rsidRPr="00441F58">
        <w:rPr>
          <w:rFonts w:ascii="PT Sans" w:eastAsia="Times New Roman" w:hAnsi="PT Sans" w:cs="Times New Roman"/>
          <w:sz w:val="24"/>
          <w:szCs w:val="24"/>
        </w:rPr>
        <w:t>are categorized</w:t>
      </w:r>
      <w:proofErr w:type="gramEnd"/>
      <w:r w:rsidR="00446E3E" w:rsidRPr="00441F58">
        <w:rPr>
          <w:rFonts w:ascii="PT Sans" w:eastAsia="Times New Roman" w:hAnsi="PT Sans" w:cs="Times New Roman"/>
          <w:sz w:val="24"/>
          <w:szCs w:val="24"/>
        </w:rPr>
        <w:t xml:space="preserve"> under one of these </w:t>
      </w:r>
      <w:r w:rsidR="00446E3E" w:rsidRPr="00441F58">
        <w:rPr>
          <w:rFonts w:ascii="PT Sans" w:eastAsia="Times New Roman" w:hAnsi="PT Sans" w:cs="Times New Roman"/>
          <w:i/>
          <w:iCs/>
          <w:sz w:val="24"/>
          <w:szCs w:val="24"/>
        </w:rPr>
        <w:t>classifications:</w:t>
      </w:r>
    </w:p>
    <w:p w:rsidR="0035288A" w:rsidRPr="00441F58" w:rsidRDefault="00446E3E" w:rsidP="0035288A">
      <w:pPr>
        <w:numPr>
          <w:ilvl w:val="0"/>
          <w:numId w:val="2"/>
        </w:numPr>
        <w:shd w:val="clear" w:color="auto" w:fill="FFFFFF"/>
        <w:spacing w:before="100" w:beforeAutospacing="1" w:after="100" w:afterAutospacing="1" w:line="240" w:lineRule="auto"/>
        <w:ind w:left="375"/>
        <w:rPr>
          <w:rFonts w:ascii="PT Sans" w:eastAsia="Times New Roman" w:hAnsi="PT Sans" w:cs="Times New Roman"/>
          <w:sz w:val="24"/>
          <w:szCs w:val="24"/>
        </w:rPr>
      </w:pPr>
      <w:r w:rsidRPr="00441F58">
        <w:rPr>
          <w:rFonts w:ascii="PT Sans" w:hAnsi="PT Sans"/>
          <w:b/>
          <w:bCs/>
          <w:sz w:val="24"/>
          <w:szCs w:val="24"/>
          <w:lang w:val="en-GB"/>
        </w:rPr>
        <w:t>Empirical r</w:t>
      </w:r>
      <w:r w:rsidR="0035288A" w:rsidRPr="00441F58">
        <w:rPr>
          <w:rFonts w:ascii="PT Sans" w:hAnsi="PT Sans"/>
          <w:b/>
          <w:bCs/>
          <w:sz w:val="24"/>
          <w:szCs w:val="24"/>
          <w:lang w:val="en-GB"/>
        </w:rPr>
        <w:t>esearch paper</w:t>
      </w:r>
      <w:r w:rsidRPr="00441F58">
        <w:rPr>
          <w:rFonts w:ascii="PT Sans" w:hAnsi="PT Sans"/>
          <w:b/>
          <w:bCs/>
          <w:sz w:val="24"/>
          <w:szCs w:val="24"/>
          <w:lang w:val="en-GB"/>
        </w:rPr>
        <w:t xml:space="preserve"> </w:t>
      </w:r>
      <w:r w:rsidRPr="00441F58">
        <w:rPr>
          <w:rFonts w:ascii="PT Sans" w:hAnsi="PT Sans"/>
          <w:bCs/>
          <w:sz w:val="24"/>
          <w:szCs w:val="24"/>
          <w:lang w:val="en-GB"/>
        </w:rPr>
        <w:t>(report</w:t>
      </w:r>
      <w:r w:rsidR="0035288A" w:rsidRPr="00441F58">
        <w:rPr>
          <w:rFonts w:ascii="PT Sans" w:hAnsi="PT Sans"/>
          <w:bCs/>
          <w:sz w:val="24"/>
          <w:szCs w:val="24"/>
          <w:lang w:val="en-GB"/>
        </w:rPr>
        <w:t>s</w:t>
      </w:r>
      <w:r w:rsidRPr="00441F58">
        <w:rPr>
          <w:rFonts w:ascii="PT Sans" w:hAnsi="PT Sans"/>
          <w:bCs/>
          <w:sz w:val="24"/>
          <w:szCs w:val="24"/>
          <w:lang w:val="en-GB"/>
        </w:rPr>
        <w:t xml:space="preserve"> on any type of research undertaken by the author(s) including the testing of a model, framework or data, market research or surveys</w:t>
      </w:r>
      <w:r w:rsidRPr="00441F58">
        <w:rPr>
          <w:rFonts w:ascii="PT Sans" w:eastAsia="Times New Roman" w:hAnsi="PT Sans" w:cs="Times New Roman"/>
          <w:sz w:val="24"/>
          <w:szCs w:val="24"/>
        </w:rPr>
        <w:t>. The results should be presented in the manner that allows for the experiment to be repeated and results to be checked</w:t>
      </w:r>
      <w:r w:rsidRPr="00441F58">
        <w:rPr>
          <w:rFonts w:ascii="PT Sans" w:hAnsi="PT Sans"/>
          <w:bCs/>
          <w:sz w:val="24"/>
          <w:szCs w:val="24"/>
          <w:lang w:val="en-GB"/>
        </w:rPr>
        <w:t xml:space="preserve">) </w:t>
      </w:r>
    </w:p>
    <w:p w:rsidR="00446E3E" w:rsidRPr="00441F58" w:rsidRDefault="00446E3E" w:rsidP="0035288A">
      <w:pPr>
        <w:numPr>
          <w:ilvl w:val="0"/>
          <w:numId w:val="2"/>
        </w:numPr>
        <w:shd w:val="clear" w:color="auto" w:fill="FFFFFF"/>
        <w:spacing w:before="100" w:beforeAutospacing="1" w:after="100" w:afterAutospacing="1" w:line="240" w:lineRule="auto"/>
        <w:ind w:left="375"/>
        <w:rPr>
          <w:rFonts w:ascii="PT Sans" w:eastAsia="Times New Roman" w:hAnsi="PT Sans" w:cs="Times New Roman"/>
          <w:sz w:val="24"/>
          <w:szCs w:val="24"/>
        </w:rPr>
      </w:pPr>
      <w:r w:rsidRPr="00441F58">
        <w:rPr>
          <w:rFonts w:ascii="PT Sans" w:hAnsi="PT Sans"/>
          <w:b/>
          <w:bCs/>
          <w:sz w:val="24"/>
          <w:szCs w:val="24"/>
          <w:lang w:val="en-GB"/>
        </w:rPr>
        <w:t xml:space="preserve">Conceptual research </w:t>
      </w:r>
      <w:r w:rsidR="0035288A" w:rsidRPr="00441F58">
        <w:rPr>
          <w:rFonts w:ascii="PT Sans" w:hAnsi="PT Sans"/>
          <w:b/>
          <w:bCs/>
          <w:sz w:val="24"/>
          <w:szCs w:val="24"/>
          <w:lang w:val="en-GB"/>
        </w:rPr>
        <w:t>paper</w:t>
      </w:r>
      <w:r w:rsidRPr="00441F58">
        <w:rPr>
          <w:rFonts w:ascii="PT Sans" w:hAnsi="PT Sans"/>
          <w:bCs/>
          <w:sz w:val="24"/>
          <w:szCs w:val="24"/>
          <w:lang w:val="en-GB"/>
        </w:rPr>
        <w:t xml:space="preserve"> (f</w:t>
      </w:r>
      <w:r w:rsidRPr="00441F58">
        <w:rPr>
          <w:rFonts w:ascii="PT Sans" w:hAnsi="PT Sans"/>
          <w:sz w:val="24"/>
          <w:szCs w:val="24"/>
          <w:lang w:val="en-GB"/>
        </w:rPr>
        <w:t>ocus</w:t>
      </w:r>
      <w:r w:rsidR="0035288A" w:rsidRPr="00441F58">
        <w:rPr>
          <w:rFonts w:ascii="PT Sans" w:hAnsi="PT Sans"/>
          <w:sz w:val="24"/>
          <w:szCs w:val="24"/>
          <w:lang w:val="en-GB"/>
        </w:rPr>
        <w:t>es</w:t>
      </w:r>
      <w:r w:rsidRPr="00441F58">
        <w:rPr>
          <w:rFonts w:ascii="PT Sans" w:hAnsi="PT Sans"/>
          <w:sz w:val="24"/>
          <w:szCs w:val="24"/>
          <w:lang w:val="en-GB"/>
        </w:rPr>
        <w:t xml:space="preserve"> on observing and analysing already present information on a given topic</w:t>
      </w:r>
      <w:r w:rsidR="0035288A" w:rsidRPr="00441F58">
        <w:rPr>
          <w:rFonts w:ascii="PT Sans" w:hAnsi="PT Sans"/>
          <w:sz w:val="24"/>
          <w:szCs w:val="24"/>
          <w:lang w:val="en-GB"/>
        </w:rPr>
        <w:t>,</w:t>
      </w:r>
      <w:r w:rsidRPr="00441F58">
        <w:rPr>
          <w:rFonts w:ascii="PT Sans" w:hAnsi="PT Sans"/>
          <w:sz w:val="24"/>
          <w:szCs w:val="24"/>
          <w:lang w:val="en-GB"/>
        </w:rPr>
        <w:t xml:space="preserve"> developing hypotheses and new theories, proposing theoretical models and interpreting existing theories in a different light. </w:t>
      </w:r>
      <w:r w:rsidR="0035288A" w:rsidRPr="00441F58">
        <w:rPr>
          <w:rFonts w:ascii="PT Sans" w:hAnsi="PT Sans"/>
          <w:sz w:val="24"/>
          <w:szCs w:val="24"/>
          <w:lang w:val="en-GB"/>
        </w:rPr>
        <w:t>It is</w:t>
      </w:r>
      <w:r w:rsidRPr="00441F58">
        <w:rPr>
          <w:rFonts w:ascii="PT Sans" w:hAnsi="PT Sans"/>
          <w:sz w:val="24"/>
          <w:szCs w:val="24"/>
          <w:lang w:val="en-GB"/>
        </w:rPr>
        <w:t xml:space="preserve"> usually discursive</w:t>
      </w:r>
      <w:r w:rsidRPr="00441F58">
        <w:rPr>
          <w:rFonts w:ascii="PT Sans" w:hAnsi="PT Sans"/>
          <w:bCs/>
          <w:sz w:val="24"/>
          <w:szCs w:val="24"/>
          <w:lang w:val="en-GB"/>
        </w:rPr>
        <w:t xml:space="preserve">) </w:t>
      </w:r>
    </w:p>
    <w:p w:rsidR="00446E3E" w:rsidRPr="00441F58" w:rsidRDefault="0035288A" w:rsidP="00446E3E">
      <w:pPr>
        <w:numPr>
          <w:ilvl w:val="0"/>
          <w:numId w:val="2"/>
        </w:numPr>
        <w:shd w:val="clear" w:color="auto" w:fill="FFFFFF"/>
        <w:spacing w:before="100" w:beforeAutospacing="1" w:after="100" w:afterAutospacing="1" w:line="240" w:lineRule="auto"/>
        <w:ind w:left="375"/>
        <w:rPr>
          <w:rFonts w:ascii="PT Sans" w:eastAsia="Times New Roman" w:hAnsi="PT Sans" w:cs="Times New Roman"/>
          <w:sz w:val="24"/>
          <w:szCs w:val="24"/>
        </w:rPr>
      </w:pPr>
      <w:r w:rsidRPr="00441F58">
        <w:rPr>
          <w:rFonts w:ascii="PT Sans" w:hAnsi="PT Sans"/>
          <w:b/>
          <w:bCs/>
          <w:sz w:val="24"/>
          <w:szCs w:val="24"/>
          <w:lang w:val="en-GB"/>
        </w:rPr>
        <w:t xml:space="preserve">Review paper </w:t>
      </w:r>
      <w:r w:rsidRPr="00441F58">
        <w:rPr>
          <w:rFonts w:ascii="PT Sans" w:hAnsi="PT Sans"/>
          <w:bCs/>
          <w:sz w:val="24"/>
          <w:szCs w:val="24"/>
          <w:lang w:val="en-GB"/>
        </w:rPr>
        <w:t>(</w:t>
      </w:r>
      <w:r w:rsidR="00446E3E" w:rsidRPr="00441F58">
        <w:rPr>
          <w:rFonts w:ascii="PT Sans" w:eastAsia="Times New Roman" w:hAnsi="PT Sans" w:cs="Times New Roman"/>
          <w:sz w:val="24"/>
          <w:szCs w:val="24"/>
        </w:rPr>
        <w:t>an original, critical work from the field on the author’s active participation. It contains comprehensive overview of research based on the analysis of information that has already been published</w:t>
      </w:r>
      <w:r w:rsidRPr="00441F58">
        <w:rPr>
          <w:rFonts w:ascii="PT Sans" w:eastAsia="Times New Roman" w:hAnsi="PT Sans" w:cs="Times New Roman"/>
          <w:sz w:val="24"/>
          <w:szCs w:val="24"/>
        </w:rPr>
        <w:t>)</w:t>
      </w:r>
      <w:r w:rsidR="00446E3E" w:rsidRPr="00441F58">
        <w:rPr>
          <w:rFonts w:ascii="PT Sans" w:eastAsia="Times New Roman" w:hAnsi="PT Sans" w:cs="Times New Roman"/>
          <w:sz w:val="24"/>
          <w:szCs w:val="24"/>
        </w:rPr>
        <w:t> </w:t>
      </w:r>
    </w:p>
    <w:p w:rsidR="0035288A" w:rsidRPr="00441F58" w:rsidRDefault="0035288A" w:rsidP="0035288A">
      <w:pPr>
        <w:numPr>
          <w:ilvl w:val="0"/>
          <w:numId w:val="2"/>
        </w:numPr>
        <w:shd w:val="clear" w:color="auto" w:fill="FFFFFF"/>
        <w:spacing w:before="100" w:beforeAutospacing="1" w:after="100" w:afterAutospacing="1" w:line="240" w:lineRule="auto"/>
        <w:ind w:left="375"/>
        <w:rPr>
          <w:rFonts w:ascii="PT Sans" w:eastAsia="Times New Roman" w:hAnsi="PT Sans" w:cs="Times New Roman"/>
          <w:sz w:val="24"/>
          <w:szCs w:val="24"/>
        </w:rPr>
      </w:pPr>
      <w:r w:rsidRPr="00441F58">
        <w:rPr>
          <w:rFonts w:ascii="PT Sans" w:hAnsi="PT Sans"/>
          <w:b/>
          <w:bCs/>
          <w:sz w:val="24"/>
          <w:szCs w:val="24"/>
          <w:lang w:val="en-GB"/>
        </w:rPr>
        <w:t xml:space="preserve">Research note/Short communication </w:t>
      </w:r>
      <w:r w:rsidRPr="00441F58">
        <w:rPr>
          <w:rFonts w:ascii="PT Sans" w:hAnsi="PT Sans"/>
          <w:bCs/>
          <w:sz w:val="24"/>
          <w:szCs w:val="24"/>
          <w:lang w:val="en-GB"/>
        </w:rPr>
        <w:t>(concise and short report and cutting edge paper on a research theme, topic or development in theory or method)</w:t>
      </w:r>
    </w:p>
    <w:p w:rsidR="0035288A" w:rsidRPr="00441F58" w:rsidRDefault="0035288A" w:rsidP="0035288A">
      <w:pPr>
        <w:numPr>
          <w:ilvl w:val="0"/>
          <w:numId w:val="2"/>
        </w:numPr>
        <w:shd w:val="clear" w:color="auto" w:fill="FFFFFF"/>
        <w:spacing w:before="100" w:beforeAutospacing="1" w:after="100" w:afterAutospacing="1" w:line="240" w:lineRule="auto"/>
        <w:ind w:left="375"/>
        <w:rPr>
          <w:rFonts w:ascii="PT Sans" w:eastAsia="Times New Roman" w:hAnsi="PT Sans" w:cs="Times New Roman"/>
          <w:sz w:val="24"/>
          <w:szCs w:val="24"/>
        </w:rPr>
      </w:pPr>
      <w:r w:rsidRPr="00441F58">
        <w:rPr>
          <w:rFonts w:ascii="PT Sans" w:eastAsia="Times New Roman" w:hAnsi="PT Sans" w:cs="Times New Roman"/>
          <w:b/>
          <w:bCs/>
          <w:sz w:val="24"/>
          <w:szCs w:val="24"/>
        </w:rPr>
        <w:t>P</w:t>
      </w:r>
      <w:r w:rsidR="00446E3E" w:rsidRPr="00441F58">
        <w:rPr>
          <w:rFonts w:ascii="PT Sans" w:eastAsia="Times New Roman" w:hAnsi="PT Sans" w:cs="Times New Roman"/>
          <w:b/>
          <w:bCs/>
          <w:sz w:val="24"/>
          <w:szCs w:val="24"/>
        </w:rPr>
        <w:t>rofessional paper</w:t>
      </w:r>
      <w:r w:rsidR="00446E3E" w:rsidRPr="00441F58">
        <w:rPr>
          <w:rFonts w:ascii="PT Sans" w:eastAsia="Times New Roman" w:hAnsi="PT Sans" w:cs="Times New Roman"/>
          <w:sz w:val="24"/>
          <w:szCs w:val="24"/>
        </w:rPr>
        <w:t> </w:t>
      </w:r>
      <w:r w:rsidRPr="00441F58">
        <w:rPr>
          <w:rFonts w:ascii="PT Sans" w:eastAsia="Times New Roman" w:hAnsi="PT Sans" w:cs="Times New Roman"/>
          <w:sz w:val="24"/>
          <w:szCs w:val="24"/>
        </w:rPr>
        <w:t xml:space="preserve">(does not apply scientific methods and does not have appropriate scientific contribution. It </w:t>
      </w:r>
      <w:r w:rsidR="00446E3E" w:rsidRPr="00441F58">
        <w:rPr>
          <w:rFonts w:ascii="PT Sans" w:eastAsia="Times New Roman" w:hAnsi="PT Sans" w:cs="Times New Roman"/>
          <w:sz w:val="24"/>
          <w:szCs w:val="24"/>
        </w:rPr>
        <w:t xml:space="preserve">contains information on the existing methods and achievements that contribute to the particular profession </w:t>
      </w:r>
      <w:r w:rsidRPr="00441F58">
        <w:rPr>
          <w:rFonts w:ascii="PT Sans" w:eastAsia="Times New Roman" w:hAnsi="PT Sans" w:cs="Times New Roman"/>
          <w:sz w:val="24"/>
          <w:szCs w:val="24"/>
        </w:rPr>
        <w:t xml:space="preserve">only. These type of papers </w:t>
      </w:r>
      <w:proofErr w:type="gramStart"/>
      <w:r w:rsidRPr="00441F58">
        <w:rPr>
          <w:rFonts w:ascii="PT Sans" w:eastAsia="Times New Roman" w:hAnsi="PT Sans" w:cs="Times New Roman"/>
          <w:sz w:val="24"/>
          <w:szCs w:val="24"/>
        </w:rPr>
        <w:t>will not be published</w:t>
      </w:r>
      <w:proofErr w:type="gramEnd"/>
      <w:r w:rsidRPr="00441F58">
        <w:rPr>
          <w:rFonts w:ascii="PT Sans" w:eastAsia="Times New Roman" w:hAnsi="PT Sans" w:cs="Times New Roman"/>
          <w:sz w:val="24"/>
          <w:szCs w:val="24"/>
        </w:rPr>
        <w:t xml:space="preserve"> in the THM.</w:t>
      </w:r>
    </w:p>
    <w:p w:rsidR="00446E3E" w:rsidRPr="00441F58" w:rsidRDefault="00446E3E" w:rsidP="00446E3E">
      <w:pPr>
        <w:numPr>
          <w:ilvl w:val="0"/>
          <w:numId w:val="2"/>
        </w:numPr>
        <w:shd w:val="clear" w:color="auto" w:fill="FFFFFF"/>
        <w:spacing w:before="100" w:beforeAutospacing="1" w:after="100" w:afterAutospacing="1" w:line="240" w:lineRule="auto"/>
        <w:ind w:left="375"/>
        <w:rPr>
          <w:rFonts w:ascii="PT Sans" w:eastAsia="Times New Roman" w:hAnsi="PT Sans" w:cs="Times New Roman"/>
          <w:sz w:val="24"/>
          <w:szCs w:val="24"/>
        </w:rPr>
      </w:pPr>
      <w:r w:rsidRPr="00441F58">
        <w:rPr>
          <w:rFonts w:ascii="PT Sans" w:hAnsi="PT Sans"/>
          <w:b/>
          <w:bCs/>
          <w:sz w:val="24"/>
          <w:szCs w:val="24"/>
          <w:lang w:val="en-GB"/>
        </w:rPr>
        <w:t xml:space="preserve">Viewpoints </w:t>
      </w:r>
      <w:r w:rsidRPr="00441F58">
        <w:rPr>
          <w:rFonts w:ascii="PT Sans" w:hAnsi="PT Sans"/>
          <w:bCs/>
          <w:sz w:val="24"/>
          <w:szCs w:val="24"/>
          <w:lang w:val="en-GB"/>
        </w:rPr>
        <w:t>(author's opinion and interpretation on a topic relevant for research and practice; magazine-style contribution that should not exceed 1,500 words in length (including abstract, references, figures and tables)).</w:t>
      </w:r>
    </w:p>
    <w:p w:rsidR="00446E3E" w:rsidRPr="00441F58" w:rsidRDefault="00446E3E" w:rsidP="00446E3E">
      <w:pPr>
        <w:numPr>
          <w:ilvl w:val="0"/>
          <w:numId w:val="2"/>
        </w:numPr>
        <w:shd w:val="clear" w:color="auto" w:fill="FFFFFF"/>
        <w:spacing w:before="100" w:beforeAutospacing="1" w:after="100" w:afterAutospacing="1" w:line="240" w:lineRule="auto"/>
        <w:ind w:left="375"/>
        <w:rPr>
          <w:rFonts w:ascii="PT Sans" w:eastAsia="Times New Roman" w:hAnsi="PT Sans" w:cs="Times New Roman"/>
          <w:sz w:val="24"/>
          <w:szCs w:val="24"/>
        </w:rPr>
      </w:pPr>
      <w:r w:rsidRPr="00441F58">
        <w:rPr>
          <w:rFonts w:ascii="PT Sans" w:hAnsi="PT Sans"/>
          <w:b/>
          <w:bCs/>
          <w:sz w:val="24"/>
          <w:szCs w:val="24"/>
          <w:lang w:val="en-GB"/>
        </w:rPr>
        <w:t xml:space="preserve">Teaching and learning case studies </w:t>
      </w:r>
      <w:r w:rsidRPr="00441F58">
        <w:rPr>
          <w:rFonts w:ascii="PT Sans" w:hAnsi="PT Sans"/>
          <w:bCs/>
          <w:sz w:val="24"/>
          <w:szCs w:val="24"/>
          <w:lang w:val="en-GB"/>
        </w:rPr>
        <w:t>(can be based on empirical research or real-world examples from industry; aim to provide a high quality teaching and learning resource; should not exceed 2,500 words (excluding abstract, tables, figures and references)).</w:t>
      </w:r>
    </w:p>
    <w:p w:rsidR="00446E3E" w:rsidRPr="00441F58" w:rsidRDefault="00446E3E" w:rsidP="00446E3E">
      <w:pPr>
        <w:shd w:val="clear" w:color="auto" w:fill="FFFFFF"/>
        <w:spacing w:after="120" w:line="240" w:lineRule="auto"/>
        <w:jc w:val="both"/>
        <w:rPr>
          <w:rFonts w:ascii="PT Sans" w:eastAsia="Times New Roman" w:hAnsi="PT Sans" w:cs="Times New Roman"/>
          <w:sz w:val="24"/>
          <w:szCs w:val="24"/>
        </w:rPr>
      </w:pPr>
      <w:r w:rsidRPr="00441F58">
        <w:rPr>
          <w:rFonts w:ascii="PT Sans" w:eastAsia="Times New Roman" w:hAnsi="PT Sans" w:cs="Times New Roman"/>
          <w:sz w:val="24"/>
          <w:szCs w:val="24"/>
        </w:rPr>
        <w:lastRenderedPageBreak/>
        <w:t>The peer review process is an independent quality control procedure for articles submitted to journal. Because it is so difficult for authors to be objective about their own writing, they benefit greatly from having someone else read and comment upon their work. Peer review is vital for enhancing the quality, credibility and acceptability of published research and practice papers.</w:t>
      </w:r>
    </w:p>
    <w:p w:rsidR="00446E3E" w:rsidRPr="00441F58" w:rsidRDefault="00446E3E" w:rsidP="00446E3E">
      <w:pPr>
        <w:shd w:val="clear" w:color="auto" w:fill="FFFFFF"/>
        <w:spacing w:after="120" w:line="240" w:lineRule="auto"/>
        <w:jc w:val="both"/>
        <w:rPr>
          <w:rFonts w:ascii="PT Sans" w:eastAsia="Times New Roman" w:hAnsi="PT Sans" w:cs="Times New Roman"/>
          <w:sz w:val="24"/>
          <w:szCs w:val="24"/>
        </w:rPr>
      </w:pPr>
      <w:r w:rsidRPr="00441F58">
        <w:rPr>
          <w:rFonts w:ascii="PT Sans" w:eastAsia="Times New Roman" w:hAnsi="PT Sans" w:cs="Times New Roman"/>
          <w:sz w:val="24"/>
          <w:szCs w:val="24"/>
        </w:rPr>
        <w:t>Please observe carefully the following </w:t>
      </w:r>
      <w:r w:rsidRPr="00441F58">
        <w:rPr>
          <w:rFonts w:ascii="PT Sans" w:eastAsia="Times New Roman" w:hAnsi="PT Sans" w:cs="Times New Roman"/>
          <w:i/>
          <w:iCs/>
          <w:sz w:val="24"/>
          <w:szCs w:val="24"/>
        </w:rPr>
        <w:t>guidelines </w:t>
      </w:r>
      <w:r w:rsidRPr="00441F58">
        <w:rPr>
          <w:rFonts w:ascii="PT Sans" w:eastAsia="Times New Roman" w:hAnsi="PT Sans" w:cs="Times New Roman"/>
          <w:sz w:val="24"/>
          <w:szCs w:val="24"/>
        </w:rPr>
        <w:t>on the role of the reviewer:</w:t>
      </w:r>
    </w:p>
    <w:p w:rsidR="00446E3E" w:rsidRPr="00441F58" w:rsidRDefault="00446E3E" w:rsidP="00446E3E">
      <w:pPr>
        <w:numPr>
          <w:ilvl w:val="0"/>
          <w:numId w:val="3"/>
        </w:numPr>
        <w:shd w:val="clear" w:color="auto" w:fill="FFFFFF"/>
        <w:spacing w:before="100" w:beforeAutospacing="1" w:after="100" w:afterAutospacing="1" w:line="240" w:lineRule="auto"/>
        <w:ind w:left="375"/>
        <w:jc w:val="both"/>
        <w:rPr>
          <w:rFonts w:ascii="PT Sans" w:eastAsia="Times New Roman" w:hAnsi="PT Sans" w:cs="Times New Roman"/>
          <w:sz w:val="24"/>
          <w:szCs w:val="24"/>
        </w:rPr>
      </w:pPr>
      <w:r w:rsidRPr="00441F58">
        <w:rPr>
          <w:rFonts w:ascii="PT Sans" w:eastAsia="Times New Roman" w:hAnsi="PT Sans" w:cs="Times New Roman"/>
          <w:b/>
          <w:bCs/>
          <w:sz w:val="24"/>
          <w:szCs w:val="24"/>
        </w:rPr>
        <w:t>Expertise:</w:t>
      </w:r>
      <w:r w:rsidRPr="00441F58">
        <w:rPr>
          <w:rFonts w:ascii="PT Sans" w:eastAsia="Times New Roman" w:hAnsi="PT Sans" w:cs="Times New Roman"/>
          <w:sz w:val="24"/>
          <w:szCs w:val="24"/>
        </w:rPr>
        <w:t xml:space="preserve"> Papers </w:t>
      </w:r>
      <w:proofErr w:type="gramStart"/>
      <w:r w:rsidRPr="00441F58">
        <w:rPr>
          <w:rFonts w:ascii="PT Sans" w:eastAsia="Times New Roman" w:hAnsi="PT Sans" w:cs="Times New Roman"/>
          <w:sz w:val="24"/>
          <w:szCs w:val="24"/>
        </w:rPr>
        <w:t>are not always sent</w:t>
      </w:r>
      <w:proofErr w:type="gramEnd"/>
      <w:r w:rsidRPr="00441F58">
        <w:rPr>
          <w:rFonts w:ascii="PT Sans" w:eastAsia="Times New Roman" w:hAnsi="PT Sans" w:cs="Times New Roman"/>
          <w:sz w:val="24"/>
          <w:szCs w:val="24"/>
        </w:rPr>
        <w:t xml:space="preserve"> to a reviewer whose field is identical to the subject matter of that paper. You do not have to be precisely qualified in a field to be a constructive reviewer. In fact, quite the contrary, an excellent paper will speak beyond its narrowly defined field. If, however, a paper is so distant from your field that you do not feel qualified to judge its merits, please return it to the publishing manager for the journal, who will locate another reviewer.</w:t>
      </w:r>
    </w:p>
    <w:p w:rsidR="00446E3E" w:rsidRPr="00441F58" w:rsidRDefault="00446E3E" w:rsidP="00446E3E">
      <w:pPr>
        <w:numPr>
          <w:ilvl w:val="0"/>
          <w:numId w:val="3"/>
        </w:numPr>
        <w:shd w:val="clear" w:color="auto" w:fill="FFFFFF"/>
        <w:spacing w:before="100" w:beforeAutospacing="1" w:after="100" w:afterAutospacing="1" w:line="240" w:lineRule="auto"/>
        <w:ind w:left="375"/>
        <w:jc w:val="both"/>
        <w:rPr>
          <w:rFonts w:ascii="PT Sans" w:eastAsia="Times New Roman" w:hAnsi="PT Sans" w:cs="Times New Roman"/>
          <w:sz w:val="24"/>
          <w:szCs w:val="24"/>
        </w:rPr>
      </w:pPr>
      <w:r w:rsidRPr="00441F58">
        <w:rPr>
          <w:rFonts w:ascii="PT Sans" w:eastAsia="Times New Roman" w:hAnsi="PT Sans" w:cs="Times New Roman"/>
          <w:b/>
          <w:bCs/>
          <w:sz w:val="24"/>
          <w:szCs w:val="24"/>
        </w:rPr>
        <w:t>Confidentiality:</w:t>
      </w:r>
      <w:r w:rsidRPr="00441F58">
        <w:rPr>
          <w:rFonts w:ascii="PT Sans" w:eastAsia="Times New Roman" w:hAnsi="PT Sans" w:cs="Times New Roman"/>
          <w:sz w:val="24"/>
          <w:szCs w:val="24"/>
        </w:rPr>
        <w:t xml:space="preserve"> Reviewers receive unpublished </w:t>
      </w:r>
      <w:proofErr w:type="gramStart"/>
      <w:r w:rsidRPr="00441F58">
        <w:rPr>
          <w:rFonts w:ascii="PT Sans" w:eastAsia="Times New Roman" w:hAnsi="PT Sans" w:cs="Times New Roman"/>
          <w:sz w:val="24"/>
          <w:szCs w:val="24"/>
        </w:rPr>
        <w:t>work which</w:t>
      </w:r>
      <w:proofErr w:type="gramEnd"/>
      <w:r w:rsidRPr="00441F58">
        <w:rPr>
          <w:rFonts w:ascii="PT Sans" w:eastAsia="Times New Roman" w:hAnsi="PT Sans" w:cs="Times New Roman"/>
          <w:sz w:val="24"/>
          <w:szCs w:val="24"/>
        </w:rPr>
        <w:t xml:space="preserve"> must be treated as confidential until published. Reviewers must not disclose to others which papers they have reviewed; nor are they to share those papers with any other person.</w:t>
      </w:r>
    </w:p>
    <w:p w:rsidR="00446E3E" w:rsidRPr="00441F58" w:rsidRDefault="00446E3E" w:rsidP="00446E3E">
      <w:pPr>
        <w:numPr>
          <w:ilvl w:val="0"/>
          <w:numId w:val="3"/>
        </w:numPr>
        <w:shd w:val="clear" w:color="auto" w:fill="FFFFFF"/>
        <w:spacing w:before="100" w:beforeAutospacing="1" w:after="100" w:afterAutospacing="1" w:line="240" w:lineRule="auto"/>
        <w:ind w:left="375"/>
        <w:jc w:val="both"/>
        <w:rPr>
          <w:rFonts w:ascii="PT Sans" w:eastAsia="Times New Roman" w:hAnsi="PT Sans" w:cs="Times New Roman"/>
          <w:sz w:val="24"/>
          <w:szCs w:val="24"/>
        </w:rPr>
      </w:pPr>
      <w:r w:rsidRPr="00441F58">
        <w:rPr>
          <w:rFonts w:ascii="PT Sans" w:eastAsia="Times New Roman" w:hAnsi="PT Sans" w:cs="Times New Roman"/>
          <w:b/>
          <w:bCs/>
          <w:sz w:val="24"/>
          <w:szCs w:val="24"/>
        </w:rPr>
        <w:t>Conflict of Interest:</w:t>
      </w:r>
      <w:r w:rsidRPr="00441F58">
        <w:rPr>
          <w:rFonts w:ascii="PT Sans" w:eastAsia="Times New Roman" w:hAnsi="PT Sans" w:cs="Times New Roman"/>
          <w:sz w:val="24"/>
          <w:szCs w:val="24"/>
        </w:rPr>
        <w:t xml:space="preserve"> Reviewers must declare any conflict of interest or any other factor, which may affect their independence - in </w:t>
      </w:r>
      <w:proofErr w:type="gramStart"/>
      <w:r w:rsidRPr="00441F58">
        <w:rPr>
          <w:rFonts w:ascii="PT Sans" w:eastAsia="Times New Roman" w:hAnsi="PT Sans" w:cs="Times New Roman"/>
          <w:sz w:val="24"/>
          <w:szCs w:val="24"/>
        </w:rPr>
        <w:t>cases</w:t>
      </w:r>
      <w:proofErr w:type="gramEnd"/>
      <w:r w:rsidRPr="00441F58">
        <w:rPr>
          <w:rFonts w:ascii="PT Sans" w:eastAsia="Times New Roman" w:hAnsi="PT Sans" w:cs="Times New Roman"/>
          <w:sz w:val="24"/>
          <w:szCs w:val="24"/>
        </w:rPr>
        <w:t xml:space="preserve"> for instance where they have received a paper of a colleague or an intellectual opponent. In cases of conflict of interest, please notify the editorial team of your inability to review a particular paper.</w:t>
      </w:r>
    </w:p>
    <w:p w:rsidR="00446E3E" w:rsidRPr="00441F58" w:rsidRDefault="00446E3E" w:rsidP="00446E3E">
      <w:pPr>
        <w:numPr>
          <w:ilvl w:val="0"/>
          <w:numId w:val="3"/>
        </w:numPr>
        <w:shd w:val="clear" w:color="auto" w:fill="FFFFFF"/>
        <w:spacing w:before="100" w:beforeAutospacing="1" w:after="100" w:afterAutospacing="1" w:line="240" w:lineRule="auto"/>
        <w:ind w:left="375"/>
        <w:jc w:val="both"/>
        <w:rPr>
          <w:rFonts w:ascii="PT Sans" w:eastAsia="Times New Roman" w:hAnsi="PT Sans" w:cs="Times New Roman"/>
          <w:sz w:val="24"/>
          <w:szCs w:val="24"/>
        </w:rPr>
      </w:pPr>
      <w:r w:rsidRPr="00441F58">
        <w:rPr>
          <w:rFonts w:ascii="PT Sans" w:eastAsia="Times New Roman" w:hAnsi="PT Sans" w:cs="Times New Roman"/>
          <w:b/>
          <w:bCs/>
          <w:sz w:val="24"/>
          <w:szCs w:val="24"/>
        </w:rPr>
        <w:t>Intellectual Merit</w:t>
      </w:r>
      <w:r w:rsidRPr="00441F58">
        <w:rPr>
          <w:rFonts w:ascii="PT Sans" w:eastAsia="Times New Roman" w:hAnsi="PT Sans" w:cs="Times New Roman"/>
          <w:sz w:val="24"/>
          <w:szCs w:val="24"/>
        </w:rPr>
        <w:t xml:space="preserve">: A paper </w:t>
      </w:r>
      <w:proofErr w:type="gramStart"/>
      <w:r w:rsidRPr="00441F58">
        <w:rPr>
          <w:rFonts w:ascii="PT Sans" w:eastAsia="Times New Roman" w:hAnsi="PT Sans" w:cs="Times New Roman"/>
          <w:sz w:val="24"/>
          <w:szCs w:val="24"/>
        </w:rPr>
        <w:t>must be judged</w:t>
      </w:r>
      <w:proofErr w:type="gramEnd"/>
      <w:r w:rsidRPr="00441F58">
        <w:rPr>
          <w:rFonts w:ascii="PT Sans" w:eastAsia="Times New Roman" w:hAnsi="PT Sans" w:cs="Times New Roman"/>
          <w:sz w:val="24"/>
          <w:szCs w:val="24"/>
        </w:rPr>
        <w:t xml:space="preserve"> on its intellectual merits alone. Personal criticism or criticism based solely on the political or social views of the </w:t>
      </w:r>
      <w:proofErr w:type="gramStart"/>
      <w:r w:rsidRPr="00441F58">
        <w:rPr>
          <w:rFonts w:ascii="PT Sans" w:eastAsia="Times New Roman" w:hAnsi="PT Sans" w:cs="Times New Roman"/>
          <w:sz w:val="24"/>
          <w:szCs w:val="24"/>
        </w:rPr>
        <w:t>reviewer,</w:t>
      </w:r>
      <w:proofErr w:type="gramEnd"/>
      <w:r w:rsidRPr="00441F58">
        <w:rPr>
          <w:rFonts w:ascii="PT Sans" w:eastAsia="Times New Roman" w:hAnsi="PT Sans" w:cs="Times New Roman"/>
          <w:sz w:val="24"/>
          <w:szCs w:val="24"/>
        </w:rPr>
        <w:t xml:space="preserve"> is not acceptable.</w:t>
      </w:r>
    </w:p>
    <w:p w:rsidR="00446E3E" w:rsidRPr="00441F58" w:rsidRDefault="00446E3E" w:rsidP="00446E3E">
      <w:pPr>
        <w:numPr>
          <w:ilvl w:val="0"/>
          <w:numId w:val="3"/>
        </w:numPr>
        <w:shd w:val="clear" w:color="auto" w:fill="FFFFFF"/>
        <w:spacing w:before="100" w:beforeAutospacing="1" w:after="100" w:afterAutospacing="1" w:line="240" w:lineRule="auto"/>
        <w:ind w:left="375"/>
        <w:jc w:val="both"/>
        <w:rPr>
          <w:rFonts w:ascii="PT Sans" w:eastAsia="Times New Roman" w:hAnsi="PT Sans" w:cs="Times New Roman"/>
          <w:sz w:val="24"/>
          <w:szCs w:val="24"/>
        </w:rPr>
      </w:pPr>
      <w:r w:rsidRPr="00441F58">
        <w:rPr>
          <w:rFonts w:ascii="PT Sans" w:eastAsia="Times New Roman" w:hAnsi="PT Sans" w:cs="Times New Roman"/>
          <w:b/>
          <w:bCs/>
          <w:sz w:val="24"/>
          <w:szCs w:val="24"/>
        </w:rPr>
        <w:t>Full Explanation:</w:t>
      </w:r>
      <w:r w:rsidRPr="00441F58">
        <w:rPr>
          <w:rFonts w:ascii="PT Sans" w:eastAsia="Times New Roman" w:hAnsi="PT Sans" w:cs="Times New Roman"/>
          <w:sz w:val="24"/>
          <w:szCs w:val="24"/>
        </w:rPr>
        <w:t xml:space="preserve"> Critical or negative judgments </w:t>
      </w:r>
      <w:proofErr w:type="gramStart"/>
      <w:r w:rsidRPr="00441F58">
        <w:rPr>
          <w:rFonts w:ascii="PT Sans" w:eastAsia="Times New Roman" w:hAnsi="PT Sans" w:cs="Times New Roman"/>
          <w:sz w:val="24"/>
          <w:szCs w:val="24"/>
        </w:rPr>
        <w:t>must be fully supported</w:t>
      </w:r>
      <w:proofErr w:type="gramEnd"/>
      <w:r w:rsidRPr="00441F58">
        <w:rPr>
          <w:rFonts w:ascii="PT Sans" w:eastAsia="Times New Roman" w:hAnsi="PT Sans" w:cs="Times New Roman"/>
          <w:sz w:val="24"/>
          <w:szCs w:val="24"/>
        </w:rPr>
        <w:t xml:space="preserve"> by detailed reference to evidence from the paper under review or other relevant sources.</w:t>
      </w:r>
    </w:p>
    <w:p w:rsidR="00446E3E" w:rsidRPr="00441F58" w:rsidRDefault="00446E3E" w:rsidP="00446E3E">
      <w:pPr>
        <w:numPr>
          <w:ilvl w:val="0"/>
          <w:numId w:val="3"/>
        </w:numPr>
        <w:shd w:val="clear" w:color="auto" w:fill="FFFFFF"/>
        <w:spacing w:before="100" w:beforeAutospacing="1" w:after="100" w:afterAutospacing="1" w:line="240" w:lineRule="auto"/>
        <w:ind w:left="375"/>
        <w:jc w:val="both"/>
        <w:rPr>
          <w:rFonts w:ascii="PT Sans" w:eastAsia="Times New Roman" w:hAnsi="PT Sans" w:cs="Times New Roman"/>
          <w:sz w:val="24"/>
          <w:szCs w:val="24"/>
        </w:rPr>
      </w:pPr>
      <w:r w:rsidRPr="00441F58">
        <w:rPr>
          <w:rFonts w:ascii="PT Sans" w:eastAsia="Times New Roman" w:hAnsi="PT Sans" w:cs="Times New Roman"/>
          <w:b/>
          <w:bCs/>
          <w:sz w:val="24"/>
          <w:szCs w:val="24"/>
        </w:rPr>
        <w:t>Plagiarism and Copyright:</w:t>
      </w:r>
      <w:r w:rsidRPr="00441F58">
        <w:rPr>
          <w:rFonts w:ascii="PT Sans" w:eastAsia="Times New Roman" w:hAnsi="PT Sans" w:cs="Times New Roman"/>
          <w:sz w:val="24"/>
          <w:szCs w:val="24"/>
        </w:rPr>
        <w:t> If a reviewer considers that a paper may contain plagiarism or that it might breach another party’s copyright, they should notify the editors, providing the relevant citations to support their claim.</w:t>
      </w:r>
    </w:p>
    <w:p w:rsidR="00446E3E" w:rsidRPr="00441F58" w:rsidRDefault="00446E3E" w:rsidP="00446E3E">
      <w:pPr>
        <w:numPr>
          <w:ilvl w:val="0"/>
          <w:numId w:val="3"/>
        </w:numPr>
        <w:shd w:val="clear" w:color="auto" w:fill="FFFFFF"/>
        <w:spacing w:before="100" w:beforeAutospacing="1" w:after="100" w:afterAutospacing="1" w:line="240" w:lineRule="auto"/>
        <w:ind w:left="375"/>
        <w:jc w:val="both"/>
        <w:rPr>
          <w:rFonts w:ascii="PT Sans" w:eastAsia="Times New Roman" w:hAnsi="PT Sans" w:cs="Times New Roman"/>
          <w:sz w:val="24"/>
          <w:szCs w:val="24"/>
        </w:rPr>
      </w:pPr>
      <w:r w:rsidRPr="00441F58">
        <w:rPr>
          <w:rFonts w:ascii="PT Sans" w:eastAsia="Times New Roman" w:hAnsi="PT Sans" w:cs="Times New Roman"/>
          <w:b/>
          <w:bCs/>
          <w:sz w:val="24"/>
          <w:szCs w:val="24"/>
        </w:rPr>
        <w:t>Responsiveness:</w:t>
      </w:r>
      <w:r w:rsidRPr="00441F58">
        <w:rPr>
          <w:rFonts w:ascii="PT Sans" w:eastAsia="Times New Roman" w:hAnsi="PT Sans" w:cs="Times New Roman"/>
          <w:sz w:val="24"/>
          <w:szCs w:val="24"/>
        </w:rPr>
        <w:t xml:space="preserve"> Reviewers </w:t>
      </w:r>
      <w:proofErr w:type="gramStart"/>
      <w:r w:rsidRPr="00441F58">
        <w:rPr>
          <w:rFonts w:ascii="PT Sans" w:eastAsia="Times New Roman" w:hAnsi="PT Sans" w:cs="Times New Roman"/>
          <w:sz w:val="24"/>
          <w:szCs w:val="24"/>
        </w:rPr>
        <w:t>are asked</w:t>
      </w:r>
      <w:proofErr w:type="gramEnd"/>
      <w:r w:rsidRPr="00441F58">
        <w:rPr>
          <w:rFonts w:ascii="PT Sans" w:eastAsia="Times New Roman" w:hAnsi="PT Sans" w:cs="Times New Roman"/>
          <w:sz w:val="24"/>
          <w:szCs w:val="24"/>
        </w:rPr>
        <w:t xml:space="preserve"> to return their reports within four weeks.</w:t>
      </w:r>
    </w:p>
    <w:p w:rsidR="00130C43" w:rsidRPr="00441F58" w:rsidRDefault="00130C43"/>
    <w:sectPr w:rsidR="00130C43" w:rsidRPr="00441F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Times New Roman"/>
    <w:panose1 w:val="00000000000000000000"/>
    <w:charset w:val="00"/>
    <w:family w:val="roman"/>
    <w:notTrueType/>
    <w:pitch w:val="default"/>
  </w:font>
  <w:font w:name="PT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D2D83"/>
    <w:multiLevelType w:val="multilevel"/>
    <w:tmpl w:val="4744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D57CD8"/>
    <w:multiLevelType w:val="multilevel"/>
    <w:tmpl w:val="A0E0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A96D8B"/>
    <w:multiLevelType w:val="multilevel"/>
    <w:tmpl w:val="6F8E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183D9A"/>
    <w:multiLevelType w:val="multilevel"/>
    <w:tmpl w:val="F634D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8D36BB"/>
    <w:multiLevelType w:val="hybridMultilevel"/>
    <w:tmpl w:val="E252F4F2"/>
    <w:lvl w:ilvl="0" w:tplc="9CF29200">
      <w:start w:val="1"/>
      <w:numFmt w:val="bullet"/>
      <w:lvlText w:val=""/>
      <w:lvlJc w:val="left"/>
      <w:pPr>
        <w:tabs>
          <w:tab w:val="num" w:pos="720"/>
        </w:tabs>
        <w:ind w:left="720" w:hanging="360"/>
      </w:pPr>
      <w:rPr>
        <w:rFonts w:ascii="Wingdings 3" w:hAnsi="Wingdings 3" w:hint="default"/>
      </w:rPr>
    </w:lvl>
    <w:lvl w:ilvl="1" w:tplc="88104044" w:tentative="1">
      <w:start w:val="1"/>
      <w:numFmt w:val="bullet"/>
      <w:lvlText w:val=""/>
      <w:lvlJc w:val="left"/>
      <w:pPr>
        <w:tabs>
          <w:tab w:val="num" w:pos="1440"/>
        </w:tabs>
        <w:ind w:left="1440" w:hanging="360"/>
      </w:pPr>
      <w:rPr>
        <w:rFonts w:ascii="Wingdings 3" w:hAnsi="Wingdings 3" w:hint="default"/>
      </w:rPr>
    </w:lvl>
    <w:lvl w:ilvl="2" w:tplc="05BA0668" w:tentative="1">
      <w:start w:val="1"/>
      <w:numFmt w:val="bullet"/>
      <w:lvlText w:val=""/>
      <w:lvlJc w:val="left"/>
      <w:pPr>
        <w:tabs>
          <w:tab w:val="num" w:pos="2160"/>
        </w:tabs>
        <w:ind w:left="2160" w:hanging="360"/>
      </w:pPr>
      <w:rPr>
        <w:rFonts w:ascii="Wingdings 3" w:hAnsi="Wingdings 3" w:hint="default"/>
      </w:rPr>
    </w:lvl>
    <w:lvl w:ilvl="3" w:tplc="414A37BC" w:tentative="1">
      <w:start w:val="1"/>
      <w:numFmt w:val="bullet"/>
      <w:lvlText w:val=""/>
      <w:lvlJc w:val="left"/>
      <w:pPr>
        <w:tabs>
          <w:tab w:val="num" w:pos="2880"/>
        </w:tabs>
        <w:ind w:left="2880" w:hanging="360"/>
      </w:pPr>
      <w:rPr>
        <w:rFonts w:ascii="Wingdings 3" w:hAnsi="Wingdings 3" w:hint="default"/>
      </w:rPr>
    </w:lvl>
    <w:lvl w:ilvl="4" w:tplc="A8B0EB70" w:tentative="1">
      <w:start w:val="1"/>
      <w:numFmt w:val="bullet"/>
      <w:lvlText w:val=""/>
      <w:lvlJc w:val="left"/>
      <w:pPr>
        <w:tabs>
          <w:tab w:val="num" w:pos="3600"/>
        </w:tabs>
        <w:ind w:left="3600" w:hanging="360"/>
      </w:pPr>
      <w:rPr>
        <w:rFonts w:ascii="Wingdings 3" w:hAnsi="Wingdings 3" w:hint="default"/>
      </w:rPr>
    </w:lvl>
    <w:lvl w:ilvl="5" w:tplc="E092CC4E" w:tentative="1">
      <w:start w:val="1"/>
      <w:numFmt w:val="bullet"/>
      <w:lvlText w:val=""/>
      <w:lvlJc w:val="left"/>
      <w:pPr>
        <w:tabs>
          <w:tab w:val="num" w:pos="4320"/>
        </w:tabs>
        <w:ind w:left="4320" w:hanging="360"/>
      </w:pPr>
      <w:rPr>
        <w:rFonts w:ascii="Wingdings 3" w:hAnsi="Wingdings 3" w:hint="default"/>
      </w:rPr>
    </w:lvl>
    <w:lvl w:ilvl="6" w:tplc="783E831C" w:tentative="1">
      <w:start w:val="1"/>
      <w:numFmt w:val="bullet"/>
      <w:lvlText w:val=""/>
      <w:lvlJc w:val="left"/>
      <w:pPr>
        <w:tabs>
          <w:tab w:val="num" w:pos="5040"/>
        </w:tabs>
        <w:ind w:left="5040" w:hanging="360"/>
      </w:pPr>
      <w:rPr>
        <w:rFonts w:ascii="Wingdings 3" w:hAnsi="Wingdings 3" w:hint="default"/>
      </w:rPr>
    </w:lvl>
    <w:lvl w:ilvl="7" w:tplc="46EE6652" w:tentative="1">
      <w:start w:val="1"/>
      <w:numFmt w:val="bullet"/>
      <w:lvlText w:val=""/>
      <w:lvlJc w:val="left"/>
      <w:pPr>
        <w:tabs>
          <w:tab w:val="num" w:pos="5760"/>
        </w:tabs>
        <w:ind w:left="5760" w:hanging="360"/>
      </w:pPr>
      <w:rPr>
        <w:rFonts w:ascii="Wingdings 3" w:hAnsi="Wingdings 3" w:hint="default"/>
      </w:rPr>
    </w:lvl>
    <w:lvl w:ilvl="8" w:tplc="DA8CD6EC"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E3E"/>
    <w:rsid w:val="00130C43"/>
    <w:rsid w:val="0035288A"/>
    <w:rsid w:val="00441F58"/>
    <w:rsid w:val="00446E3E"/>
    <w:rsid w:val="00577D37"/>
    <w:rsid w:val="0096560B"/>
    <w:rsid w:val="00BE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10969-C9C2-4F55-9685-05C13B94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46E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6E3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46E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6E3E"/>
    <w:rPr>
      <w:b/>
      <w:bCs/>
    </w:rPr>
  </w:style>
  <w:style w:type="character" w:styleId="Hyperlink">
    <w:name w:val="Hyperlink"/>
    <w:basedOn w:val="DefaultParagraphFont"/>
    <w:uiPriority w:val="99"/>
    <w:unhideWhenUsed/>
    <w:rsid w:val="00446E3E"/>
    <w:rPr>
      <w:color w:val="0563C1" w:themeColor="hyperlink"/>
      <w:u w:val="single"/>
    </w:rPr>
  </w:style>
  <w:style w:type="paragraph" w:styleId="BalloonText">
    <w:name w:val="Balloon Text"/>
    <w:basedOn w:val="Normal"/>
    <w:link w:val="BalloonTextChar"/>
    <w:uiPriority w:val="99"/>
    <w:semiHidden/>
    <w:unhideWhenUsed/>
    <w:rsid w:val="00441F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660710">
      <w:bodyDiv w:val="1"/>
      <w:marLeft w:val="0"/>
      <w:marRight w:val="0"/>
      <w:marTop w:val="0"/>
      <w:marBottom w:val="0"/>
      <w:divBdr>
        <w:top w:val="none" w:sz="0" w:space="0" w:color="auto"/>
        <w:left w:val="none" w:sz="0" w:space="0" w:color="auto"/>
        <w:bottom w:val="none" w:sz="0" w:space="0" w:color="auto"/>
        <w:right w:val="none" w:sz="0" w:space="0" w:color="auto"/>
      </w:divBdr>
      <w:divsChild>
        <w:div w:id="921989380">
          <w:marLeft w:val="0"/>
          <w:marRight w:val="0"/>
          <w:marTop w:val="0"/>
          <w:marBottom w:val="360"/>
          <w:divBdr>
            <w:top w:val="none" w:sz="0" w:space="0" w:color="auto"/>
            <w:left w:val="none" w:sz="0" w:space="0" w:color="auto"/>
            <w:bottom w:val="none" w:sz="0" w:space="0" w:color="auto"/>
            <w:right w:val="none" w:sz="0" w:space="0" w:color="auto"/>
          </w:divBdr>
        </w:div>
        <w:div w:id="602342552">
          <w:marLeft w:val="0"/>
          <w:marRight w:val="0"/>
          <w:marTop w:val="0"/>
          <w:marBottom w:val="0"/>
          <w:divBdr>
            <w:top w:val="none" w:sz="0" w:space="0" w:color="auto"/>
            <w:left w:val="none" w:sz="0" w:space="0" w:color="auto"/>
            <w:bottom w:val="none" w:sz="0" w:space="0" w:color="auto"/>
            <w:right w:val="none" w:sz="0" w:space="0" w:color="auto"/>
          </w:divBdr>
        </w:div>
      </w:divsChild>
    </w:div>
    <w:div w:id="168775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dc:creator>
  <cp:keywords/>
  <dc:description/>
  <cp:lastModifiedBy>Marko Perić</cp:lastModifiedBy>
  <cp:revision>2</cp:revision>
  <dcterms:created xsi:type="dcterms:W3CDTF">2022-01-11T14:50:00Z</dcterms:created>
  <dcterms:modified xsi:type="dcterms:W3CDTF">2022-01-11T14:50:00Z</dcterms:modified>
</cp:coreProperties>
</file>