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0DD6F" w14:textId="77777777" w:rsidR="00631279" w:rsidRPr="00631279" w:rsidRDefault="00631279" w:rsidP="00C143ED">
      <w:pPr>
        <w:widowControl/>
        <w:autoSpaceDE/>
        <w:autoSpaceDN/>
        <w:outlineLvl w:val="2"/>
        <w:rPr>
          <w:rFonts w:asciiTheme="minorHAnsi" w:eastAsia="Times New Roman" w:hAnsiTheme="minorHAnsi" w:cstheme="minorHAnsi"/>
          <w:b/>
          <w:bCs/>
        </w:rPr>
      </w:pPr>
      <w:r w:rsidRPr="00631279">
        <w:rPr>
          <w:rFonts w:asciiTheme="minorHAnsi" w:eastAsia="Times New Roman" w:hAnsiTheme="minorHAnsi" w:cstheme="minorHAnsi"/>
          <w:b/>
          <w:bCs/>
        </w:rPr>
        <w:t>Reference Citations in Text</w:t>
      </w:r>
    </w:p>
    <w:p w14:paraId="284BB0C9" w14:textId="78CB7B29" w:rsidR="00631279" w:rsidRDefault="00631279" w:rsidP="009F56F3">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The American Psychological Association citation style (APA, 7th edition) should be followed for all in-</w:t>
      </w:r>
      <w:r w:rsidR="009F56F3">
        <w:rPr>
          <w:rFonts w:asciiTheme="minorHAnsi" w:eastAsia="Times New Roman" w:hAnsiTheme="minorHAnsi" w:cstheme="minorHAnsi"/>
        </w:rPr>
        <w:t>t</w:t>
      </w:r>
      <w:r w:rsidRPr="00631279">
        <w:rPr>
          <w:rFonts w:asciiTheme="minorHAnsi" w:eastAsia="Times New Roman" w:hAnsiTheme="minorHAnsi" w:cstheme="minorHAnsi"/>
        </w:rPr>
        <w:t>ext citations</w:t>
      </w:r>
      <w:r w:rsidR="009F56F3">
        <w:rPr>
          <w:rFonts w:asciiTheme="minorHAnsi" w:eastAsia="Times New Roman" w:hAnsiTheme="minorHAnsi" w:cstheme="minorHAnsi"/>
        </w:rPr>
        <w:t>.</w:t>
      </w:r>
    </w:p>
    <w:p w14:paraId="3140C93C" w14:textId="77777777" w:rsidR="009F56F3" w:rsidRPr="00631279" w:rsidRDefault="009F56F3" w:rsidP="009F56F3">
      <w:pPr>
        <w:widowControl/>
        <w:autoSpaceDE/>
        <w:autoSpaceDN/>
        <w:jc w:val="both"/>
        <w:rPr>
          <w:rFonts w:asciiTheme="minorHAnsi" w:eastAsia="Times New Roman" w:hAnsiTheme="minorHAnsi" w:cstheme="minorHAnsi"/>
        </w:rPr>
      </w:pPr>
    </w:p>
    <w:p w14:paraId="7AC9D11A" w14:textId="77777777" w:rsidR="00631279" w:rsidRPr="00631279" w:rsidRDefault="00631279" w:rsidP="00C143ED">
      <w:pPr>
        <w:widowControl/>
        <w:autoSpaceDE/>
        <w:autoSpaceDN/>
        <w:rPr>
          <w:rFonts w:asciiTheme="minorHAnsi" w:eastAsia="Times New Roman" w:hAnsiTheme="minorHAnsi" w:cstheme="minorHAnsi"/>
        </w:rPr>
      </w:pPr>
      <w:r w:rsidRPr="00631279">
        <w:rPr>
          <w:rFonts w:asciiTheme="minorHAnsi" w:eastAsia="Times New Roman" w:hAnsiTheme="minorHAnsi" w:cstheme="minorHAnsi"/>
          <w:b/>
          <w:bCs/>
        </w:rPr>
        <w:t>Works by a single author</w:t>
      </w:r>
    </w:p>
    <w:p w14:paraId="2B67DA97"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For a work by a single author, include the author’s surname and the year of publication.</w:t>
      </w:r>
    </w:p>
    <w:p w14:paraId="4A39AE58"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a) When the author’s name is not part of the narrative, include the surname and year in parentheses,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 individual and creative (</w:t>
      </w:r>
      <w:proofErr w:type="spellStart"/>
      <w:r w:rsidRPr="00631279">
        <w:rPr>
          <w:rFonts w:asciiTheme="minorHAnsi" w:eastAsia="Times New Roman" w:hAnsiTheme="minorHAnsi" w:cstheme="minorHAnsi"/>
        </w:rPr>
        <w:t>Boym</w:t>
      </w:r>
      <w:proofErr w:type="spellEnd"/>
      <w:r w:rsidRPr="00631279">
        <w:rPr>
          <w:rFonts w:asciiTheme="minorHAnsi" w:eastAsia="Times New Roman" w:hAnsiTheme="minorHAnsi" w:cstheme="minorHAnsi"/>
        </w:rPr>
        <w:t>, 2001).”</w:t>
      </w:r>
    </w:p>
    <w:p w14:paraId="21E2377E" w14:textId="6BDC06CD" w:rsid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b) When the author’s name is part of the narrative, include only the year in parentheses,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w:t>
      </w:r>
      <w:proofErr w:type="spellStart"/>
      <w:r w:rsidRPr="00631279">
        <w:rPr>
          <w:rFonts w:asciiTheme="minorHAnsi" w:eastAsia="Times New Roman" w:hAnsiTheme="minorHAnsi" w:cstheme="minorHAnsi"/>
        </w:rPr>
        <w:t>Kral</w:t>
      </w:r>
      <w:proofErr w:type="spellEnd"/>
      <w:r w:rsidRPr="00631279">
        <w:rPr>
          <w:rFonts w:asciiTheme="minorHAnsi" w:eastAsia="Times New Roman" w:hAnsiTheme="minorHAnsi" w:cstheme="minorHAnsi"/>
        </w:rPr>
        <w:t xml:space="preserve"> (2012) suggests…”.</w:t>
      </w:r>
    </w:p>
    <w:p w14:paraId="72FDE998" w14:textId="77777777" w:rsidR="00C143ED" w:rsidRPr="00631279" w:rsidRDefault="00C143ED" w:rsidP="00C143ED">
      <w:pPr>
        <w:widowControl/>
        <w:autoSpaceDE/>
        <w:autoSpaceDN/>
        <w:jc w:val="both"/>
        <w:rPr>
          <w:rFonts w:asciiTheme="minorHAnsi" w:eastAsia="Times New Roman" w:hAnsiTheme="minorHAnsi" w:cstheme="minorHAnsi"/>
        </w:rPr>
      </w:pPr>
    </w:p>
    <w:p w14:paraId="7E77A839"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b/>
          <w:bCs/>
        </w:rPr>
        <w:t>Works by two authors</w:t>
      </w:r>
    </w:p>
    <w:p w14:paraId="4F7D8F89"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For a work by two authors, cite both authors’ surnames every time the reference occurs in the text.</w:t>
      </w:r>
    </w:p>
    <w:p w14:paraId="1EF86C4A"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a) In parenthetical citations, join the authors’ names with an ampersand (&amp;),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 it is confirmed (Elliott &amp; Percy, 2007).”</w:t>
      </w:r>
    </w:p>
    <w:p w14:paraId="3B5F0D7A" w14:textId="2CF1649C" w:rsid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b) In narrative citations, join the authors’ names with the word “and”,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“Hamilton and Wagner (2014) confirmed…”.</w:t>
      </w:r>
    </w:p>
    <w:p w14:paraId="43AD7C87" w14:textId="77777777" w:rsidR="00C143ED" w:rsidRPr="00631279" w:rsidRDefault="00C143ED" w:rsidP="00C143ED">
      <w:pPr>
        <w:widowControl/>
        <w:autoSpaceDE/>
        <w:autoSpaceDN/>
        <w:jc w:val="both"/>
        <w:rPr>
          <w:rFonts w:asciiTheme="minorHAnsi" w:eastAsia="Times New Roman" w:hAnsiTheme="minorHAnsi" w:cstheme="minorHAnsi"/>
        </w:rPr>
      </w:pPr>
    </w:p>
    <w:p w14:paraId="4894DCCF"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b/>
          <w:bCs/>
        </w:rPr>
        <w:t>Works by three or more authors</w:t>
      </w:r>
    </w:p>
    <w:p w14:paraId="11E7C2B9"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For a work by three or more authors, include only the surname of the first author followed by “et al.” and the year of publication from the first citation onwards.</w:t>
      </w:r>
    </w:p>
    <w:p w14:paraId="0325FEAA"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a) In parenthetical citations,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 consumers’ memories (</w:t>
      </w:r>
      <w:proofErr w:type="spellStart"/>
      <w:r w:rsidRPr="00631279">
        <w:rPr>
          <w:rFonts w:asciiTheme="minorHAnsi" w:eastAsia="Times New Roman" w:hAnsiTheme="minorHAnsi" w:cstheme="minorHAnsi"/>
        </w:rPr>
        <w:t>Kardes</w:t>
      </w:r>
      <w:proofErr w:type="spellEnd"/>
      <w:r w:rsidRPr="00631279">
        <w:rPr>
          <w:rFonts w:asciiTheme="minorHAnsi" w:eastAsia="Times New Roman" w:hAnsiTheme="minorHAnsi" w:cstheme="minorHAnsi"/>
        </w:rPr>
        <w:t xml:space="preserve"> et al., 2011).”</w:t>
      </w:r>
    </w:p>
    <w:p w14:paraId="63A76FDC" w14:textId="1947FCE5" w:rsid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b) In narrative citations, </w:t>
      </w:r>
      <w:proofErr w:type="gramStart"/>
      <w:r w:rsidRPr="00631279">
        <w:rPr>
          <w:rFonts w:asciiTheme="minorHAnsi" w:eastAsia="Times New Roman" w:hAnsiTheme="minorHAnsi" w:cstheme="minorHAnsi"/>
        </w:rPr>
        <w:t>e.g.</w:t>
      </w:r>
      <w:proofErr w:type="gramEnd"/>
      <w:r w:rsidRPr="00631279">
        <w:rPr>
          <w:rFonts w:asciiTheme="minorHAnsi" w:eastAsia="Times New Roman" w:hAnsiTheme="minorHAnsi" w:cstheme="minorHAnsi"/>
        </w:rPr>
        <w:t xml:space="preserve"> “</w:t>
      </w:r>
      <w:proofErr w:type="spellStart"/>
      <w:r w:rsidRPr="00631279">
        <w:rPr>
          <w:rFonts w:asciiTheme="minorHAnsi" w:eastAsia="Times New Roman" w:hAnsiTheme="minorHAnsi" w:cstheme="minorHAnsi"/>
        </w:rPr>
        <w:t>Kardes</w:t>
      </w:r>
      <w:proofErr w:type="spellEnd"/>
      <w:r w:rsidRPr="00631279">
        <w:rPr>
          <w:rFonts w:asciiTheme="minorHAnsi" w:eastAsia="Times New Roman" w:hAnsiTheme="minorHAnsi" w:cstheme="minorHAnsi"/>
        </w:rPr>
        <w:t xml:space="preserve"> et al. (2011) argued…”.</w:t>
      </w:r>
    </w:p>
    <w:p w14:paraId="79BDA32C" w14:textId="77777777" w:rsidR="00C143ED" w:rsidRPr="00631279" w:rsidRDefault="00C143ED" w:rsidP="00C143ED">
      <w:pPr>
        <w:widowControl/>
        <w:autoSpaceDE/>
        <w:autoSpaceDN/>
        <w:jc w:val="both"/>
        <w:rPr>
          <w:rFonts w:asciiTheme="minorHAnsi" w:eastAsia="Times New Roman" w:hAnsiTheme="minorHAnsi" w:cstheme="minorHAnsi"/>
        </w:rPr>
      </w:pPr>
    </w:p>
    <w:p w14:paraId="297B3C4B"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b/>
          <w:bCs/>
        </w:rPr>
        <w:t xml:space="preserve">Works by associations, corporations, government agencies, and other </w:t>
      </w:r>
      <w:proofErr w:type="spellStart"/>
      <w:r w:rsidRPr="00631279">
        <w:rPr>
          <w:rFonts w:asciiTheme="minorHAnsi" w:eastAsia="Times New Roman" w:hAnsiTheme="minorHAnsi" w:cstheme="minorHAnsi"/>
          <w:b/>
          <w:bCs/>
        </w:rPr>
        <w:t>organisations</w:t>
      </w:r>
      <w:proofErr w:type="spellEnd"/>
    </w:p>
    <w:p w14:paraId="77C4CCE7" w14:textId="5B8F870B" w:rsid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For works authored by associations, corporations, government agencies, or other </w:t>
      </w:r>
      <w:proofErr w:type="spellStart"/>
      <w:r w:rsidRPr="00631279">
        <w:rPr>
          <w:rFonts w:asciiTheme="minorHAnsi" w:eastAsia="Times New Roman" w:hAnsiTheme="minorHAnsi" w:cstheme="minorHAnsi"/>
        </w:rPr>
        <w:t>organisations</w:t>
      </w:r>
      <w:proofErr w:type="spellEnd"/>
      <w:r w:rsidRPr="00631279">
        <w:rPr>
          <w:rFonts w:asciiTheme="minorHAnsi" w:eastAsia="Times New Roman" w:hAnsiTheme="minorHAnsi" w:cstheme="minorHAnsi"/>
        </w:rPr>
        <w:t xml:space="preserve">, the full name of the </w:t>
      </w:r>
      <w:proofErr w:type="spellStart"/>
      <w:r w:rsidRPr="00631279">
        <w:rPr>
          <w:rFonts w:asciiTheme="minorHAnsi" w:eastAsia="Times New Roman" w:hAnsiTheme="minorHAnsi" w:cstheme="minorHAnsi"/>
        </w:rPr>
        <w:t>organisation</w:t>
      </w:r>
      <w:proofErr w:type="spellEnd"/>
      <w:r w:rsidRPr="00631279">
        <w:rPr>
          <w:rFonts w:asciiTheme="minorHAnsi" w:eastAsia="Times New Roman" w:hAnsiTheme="minorHAnsi" w:cstheme="minorHAnsi"/>
        </w:rPr>
        <w:t xml:space="preserve"> should generally be used. If the </w:t>
      </w:r>
      <w:proofErr w:type="spellStart"/>
      <w:r w:rsidRPr="00631279">
        <w:rPr>
          <w:rFonts w:asciiTheme="minorHAnsi" w:eastAsia="Times New Roman" w:hAnsiTheme="minorHAnsi" w:cstheme="minorHAnsi"/>
        </w:rPr>
        <w:t>organisation</w:t>
      </w:r>
      <w:proofErr w:type="spellEnd"/>
      <w:r w:rsidRPr="00631279">
        <w:rPr>
          <w:rFonts w:asciiTheme="minorHAnsi" w:eastAsia="Times New Roman" w:hAnsiTheme="minorHAnsi" w:cstheme="minorHAnsi"/>
        </w:rPr>
        <w:t xml:space="preserve"> has a well-known abbreviation, the abbreviation may be introduced in the first citation and used in subsequent citations.</w:t>
      </w:r>
    </w:p>
    <w:p w14:paraId="53F5BAF2"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First citation: (World Health Organization [WHO], 2015)</w:t>
      </w:r>
    </w:p>
    <w:p w14:paraId="1511A7AA" w14:textId="6DE1A630" w:rsid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Subsequent citations: (WHO, 2015)</w:t>
      </w:r>
    </w:p>
    <w:p w14:paraId="04B16F76" w14:textId="77777777" w:rsidR="00C143ED" w:rsidRPr="00631279" w:rsidRDefault="00C143ED" w:rsidP="00C143ED">
      <w:pPr>
        <w:widowControl/>
        <w:autoSpaceDE/>
        <w:autoSpaceDN/>
        <w:jc w:val="both"/>
        <w:rPr>
          <w:rFonts w:asciiTheme="minorHAnsi" w:eastAsia="Times New Roman" w:hAnsiTheme="minorHAnsi" w:cstheme="minorHAnsi"/>
        </w:rPr>
      </w:pPr>
    </w:p>
    <w:p w14:paraId="6159DEC0" w14:textId="1BF35CBC" w:rsidR="00631279" w:rsidRDefault="00631279" w:rsidP="00C143ED">
      <w:pPr>
        <w:widowControl/>
        <w:autoSpaceDE/>
        <w:autoSpaceDN/>
        <w:jc w:val="both"/>
        <w:rPr>
          <w:rFonts w:asciiTheme="minorHAnsi" w:eastAsia="Times New Roman" w:hAnsiTheme="minorHAnsi" w:cstheme="minorHAnsi"/>
          <w:b/>
          <w:bCs/>
        </w:rPr>
      </w:pPr>
      <w:r w:rsidRPr="00631279">
        <w:rPr>
          <w:rFonts w:asciiTheme="minorHAnsi" w:eastAsia="Times New Roman" w:hAnsiTheme="minorHAnsi" w:cstheme="minorHAnsi"/>
          <w:b/>
          <w:bCs/>
        </w:rPr>
        <w:t>Citing specific pages</w:t>
      </w:r>
    </w:p>
    <w:p w14:paraId="4FC35C37"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When directly quoting or referring to a specific part of a source, include the page number.</w:t>
      </w:r>
    </w:p>
    <w:p w14:paraId="14B59C79"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a) (</w:t>
      </w:r>
      <w:proofErr w:type="spellStart"/>
      <w:r w:rsidRPr="00631279">
        <w:rPr>
          <w:rFonts w:asciiTheme="minorHAnsi" w:eastAsia="Times New Roman" w:hAnsiTheme="minorHAnsi" w:cstheme="minorHAnsi"/>
        </w:rPr>
        <w:t>Kral</w:t>
      </w:r>
      <w:proofErr w:type="spellEnd"/>
      <w:r w:rsidRPr="00631279">
        <w:rPr>
          <w:rFonts w:asciiTheme="minorHAnsi" w:eastAsia="Times New Roman" w:hAnsiTheme="minorHAnsi" w:cstheme="minorHAnsi"/>
        </w:rPr>
        <w:t>, 2012, p. 115)</w:t>
      </w:r>
    </w:p>
    <w:p w14:paraId="1640966A"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 xml:space="preserve">b) </w:t>
      </w:r>
      <w:proofErr w:type="spellStart"/>
      <w:r w:rsidRPr="00631279">
        <w:rPr>
          <w:rFonts w:asciiTheme="minorHAnsi" w:eastAsia="Times New Roman" w:hAnsiTheme="minorHAnsi" w:cstheme="minorHAnsi"/>
        </w:rPr>
        <w:t>Kral</w:t>
      </w:r>
      <w:proofErr w:type="spellEnd"/>
      <w:r w:rsidRPr="00631279">
        <w:rPr>
          <w:rFonts w:asciiTheme="minorHAnsi" w:eastAsia="Times New Roman" w:hAnsiTheme="minorHAnsi" w:cstheme="minorHAnsi"/>
        </w:rPr>
        <w:t xml:space="preserve"> (2012, p. 115) suggests…</w:t>
      </w:r>
    </w:p>
    <w:p w14:paraId="46D72CC9" w14:textId="77777777" w:rsidR="00631279" w:rsidRPr="00631279" w:rsidRDefault="00631279" w:rsidP="00C143ED">
      <w:pPr>
        <w:widowControl/>
        <w:autoSpaceDE/>
        <w:autoSpaceDN/>
        <w:jc w:val="both"/>
        <w:rPr>
          <w:rFonts w:asciiTheme="minorHAnsi" w:eastAsia="Times New Roman" w:hAnsiTheme="minorHAnsi" w:cstheme="minorHAnsi"/>
        </w:rPr>
      </w:pPr>
      <w:r w:rsidRPr="00631279">
        <w:rPr>
          <w:rFonts w:asciiTheme="minorHAnsi" w:eastAsia="Times New Roman" w:hAnsiTheme="minorHAnsi" w:cstheme="minorHAnsi"/>
        </w:rPr>
        <w:t>For a range of pages, use “pp.”, e.g. (</w:t>
      </w:r>
      <w:proofErr w:type="spellStart"/>
      <w:r w:rsidRPr="00631279">
        <w:rPr>
          <w:rFonts w:asciiTheme="minorHAnsi" w:eastAsia="Times New Roman" w:hAnsiTheme="minorHAnsi" w:cstheme="minorHAnsi"/>
        </w:rPr>
        <w:t>Kral</w:t>
      </w:r>
      <w:proofErr w:type="spellEnd"/>
      <w:r w:rsidRPr="00631279">
        <w:rPr>
          <w:rFonts w:asciiTheme="minorHAnsi" w:eastAsia="Times New Roman" w:hAnsiTheme="minorHAnsi" w:cstheme="minorHAnsi"/>
        </w:rPr>
        <w:t>, 2012, pp. 115–117).</w:t>
      </w:r>
    </w:p>
    <w:p w14:paraId="372D8F51" w14:textId="77777777" w:rsidR="00DC4692" w:rsidRDefault="00DC4692" w:rsidP="00300E35">
      <w:pPr>
        <w:jc w:val="both"/>
        <w:rPr>
          <w:lang w:val="en-GB"/>
        </w:rPr>
      </w:pPr>
    </w:p>
    <w:p w14:paraId="73B2EBCF" w14:textId="77777777" w:rsidR="00300E35" w:rsidRPr="00DC4692" w:rsidRDefault="00300E35" w:rsidP="00300E35">
      <w:pPr>
        <w:jc w:val="both"/>
        <w:rPr>
          <w:b/>
          <w:bCs/>
          <w:lang w:val="en-GB"/>
        </w:rPr>
      </w:pPr>
      <w:r w:rsidRPr="00DC4692">
        <w:rPr>
          <w:b/>
          <w:bCs/>
          <w:lang w:val="en-GB"/>
        </w:rPr>
        <w:t>References</w:t>
      </w:r>
    </w:p>
    <w:p w14:paraId="7EE9F7D2" w14:textId="1BE73496" w:rsidR="000D0622" w:rsidRDefault="00DC026A" w:rsidP="00DC026A">
      <w:pPr>
        <w:jc w:val="both"/>
        <w:rPr>
          <w:lang w:val="en-GB"/>
        </w:rPr>
      </w:pPr>
      <w:r w:rsidRPr="00DC026A">
        <w:rPr>
          <w:lang w:val="en-GB"/>
        </w:rPr>
        <w:t>The reference list should follow APA 7th edition style. Only sources cited in the text should be included in the reference list. All sources cited in the text must appear in the reference list.</w:t>
      </w:r>
      <w:r w:rsidR="008A359E">
        <w:rPr>
          <w:lang w:val="en-GB"/>
        </w:rPr>
        <w:t xml:space="preserve"> </w:t>
      </w:r>
      <w:r w:rsidRPr="00DC026A">
        <w:rPr>
          <w:lang w:val="en-GB"/>
        </w:rPr>
        <w:t>References should be arranged alphabetically by the surname of the first author and should not be numbered.</w:t>
      </w:r>
      <w:r w:rsidR="008A359E">
        <w:rPr>
          <w:lang w:val="en-GB"/>
        </w:rPr>
        <w:t xml:space="preserve"> </w:t>
      </w:r>
      <w:r w:rsidRPr="00DC026A">
        <w:rPr>
          <w:lang w:val="en-GB"/>
        </w:rPr>
        <w:t>Sources of figures, photographs, illustrations, tables, and other graphical materials that are not the authors’ original work must also be appropriately acknowledged and referenced. Authors are responsible for ensuring that all references are complete and accurate.</w:t>
      </w:r>
    </w:p>
    <w:p w14:paraId="0FD918CA" w14:textId="77777777" w:rsidR="00C143ED" w:rsidRDefault="00C143ED" w:rsidP="00DC026A">
      <w:pPr>
        <w:jc w:val="both"/>
        <w:rPr>
          <w:lang w:val="en-GB"/>
        </w:rPr>
      </w:pPr>
    </w:p>
    <w:p w14:paraId="6AE09F1A" w14:textId="77777777" w:rsidR="008A359E" w:rsidRDefault="008A359E" w:rsidP="00DC026A">
      <w:pPr>
        <w:jc w:val="both"/>
        <w:rPr>
          <w:lang w:val="en-GB"/>
        </w:rPr>
      </w:pPr>
    </w:p>
    <w:p w14:paraId="758C5E0B" w14:textId="4953F80F" w:rsidR="00300E35" w:rsidRPr="000D0622" w:rsidRDefault="008E4210" w:rsidP="00300E35">
      <w:pPr>
        <w:jc w:val="both"/>
        <w:rPr>
          <w:b/>
          <w:bCs/>
          <w:lang w:val="en-GB"/>
        </w:rPr>
      </w:pPr>
      <w:r w:rsidRPr="000D0622">
        <w:rPr>
          <w:b/>
          <w:bCs/>
          <w:lang w:val="en-GB"/>
        </w:rPr>
        <w:t>ARTICLES IN JOURNALS</w:t>
      </w:r>
    </w:p>
    <w:p w14:paraId="0BBE6886" w14:textId="77777777" w:rsidR="002638C3" w:rsidRPr="002638C3" w:rsidRDefault="002638C3" w:rsidP="00300E35">
      <w:pPr>
        <w:jc w:val="both"/>
        <w:rPr>
          <w:b/>
          <w:bCs/>
        </w:rPr>
      </w:pPr>
      <w:r w:rsidRPr="002638C3">
        <w:rPr>
          <w:b/>
          <w:bCs/>
        </w:rPr>
        <w:t>Article with one author</w:t>
      </w:r>
    </w:p>
    <w:p w14:paraId="39DC88D5" w14:textId="7873C0F5" w:rsidR="00DC026A" w:rsidRDefault="002638C3" w:rsidP="00300E35">
      <w:pPr>
        <w:jc w:val="both"/>
      </w:pPr>
      <w:proofErr w:type="spellStart"/>
      <w:r>
        <w:t>Muehling</w:t>
      </w:r>
      <w:proofErr w:type="spellEnd"/>
      <w:r>
        <w:t xml:space="preserve">, D. D. (2013). The relative influence of advertising-evoked personal and historical nostalgic thoughts on consumers’ brand attitudes. </w:t>
      </w:r>
      <w:r>
        <w:rPr>
          <w:rStyle w:val="Emphasis"/>
        </w:rPr>
        <w:t>Journal of Marketing Communications, 19</w:t>
      </w:r>
      <w:r>
        <w:t xml:space="preserve">(2), 98–113. </w:t>
      </w:r>
      <w:r w:rsidRPr="002638C3">
        <w:t>https://doi.org/10.1080/13527266.2011.560613</w:t>
      </w:r>
    </w:p>
    <w:p w14:paraId="4F8EAB13" w14:textId="77777777" w:rsidR="002638C3" w:rsidRPr="00300E35" w:rsidRDefault="002638C3" w:rsidP="00300E35">
      <w:pPr>
        <w:jc w:val="both"/>
        <w:rPr>
          <w:lang w:val="en-GB"/>
        </w:rPr>
      </w:pPr>
    </w:p>
    <w:p w14:paraId="4ED55D17" w14:textId="77777777" w:rsidR="008E4210" w:rsidRPr="008E4210" w:rsidRDefault="008E4210" w:rsidP="00300E35">
      <w:pPr>
        <w:jc w:val="both"/>
        <w:rPr>
          <w:b/>
          <w:bCs/>
        </w:rPr>
      </w:pPr>
      <w:r w:rsidRPr="008E4210">
        <w:rPr>
          <w:b/>
          <w:bCs/>
        </w:rPr>
        <w:lastRenderedPageBreak/>
        <w:t>Article with two authors</w:t>
      </w:r>
    </w:p>
    <w:p w14:paraId="75634601" w14:textId="3CA76194" w:rsidR="008E4210" w:rsidRDefault="002F799D" w:rsidP="00300E35">
      <w:pPr>
        <w:jc w:val="both"/>
      </w:pPr>
      <w:proofErr w:type="spellStart"/>
      <w:r>
        <w:t>Bierey</w:t>
      </w:r>
      <w:proofErr w:type="spellEnd"/>
      <w:r>
        <w:t xml:space="preserve">, M., &amp; Schmidt, M. (2017). Banks’ use of accounting discretion and regulatory intervention: The case of European banks’ impairments on Greek government bonds. </w:t>
      </w:r>
      <w:r>
        <w:rPr>
          <w:rStyle w:val="Emphasis"/>
        </w:rPr>
        <w:t>The International Journal of Accounting, 52</w:t>
      </w:r>
      <w:r>
        <w:t xml:space="preserve">(2), 122–141. </w:t>
      </w:r>
      <w:r w:rsidRPr="002F799D">
        <w:t>https://doi.org/10.1016/j.intacc.2017.01.002</w:t>
      </w:r>
    </w:p>
    <w:p w14:paraId="2159856B" w14:textId="77777777" w:rsidR="002F799D" w:rsidRPr="00300E35" w:rsidRDefault="002F799D" w:rsidP="00300E35">
      <w:pPr>
        <w:jc w:val="both"/>
        <w:rPr>
          <w:lang w:val="en-GB"/>
        </w:rPr>
      </w:pPr>
    </w:p>
    <w:p w14:paraId="293EAA2B" w14:textId="77777777" w:rsidR="002F799D" w:rsidRPr="002F799D" w:rsidRDefault="002F799D" w:rsidP="00E91493">
      <w:pPr>
        <w:jc w:val="both"/>
        <w:rPr>
          <w:b/>
          <w:bCs/>
          <w:lang w:val="en-GB"/>
        </w:rPr>
      </w:pPr>
      <w:r w:rsidRPr="002F799D">
        <w:rPr>
          <w:b/>
          <w:bCs/>
          <w:lang w:val="en-GB"/>
        </w:rPr>
        <w:t>Article with three or more authors</w:t>
      </w:r>
    </w:p>
    <w:p w14:paraId="22CC11A7" w14:textId="7D126327" w:rsidR="002F799D" w:rsidRPr="002F799D" w:rsidRDefault="002F799D" w:rsidP="00E91493">
      <w:pPr>
        <w:pStyle w:val="NormalWeb"/>
        <w:spacing w:before="0" w:beforeAutospacing="0" w:after="0" w:afterAutospacing="0"/>
        <w:jc w:val="both"/>
        <w:rPr>
          <w:rFonts w:asciiTheme="minorHAnsi" w:hAnsiTheme="minorHAnsi" w:cstheme="minorHAnsi"/>
          <w:sz w:val="22"/>
          <w:szCs w:val="22"/>
        </w:rPr>
      </w:pPr>
      <w:r w:rsidRPr="002F799D">
        <w:rPr>
          <w:rFonts w:asciiTheme="minorHAnsi" w:hAnsiTheme="minorHAnsi" w:cstheme="minorHAnsi"/>
          <w:sz w:val="22"/>
          <w:szCs w:val="22"/>
        </w:rPr>
        <w:t xml:space="preserve">Felix, R., </w:t>
      </w:r>
      <w:proofErr w:type="spellStart"/>
      <w:r w:rsidRPr="002F799D">
        <w:rPr>
          <w:rFonts w:asciiTheme="minorHAnsi" w:hAnsiTheme="minorHAnsi" w:cstheme="minorHAnsi"/>
          <w:sz w:val="22"/>
          <w:szCs w:val="22"/>
        </w:rPr>
        <w:t>Rauschnabel</w:t>
      </w:r>
      <w:proofErr w:type="spellEnd"/>
      <w:r w:rsidRPr="002F799D">
        <w:rPr>
          <w:rFonts w:asciiTheme="minorHAnsi" w:hAnsiTheme="minorHAnsi" w:cstheme="minorHAnsi"/>
          <w:sz w:val="22"/>
          <w:szCs w:val="22"/>
        </w:rPr>
        <w:t xml:space="preserve">, P. A., &amp; </w:t>
      </w:r>
      <w:proofErr w:type="spellStart"/>
      <w:r w:rsidRPr="002F799D">
        <w:rPr>
          <w:rFonts w:asciiTheme="minorHAnsi" w:hAnsiTheme="minorHAnsi" w:cstheme="minorHAnsi"/>
          <w:sz w:val="22"/>
          <w:szCs w:val="22"/>
        </w:rPr>
        <w:t>Hinsch</w:t>
      </w:r>
      <w:proofErr w:type="spellEnd"/>
      <w:r w:rsidRPr="002F799D">
        <w:rPr>
          <w:rFonts w:asciiTheme="minorHAnsi" w:hAnsiTheme="minorHAnsi" w:cstheme="minorHAnsi"/>
          <w:sz w:val="22"/>
          <w:szCs w:val="22"/>
        </w:rPr>
        <w:t xml:space="preserve">, C. (2017). Elements of strategic social media marketing: A holistic framework. </w:t>
      </w:r>
      <w:r w:rsidRPr="002F799D">
        <w:rPr>
          <w:rStyle w:val="Emphasis"/>
          <w:rFonts w:asciiTheme="minorHAnsi" w:hAnsiTheme="minorHAnsi" w:cstheme="minorHAnsi"/>
          <w:sz w:val="22"/>
          <w:szCs w:val="22"/>
        </w:rPr>
        <w:t>Journal of Business Research, 70</w:t>
      </w:r>
      <w:r w:rsidRPr="002F799D">
        <w:rPr>
          <w:rFonts w:asciiTheme="minorHAnsi" w:hAnsiTheme="minorHAnsi" w:cstheme="minorHAnsi"/>
          <w:sz w:val="22"/>
          <w:szCs w:val="22"/>
        </w:rPr>
        <w:t>, 118–126. https://doi.org/10.1016/j.jbusres.2016.05.001</w:t>
      </w:r>
    </w:p>
    <w:p w14:paraId="602B7382" w14:textId="77777777" w:rsidR="00E91493" w:rsidRDefault="00E91493" w:rsidP="00300E35">
      <w:pPr>
        <w:jc w:val="both"/>
        <w:rPr>
          <w:b/>
          <w:bCs/>
          <w:lang w:val="en-GB"/>
        </w:rPr>
      </w:pPr>
    </w:p>
    <w:p w14:paraId="74B5EFB3" w14:textId="40999D11" w:rsidR="00300E35" w:rsidRPr="005254CA" w:rsidRDefault="00304E3E" w:rsidP="00300E35">
      <w:pPr>
        <w:jc w:val="both"/>
        <w:rPr>
          <w:b/>
          <w:bCs/>
          <w:lang w:val="en-GB"/>
        </w:rPr>
      </w:pPr>
      <w:r w:rsidRPr="005254CA">
        <w:rPr>
          <w:b/>
          <w:bCs/>
          <w:lang w:val="en-GB"/>
        </w:rPr>
        <w:t>BOOKS</w:t>
      </w:r>
    </w:p>
    <w:p w14:paraId="4FBCADC5" w14:textId="77777777" w:rsidR="00304E3E" w:rsidRPr="00304E3E" w:rsidRDefault="00304E3E" w:rsidP="00300E35">
      <w:pPr>
        <w:jc w:val="both"/>
        <w:rPr>
          <w:b/>
          <w:bCs/>
          <w:lang w:val="en-GB"/>
        </w:rPr>
      </w:pPr>
      <w:r w:rsidRPr="00304E3E">
        <w:rPr>
          <w:b/>
          <w:bCs/>
          <w:lang w:val="en-GB"/>
        </w:rPr>
        <w:t>Book with one author</w:t>
      </w:r>
    </w:p>
    <w:p w14:paraId="7BED2C43" w14:textId="59EC0D07" w:rsidR="000D0622" w:rsidRDefault="008A359E" w:rsidP="00300E35">
      <w:pPr>
        <w:jc w:val="both"/>
      </w:pPr>
      <w:r>
        <w:t xml:space="preserve">O’Shaughnessy, J. (2015). </w:t>
      </w:r>
      <w:r>
        <w:rPr>
          <w:rStyle w:val="Emphasis"/>
        </w:rPr>
        <w:t>Competitive marketing: A strategic approach</w:t>
      </w:r>
      <w:r>
        <w:t>. Routledge.</w:t>
      </w:r>
    </w:p>
    <w:p w14:paraId="14CB4A94" w14:textId="77777777" w:rsidR="008A359E" w:rsidRPr="00300E35" w:rsidRDefault="008A359E" w:rsidP="00300E35">
      <w:pPr>
        <w:jc w:val="both"/>
        <w:rPr>
          <w:lang w:val="en-GB"/>
        </w:rPr>
      </w:pPr>
    </w:p>
    <w:p w14:paraId="32FD7136" w14:textId="77777777" w:rsidR="00304E3E" w:rsidRPr="00304E3E" w:rsidRDefault="00304E3E" w:rsidP="00300E35">
      <w:pPr>
        <w:jc w:val="both"/>
        <w:rPr>
          <w:b/>
          <w:bCs/>
          <w:lang w:val="en-GB"/>
        </w:rPr>
      </w:pPr>
      <w:r w:rsidRPr="00304E3E">
        <w:rPr>
          <w:b/>
          <w:bCs/>
          <w:lang w:val="en-GB"/>
        </w:rPr>
        <w:t>Book with two or more authors</w:t>
      </w:r>
    </w:p>
    <w:p w14:paraId="183CD96B" w14:textId="3569B2CF" w:rsidR="000D0622" w:rsidRDefault="008A359E" w:rsidP="00300E35">
      <w:pPr>
        <w:jc w:val="both"/>
      </w:pPr>
      <w:r>
        <w:t xml:space="preserve">Levy, M., Weitz, B. A., &amp; Grewal, D. (2014). </w:t>
      </w:r>
      <w:r>
        <w:rPr>
          <w:rStyle w:val="Emphasis"/>
        </w:rPr>
        <w:t>Retailing management</w:t>
      </w:r>
      <w:r>
        <w:t xml:space="preserve"> (9th ed.). McGraw-Hill Education.</w:t>
      </w:r>
    </w:p>
    <w:p w14:paraId="31D815FB" w14:textId="77777777" w:rsidR="008A359E" w:rsidRPr="00300E35" w:rsidRDefault="008A359E" w:rsidP="00300E35">
      <w:pPr>
        <w:jc w:val="both"/>
        <w:rPr>
          <w:lang w:val="en-GB"/>
        </w:rPr>
      </w:pPr>
    </w:p>
    <w:p w14:paraId="526930B5" w14:textId="65FEB01D" w:rsidR="00300E35" w:rsidRPr="00A21DE8" w:rsidRDefault="00300E35" w:rsidP="00300E35">
      <w:pPr>
        <w:jc w:val="both"/>
        <w:rPr>
          <w:b/>
          <w:bCs/>
          <w:lang w:val="en-GB"/>
        </w:rPr>
      </w:pPr>
      <w:r w:rsidRPr="00A21DE8">
        <w:rPr>
          <w:b/>
          <w:bCs/>
          <w:lang w:val="en-GB"/>
        </w:rPr>
        <w:t>Edited book</w:t>
      </w:r>
    </w:p>
    <w:p w14:paraId="7F9B14B2" w14:textId="77777777" w:rsidR="008A359E" w:rsidRDefault="008A359E" w:rsidP="00300E35">
      <w:pPr>
        <w:jc w:val="both"/>
      </w:pPr>
      <w:r>
        <w:t xml:space="preserve">Solomon, M. R., </w:t>
      </w:r>
      <w:proofErr w:type="spellStart"/>
      <w:r>
        <w:t>Bamossy</w:t>
      </w:r>
      <w:proofErr w:type="spellEnd"/>
      <w:r>
        <w:t xml:space="preserve">, G., </w:t>
      </w:r>
      <w:proofErr w:type="spellStart"/>
      <w:r>
        <w:t>Askegaard</w:t>
      </w:r>
      <w:proofErr w:type="spellEnd"/>
      <w:r>
        <w:t xml:space="preserve">, S., &amp; Hogg, M. K. (Eds.). (2006). </w:t>
      </w:r>
      <w:r>
        <w:rPr>
          <w:rStyle w:val="Emphasis"/>
        </w:rPr>
        <w:t xml:space="preserve">Consumer </w:t>
      </w:r>
      <w:proofErr w:type="spellStart"/>
      <w:r>
        <w:rPr>
          <w:rStyle w:val="Emphasis"/>
        </w:rPr>
        <w:t>behaviour</w:t>
      </w:r>
      <w:proofErr w:type="spellEnd"/>
      <w:r>
        <w:rPr>
          <w:rStyle w:val="Emphasis"/>
        </w:rPr>
        <w:t>: A European perspective</w:t>
      </w:r>
      <w:r>
        <w:t xml:space="preserve"> (6th ed.). Prentice Hall.</w:t>
      </w:r>
    </w:p>
    <w:p w14:paraId="7361CBF4" w14:textId="77777777" w:rsidR="008A359E" w:rsidRDefault="008A359E" w:rsidP="00300E35">
      <w:pPr>
        <w:jc w:val="both"/>
      </w:pPr>
    </w:p>
    <w:p w14:paraId="3F90B312" w14:textId="52EFA6D8" w:rsidR="00300E35" w:rsidRPr="00A21DE8" w:rsidRDefault="00300E35" w:rsidP="00300E35">
      <w:pPr>
        <w:jc w:val="both"/>
        <w:rPr>
          <w:b/>
          <w:bCs/>
          <w:lang w:val="en-GB"/>
        </w:rPr>
      </w:pPr>
      <w:r w:rsidRPr="00A21DE8">
        <w:rPr>
          <w:b/>
          <w:bCs/>
          <w:lang w:val="en-GB"/>
        </w:rPr>
        <w:t>Chapter in edited book</w:t>
      </w:r>
    </w:p>
    <w:p w14:paraId="29C27AD9" w14:textId="47826766" w:rsidR="00247DFF" w:rsidRPr="00247DFF" w:rsidRDefault="008A359E" w:rsidP="00247DFF">
      <w:pPr>
        <w:rPr>
          <w:lang w:val="en-GB"/>
        </w:rPr>
      </w:pPr>
      <w:proofErr w:type="spellStart"/>
      <w:r>
        <w:t>Babin</w:t>
      </w:r>
      <w:proofErr w:type="spellEnd"/>
      <w:r>
        <w:t xml:space="preserve">, B. J., &amp; Borges, A. (2009). Oh yeah, I remember that store! Memory, experience, and value. In A. </w:t>
      </w:r>
      <w:proofErr w:type="spellStart"/>
      <w:r>
        <w:t>Lindgreen</w:t>
      </w:r>
      <w:proofErr w:type="spellEnd"/>
      <w:r>
        <w:t xml:space="preserve">, J. </w:t>
      </w:r>
      <w:proofErr w:type="spellStart"/>
      <w:r>
        <w:t>Vanhamme</w:t>
      </w:r>
      <w:proofErr w:type="spellEnd"/>
      <w:r>
        <w:t xml:space="preserve">, &amp; M. B. </w:t>
      </w:r>
      <w:proofErr w:type="spellStart"/>
      <w:r>
        <w:t>Beverland</w:t>
      </w:r>
      <w:proofErr w:type="spellEnd"/>
      <w:r>
        <w:t xml:space="preserve"> (Eds.), </w:t>
      </w:r>
      <w:r>
        <w:rPr>
          <w:rStyle w:val="Emphasis"/>
        </w:rPr>
        <w:t>Memorable customer experiences: A research anthology</w:t>
      </w:r>
      <w:r>
        <w:t xml:space="preserve"> (pp. 161–176). Gower Publishing.</w:t>
      </w:r>
    </w:p>
    <w:p w14:paraId="19203641" w14:textId="03CE29D8" w:rsidR="00247DFF" w:rsidRPr="00247DFF" w:rsidRDefault="00247DFF" w:rsidP="00247DFF">
      <w:pPr>
        <w:rPr>
          <w:lang w:val="en-GB"/>
        </w:rPr>
      </w:pPr>
    </w:p>
    <w:p w14:paraId="7348938F" w14:textId="77777777" w:rsidR="008A359E" w:rsidRPr="008A359E" w:rsidRDefault="008A359E" w:rsidP="008A359E">
      <w:pPr>
        <w:widowControl/>
        <w:autoSpaceDE/>
        <w:autoSpaceDN/>
        <w:rPr>
          <w:rFonts w:asciiTheme="minorHAnsi" w:eastAsia="Times New Roman" w:hAnsiTheme="minorHAnsi" w:cstheme="minorHAnsi"/>
        </w:rPr>
      </w:pPr>
      <w:r w:rsidRPr="008A359E">
        <w:rPr>
          <w:rFonts w:asciiTheme="minorHAnsi" w:eastAsia="Times New Roman" w:hAnsiTheme="minorHAnsi" w:cstheme="minorHAnsi"/>
          <w:b/>
          <w:bCs/>
        </w:rPr>
        <w:t>General Requirements</w:t>
      </w:r>
    </w:p>
    <w:p w14:paraId="4251C3EB" w14:textId="77777777" w:rsidR="008A359E" w:rsidRPr="008A359E" w:rsidRDefault="008A359E" w:rsidP="008A359E">
      <w:pPr>
        <w:widowControl/>
        <w:autoSpaceDE/>
        <w:autoSpaceDN/>
        <w:rPr>
          <w:rFonts w:asciiTheme="minorHAnsi" w:eastAsia="Times New Roman" w:hAnsiTheme="minorHAnsi" w:cstheme="minorHAnsi"/>
        </w:rPr>
      </w:pPr>
      <w:r w:rsidRPr="008A359E">
        <w:rPr>
          <w:rFonts w:asciiTheme="minorHAnsi" w:eastAsia="Times New Roman" w:hAnsiTheme="minorHAnsi" w:cstheme="minorHAnsi"/>
        </w:rPr>
        <w:t>Authors should ensure that:</w:t>
      </w:r>
    </w:p>
    <w:p w14:paraId="55D5E8A9" w14:textId="77777777" w:rsidR="008A359E" w:rsidRPr="008A359E" w:rsidRDefault="008A359E" w:rsidP="008A359E">
      <w:pPr>
        <w:pStyle w:val="ListParagraph"/>
        <w:widowControl/>
        <w:numPr>
          <w:ilvl w:val="0"/>
          <w:numId w:val="8"/>
        </w:numPr>
        <w:tabs>
          <w:tab w:val="clear" w:pos="720"/>
          <w:tab w:val="num" w:pos="284"/>
        </w:tabs>
        <w:autoSpaceDE/>
        <w:autoSpaceDN/>
        <w:ind w:hanging="720"/>
        <w:rPr>
          <w:rFonts w:asciiTheme="minorHAnsi" w:eastAsia="Times New Roman" w:hAnsiTheme="minorHAnsi" w:cstheme="minorHAnsi"/>
        </w:rPr>
      </w:pPr>
      <w:r w:rsidRPr="008A359E">
        <w:rPr>
          <w:rFonts w:asciiTheme="minorHAnsi" w:eastAsia="Times New Roman" w:hAnsiTheme="minorHAnsi" w:cstheme="minorHAnsi"/>
        </w:rPr>
        <w:t>every source cited in the text appears in the reference list;</w:t>
      </w:r>
    </w:p>
    <w:p w14:paraId="0A4B7084" w14:textId="77777777" w:rsidR="008A359E" w:rsidRPr="008A359E" w:rsidRDefault="008A359E" w:rsidP="008A359E">
      <w:pPr>
        <w:pStyle w:val="ListParagraph"/>
        <w:widowControl/>
        <w:numPr>
          <w:ilvl w:val="0"/>
          <w:numId w:val="8"/>
        </w:numPr>
        <w:tabs>
          <w:tab w:val="clear" w:pos="720"/>
          <w:tab w:val="num" w:pos="284"/>
        </w:tabs>
        <w:autoSpaceDE/>
        <w:autoSpaceDN/>
        <w:spacing w:before="100" w:beforeAutospacing="1" w:after="100" w:afterAutospacing="1"/>
        <w:ind w:hanging="720"/>
        <w:rPr>
          <w:rFonts w:asciiTheme="minorHAnsi" w:eastAsia="Times New Roman" w:hAnsiTheme="minorHAnsi" w:cstheme="minorHAnsi"/>
        </w:rPr>
      </w:pPr>
      <w:r w:rsidRPr="008A359E">
        <w:rPr>
          <w:rFonts w:asciiTheme="minorHAnsi" w:eastAsia="Times New Roman" w:hAnsiTheme="minorHAnsi" w:cstheme="minorHAnsi"/>
        </w:rPr>
        <w:t>every entry in the reference list is cited in the text;</w:t>
      </w:r>
    </w:p>
    <w:p w14:paraId="0B28389F" w14:textId="77777777" w:rsidR="008A359E" w:rsidRPr="008A359E" w:rsidRDefault="008A359E" w:rsidP="008A359E">
      <w:pPr>
        <w:pStyle w:val="ListParagraph"/>
        <w:widowControl/>
        <w:numPr>
          <w:ilvl w:val="0"/>
          <w:numId w:val="8"/>
        </w:numPr>
        <w:tabs>
          <w:tab w:val="clear" w:pos="720"/>
          <w:tab w:val="num" w:pos="284"/>
        </w:tabs>
        <w:autoSpaceDE/>
        <w:autoSpaceDN/>
        <w:spacing w:before="100" w:beforeAutospacing="1" w:after="100" w:afterAutospacing="1"/>
        <w:ind w:hanging="720"/>
        <w:rPr>
          <w:rFonts w:asciiTheme="minorHAnsi" w:eastAsia="Times New Roman" w:hAnsiTheme="minorHAnsi" w:cstheme="minorHAnsi"/>
        </w:rPr>
      </w:pPr>
      <w:r w:rsidRPr="008A359E">
        <w:rPr>
          <w:rFonts w:asciiTheme="minorHAnsi" w:eastAsia="Times New Roman" w:hAnsiTheme="minorHAnsi" w:cstheme="minorHAnsi"/>
        </w:rPr>
        <w:t>references are listed alphabetically and are not numbered;</w:t>
      </w:r>
    </w:p>
    <w:p w14:paraId="2110D5E0" w14:textId="77777777" w:rsidR="008A359E" w:rsidRPr="008A359E" w:rsidRDefault="008A359E" w:rsidP="008A359E">
      <w:pPr>
        <w:pStyle w:val="ListParagraph"/>
        <w:widowControl/>
        <w:numPr>
          <w:ilvl w:val="0"/>
          <w:numId w:val="8"/>
        </w:numPr>
        <w:tabs>
          <w:tab w:val="clear" w:pos="720"/>
          <w:tab w:val="num" w:pos="284"/>
        </w:tabs>
        <w:autoSpaceDE/>
        <w:autoSpaceDN/>
        <w:spacing w:before="100" w:beforeAutospacing="1" w:after="100" w:afterAutospacing="1"/>
        <w:ind w:hanging="720"/>
        <w:rPr>
          <w:rFonts w:asciiTheme="minorHAnsi" w:eastAsia="Times New Roman" w:hAnsiTheme="minorHAnsi" w:cstheme="minorHAnsi"/>
        </w:rPr>
      </w:pPr>
      <w:r w:rsidRPr="008A359E">
        <w:rPr>
          <w:rFonts w:asciiTheme="minorHAnsi" w:eastAsia="Times New Roman" w:hAnsiTheme="minorHAnsi" w:cstheme="minorHAnsi"/>
        </w:rPr>
        <w:t>DOIs are provided whenever available and presented as URLs;</w:t>
      </w:r>
    </w:p>
    <w:p w14:paraId="1DE9A900" w14:textId="77777777" w:rsidR="008A359E" w:rsidRPr="008A359E" w:rsidRDefault="008A359E" w:rsidP="008A359E">
      <w:pPr>
        <w:pStyle w:val="ListParagraph"/>
        <w:widowControl/>
        <w:numPr>
          <w:ilvl w:val="0"/>
          <w:numId w:val="8"/>
        </w:numPr>
        <w:tabs>
          <w:tab w:val="clear" w:pos="720"/>
          <w:tab w:val="num" w:pos="284"/>
        </w:tabs>
        <w:autoSpaceDE/>
        <w:autoSpaceDN/>
        <w:spacing w:before="100" w:beforeAutospacing="1" w:after="100" w:afterAutospacing="1"/>
        <w:ind w:hanging="720"/>
        <w:rPr>
          <w:rFonts w:asciiTheme="minorHAnsi" w:eastAsia="Times New Roman" w:hAnsiTheme="minorHAnsi" w:cstheme="minorHAnsi"/>
        </w:rPr>
      </w:pPr>
      <w:r w:rsidRPr="008A359E">
        <w:rPr>
          <w:rFonts w:asciiTheme="minorHAnsi" w:eastAsia="Times New Roman" w:hAnsiTheme="minorHAnsi" w:cstheme="minorHAnsi"/>
        </w:rPr>
        <w:t>URLs are provided for online sources where appropriate;</w:t>
      </w:r>
    </w:p>
    <w:p w14:paraId="28052870" w14:textId="77777777" w:rsidR="008A359E" w:rsidRPr="008A359E" w:rsidRDefault="008A359E" w:rsidP="008A359E">
      <w:pPr>
        <w:pStyle w:val="ListParagraph"/>
        <w:widowControl/>
        <w:numPr>
          <w:ilvl w:val="0"/>
          <w:numId w:val="8"/>
        </w:numPr>
        <w:tabs>
          <w:tab w:val="clear" w:pos="720"/>
          <w:tab w:val="num" w:pos="284"/>
        </w:tabs>
        <w:autoSpaceDE/>
        <w:autoSpaceDN/>
        <w:spacing w:before="100" w:beforeAutospacing="1" w:after="100" w:afterAutospacing="1"/>
        <w:ind w:hanging="720"/>
        <w:rPr>
          <w:rFonts w:asciiTheme="minorHAnsi" w:eastAsia="Times New Roman" w:hAnsiTheme="minorHAnsi" w:cstheme="minorHAnsi"/>
        </w:rPr>
      </w:pPr>
      <w:r w:rsidRPr="008A359E">
        <w:rPr>
          <w:rFonts w:asciiTheme="minorHAnsi" w:eastAsia="Times New Roman" w:hAnsiTheme="minorHAnsi" w:cstheme="minorHAnsi"/>
        </w:rPr>
        <w:t>the reference list is prepared consistently according to APA 7th edition style.</w:t>
      </w:r>
    </w:p>
    <w:p w14:paraId="4574FEC5" w14:textId="7EB79BD4" w:rsidR="00247DFF" w:rsidRPr="00247DFF" w:rsidRDefault="00247DFF" w:rsidP="00247DFF">
      <w:pPr>
        <w:jc w:val="both"/>
        <w:rPr>
          <w:spacing w:val="-6"/>
          <w:lang w:val="en-GB"/>
        </w:rPr>
      </w:pPr>
      <w:r w:rsidRPr="00247DFF">
        <w:rPr>
          <w:spacing w:val="-6"/>
          <w:lang w:val="en-GB"/>
        </w:rPr>
        <w:t>Authors retain copyright and grant the journal right of first publication with the work simultaneously licensed under a Creative Commons Attribution License https://creativecommons.org/licenses/by/4.0/ that allows others to share the work with an acknowledgment of the work’s authorship and initial publication in this journal. Authors are permitted and encouraged to post their work online (e.g., in institutional repositories or on their website) before and during the submission process, as it can lead to productive exchanges, as well as earlier and greater citation of published work.</w:t>
      </w:r>
    </w:p>
    <w:sectPr w:rsidR="00247DFF" w:rsidRPr="00247DFF" w:rsidSect="00FD6A78">
      <w:pgSz w:w="11910" w:h="16850"/>
      <w:pgMar w:top="1417" w:right="1417" w:bottom="1417"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1678D"/>
    <w:multiLevelType w:val="multilevel"/>
    <w:tmpl w:val="B7F4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44E6E"/>
    <w:multiLevelType w:val="hybridMultilevel"/>
    <w:tmpl w:val="0F2C5256"/>
    <w:lvl w:ilvl="0" w:tplc="32425492">
      <w:numFmt w:val="bullet"/>
      <w:lvlText w:val="-"/>
      <w:lvlJc w:val="left"/>
      <w:pPr>
        <w:ind w:left="570" w:hanging="428"/>
      </w:pPr>
      <w:rPr>
        <w:rFonts w:ascii="Calibri" w:eastAsia="Calibri" w:hAnsi="Calibri" w:cs="Calibri" w:hint="default"/>
        <w:b w:val="0"/>
        <w:bCs w:val="0"/>
        <w:i w:val="0"/>
        <w:iCs w:val="0"/>
        <w:spacing w:val="0"/>
        <w:w w:val="100"/>
        <w:sz w:val="24"/>
        <w:szCs w:val="24"/>
        <w:lang w:val="en-US" w:eastAsia="en-US" w:bidi="ar-SA"/>
      </w:rPr>
    </w:lvl>
    <w:lvl w:ilvl="1" w:tplc="BEAA1E64">
      <w:numFmt w:val="bullet"/>
      <w:lvlText w:val="•"/>
      <w:lvlJc w:val="left"/>
      <w:pPr>
        <w:ind w:left="1457" w:hanging="428"/>
      </w:pPr>
      <w:rPr>
        <w:rFonts w:hint="default"/>
        <w:lang w:val="en-US" w:eastAsia="en-US" w:bidi="ar-SA"/>
      </w:rPr>
    </w:lvl>
    <w:lvl w:ilvl="2" w:tplc="37EE255A">
      <w:numFmt w:val="bullet"/>
      <w:lvlText w:val="•"/>
      <w:lvlJc w:val="left"/>
      <w:pPr>
        <w:ind w:left="2335" w:hanging="428"/>
      </w:pPr>
      <w:rPr>
        <w:rFonts w:hint="default"/>
        <w:lang w:val="en-US" w:eastAsia="en-US" w:bidi="ar-SA"/>
      </w:rPr>
    </w:lvl>
    <w:lvl w:ilvl="3" w:tplc="5C8CE4B8">
      <w:numFmt w:val="bullet"/>
      <w:lvlText w:val="•"/>
      <w:lvlJc w:val="left"/>
      <w:pPr>
        <w:ind w:left="3212" w:hanging="428"/>
      </w:pPr>
      <w:rPr>
        <w:rFonts w:hint="default"/>
        <w:lang w:val="en-US" w:eastAsia="en-US" w:bidi="ar-SA"/>
      </w:rPr>
    </w:lvl>
    <w:lvl w:ilvl="4" w:tplc="F2C06F36">
      <w:numFmt w:val="bullet"/>
      <w:lvlText w:val="•"/>
      <w:lvlJc w:val="left"/>
      <w:pPr>
        <w:ind w:left="4090" w:hanging="428"/>
      </w:pPr>
      <w:rPr>
        <w:rFonts w:hint="default"/>
        <w:lang w:val="en-US" w:eastAsia="en-US" w:bidi="ar-SA"/>
      </w:rPr>
    </w:lvl>
    <w:lvl w:ilvl="5" w:tplc="0D642294">
      <w:numFmt w:val="bullet"/>
      <w:lvlText w:val="•"/>
      <w:lvlJc w:val="left"/>
      <w:pPr>
        <w:ind w:left="4968" w:hanging="428"/>
      </w:pPr>
      <w:rPr>
        <w:rFonts w:hint="default"/>
        <w:lang w:val="en-US" w:eastAsia="en-US" w:bidi="ar-SA"/>
      </w:rPr>
    </w:lvl>
    <w:lvl w:ilvl="6" w:tplc="D324B20C">
      <w:numFmt w:val="bullet"/>
      <w:lvlText w:val="•"/>
      <w:lvlJc w:val="left"/>
      <w:pPr>
        <w:ind w:left="5845" w:hanging="428"/>
      </w:pPr>
      <w:rPr>
        <w:rFonts w:hint="default"/>
        <w:lang w:val="en-US" w:eastAsia="en-US" w:bidi="ar-SA"/>
      </w:rPr>
    </w:lvl>
    <w:lvl w:ilvl="7" w:tplc="1C8C7EAC">
      <w:numFmt w:val="bullet"/>
      <w:lvlText w:val="•"/>
      <w:lvlJc w:val="left"/>
      <w:pPr>
        <w:ind w:left="6723" w:hanging="428"/>
      </w:pPr>
      <w:rPr>
        <w:rFonts w:hint="default"/>
        <w:lang w:val="en-US" w:eastAsia="en-US" w:bidi="ar-SA"/>
      </w:rPr>
    </w:lvl>
    <w:lvl w:ilvl="8" w:tplc="0F466732">
      <w:numFmt w:val="bullet"/>
      <w:lvlText w:val="•"/>
      <w:lvlJc w:val="left"/>
      <w:pPr>
        <w:ind w:left="7601" w:hanging="428"/>
      </w:pPr>
      <w:rPr>
        <w:rFonts w:hint="default"/>
        <w:lang w:val="en-US" w:eastAsia="en-US" w:bidi="ar-SA"/>
      </w:rPr>
    </w:lvl>
  </w:abstractNum>
  <w:abstractNum w:abstractNumId="2" w15:restartNumberingAfterBreak="0">
    <w:nsid w:val="5DDE50E6"/>
    <w:multiLevelType w:val="hybridMultilevel"/>
    <w:tmpl w:val="DE028BDE"/>
    <w:lvl w:ilvl="0" w:tplc="A8AC748E">
      <w:numFmt w:val="bullet"/>
      <w:lvlText w:val="•"/>
      <w:lvlJc w:val="left"/>
      <w:pPr>
        <w:ind w:left="360" w:hanging="360"/>
      </w:pPr>
      <w:rPr>
        <w:rFonts w:ascii="Calibri" w:eastAsia="Calibr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60124B95"/>
    <w:multiLevelType w:val="multilevel"/>
    <w:tmpl w:val="2CA621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63BD2"/>
    <w:multiLevelType w:val="multilevel"/>
    <w:tmpl w:val="2CA621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22BA6"/>
    <w:multiLevelType w:val="hybridMultilevel"/>
    <w:tmpl w:val="317E12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446689A"/>
    <w:multiLevelType w:val="hybridMultilevel"/>
    <w:tmpl w:val="5CA6BC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50A4065"/>
    <w:multiLevelType w:val="hybridMultilevel"/>
    <w:tmpl w:val="BF6625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2"/>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AE"/>
    <w:rsid w:val="000027F6"/>
    <w:rsid w:val="000A7B05"/>
    <w:rsid w:val="000D0622"/>
    <w:rsid w:val="001E0C8C"/>
    <w:rsid w:val="001E5AE7"/>
    <w:rsid w:val="00212730"/>
    <w:rsid w:val="002228C7"/>
    <w:rsid w:val="00232049"/>
    <w:rsid w:val="00240414"/>
    <w:rsid w:val="00247DFF"/>
    <w:rsid w:val="002638C3"/>
    <w:rsid w:val="00296BD4"/>
    <w:rsid w:val="002F1C81"/>
    <w:rsid w:val="002F799D"/>
    <w:rsid w:val="00300E35"/>
    <w:rsid w:val="00304E3E"/>
    <w:rsid w:val="00322969"/>
    <w:rsid w:val="00335793"/>
    <w:rsid w:val="004622CA"/>
    <w:rsid w:val="004652AE"/>
    <w:rsid w:val="00470841"/>
    <w:rsid w:val="004831FF"/>
    <w:rsid w:val="004837C8"/>
    <w:rsid w:val="00493BF2"/>
    <w:rsid w:val="004F200D"/>
    <w:rsid w:val="005254CA"/>
    <w:rsid w:val="00555B4C"/>
    <w:rsid w:val="0058489F"/>
    <w:rsid w:val="005D13BC"/>
    <w:rsid w:val="0063056A"/>
    <w:rsid w:val="00631279"/>
    <w:rsid w:val="00651CDE"/>
    <w:rsid w:val="006834FF"/>
    <w:rsid w:val="00726C1B"/>
    <w:rsid w:val="007C5AD7"/>
    <w:rsid w:val="008365A1"/>
    <w:rsid w:val="00852DE9"/>
    <w:rsid w:val="0089653F"/>
    <w:rsid w:val="008A359E"/>
    <w:rsid w:val="008E4210"/>
    <w:rsid w:val="008F4235"/>
    <w:rsid w:val="00933F04"/>
    <w:rsid w:val="00961616"/>
    <w:rsid w:val="009F56F3"/>
    <w:rsid w:val="00A110AD"/>
    <w:rsid w:val="00A21DE8"/>
    <w:rsid w:val="00A87DF3"/>
    <w:rsid w:val="00B16214"/>
    <w:rsid w:val="00B36BFD"/>
    <w:rsid w:val="00BC0F4E"/>
    <w:rsid w:val="00BD743A"/>
    <w:rsid w:val="00C143ED"/>
    <w:rsid w:val="00C97654"/>
    <w:rsid w:val="00D575B8"/>
    <w:rsid w:val="00D92711"/>
    <w:rsid w:val="00DC026A"/>
    <w:rsid w:val="00DC4692"/>
    <w:rsid w:val="00DC5643"/>
    <w:rsid w:val="00E05D1C"/>
    <w:rsid w:val="00E205BF"/>
    <w:rsid w:val="00E33F71"/>
    <w:rsid w:val="00E91493"/>
    <w:rsid w:val="00EA3599"/>
    <w:rsid w:val="00F06DA9"/>
    <w:rsid w:val="00F20D06"/>
    <w:rsid w:val="00F91DB0"/>
    <w:rsid w:val="00FB5263"/>
    <w:rsid w:val="00FD6A78"/>
    <w:rsid w:val="00FF0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17E7"/>
  <w15:docId w15:val="{EEAC098F-B56D-45C7-B57B-2E475D08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631279"/>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70"/>
    </w:pPr>
    <w:rPr>
      <w:sz w:val="24"/>
      <w:szCs w:val="24"/>
    </w:rPr>
  </w:style>
  <w:style w:type="paragraph" w:styleId="Title">
    <w:name w:val="Title"/>
    <w:basedOn w:val="Normal"/>
    <w:uiPriority w:val="10"/>
    <w:qFormat/>
    <w:pPr>
      <w:spacing w:line="366" w:lineRule="exact"/>
      <w:ind w:left="8"/>
      <w:jc w:val="center"/>
    </w:pPr>
    <w:rPr>
      <w:b/>
      <w:bCs/>
      <w:sz w:val="30"/>
      <w:szCs w:val="30"/>
    </w:rPr>
  </w:style>
  <w:style w:type="paragraph" w:styleId="ListParagraph">
    <w:name w:val="List Paragraph"/>
    <w:basedOn w:val="Normal"/>
    <w:uiPriority w:val="1"/>
    <w:qFormat/>
    <w:pPr>
      <w:ind w:left="570" w:right="80" w:hanging="428"/>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D13BC"/>
    <w:rPr>
      <w:rFonts w:ascii="Calibri" w:eastAsia="Calibri" w:hAnsi="Calibri" w:cs="Calibri"/>
      <w:sz w:val="24"/>
      <w:szCs w:val="24"/>
    </w:rPr>
  </w:style>
  <w:style w:type="character" w:styleId="CommentReference">
    <w:name w:val="annotation reference"/>
    <w:basedOn w:val="DefaultParagraphFont"/>
    <w:uiPriority w:val="99"/>
    <w:semiHidden/>
    <w:unhideWhenUsed/>
    <w:rsid w:val="00240414"/>
    <w:rPr>
      <w:sz w:val="16"/>
      <w:szCs w:val="16"/>
    </w:rPr>
  </w:style>
  <w:style w:type="paragraph" w:styleId="CommentText">
    <w:name w:val="annotation text"/>
    <w:basedOn w:val="Normal"/>
    <w:link w:val="CommentTextChar"/>
    <w:uiPriority w:val="99"/>
    <w:semiHidden/>
    <w:unhideWhenUsed/>
    <w:rsid w:val="00240414"/>
    <w:rPr>
      <w:sz w:val="20"/>
      <w:szCs w:val="20"/>
    </w:rPr>
  </w:style>
  <w:style w:type="character" w:customStyle="1" w:styleId="CommentTextChar">
    <w:name w:val="Comment Text Char"/>
    <w:basedOn w:val="DefaultParagraphFont"/>
    <w:link w:val="CommentText"/>
    <w:uiPriority w:val="99"/>
    <w:semiHidden/>
    <w:rsid w:val="0024041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40414"/>
    <w:rPr>
      <w:b/>
      <w:bCs/>
    </w:rPr>
  </w:style>
  <w:style w:type="character" w:customStyle="1" w:styleId="CommentSubjectChar">
    <w:name w:val="Comment Subject Char"/>
    <w:basedOn w:val="CommentTextChar"/>
    <w:link w:val="CommentSubject"/>
    <w:uiPriority w:val="99"/>
    <w:semiHidden/>
    <w:rsid w:val="00240414"/>
    <w:rPr>
      <w:rFonts w:ascii="Calibri" w:eastAsia="Calibri" w:hAnsi="Calibri" w:cs="Calibri"/>
      <w:b/>
      <w:bCs/>
      <w:sz w:val="20"/>
      <w:szCs w:val="20"/>
    </w:rPr>
  </w:style>
  <w:style w:type="character" w:styleId="Hyperlink">
    <w:name w:val="Hyperlink"/>
    <w:basedOn w:val="DefaultParagraphFont"/>
    <w:uiPriority w:val="99"/>
    <w:unhideWhenUsed/>
    <w:rsid w:val="001E5AE7"/>
    <w:rPr>
      <w:color w:val="0000FF" w:themeColor="hyperlink"/>
      <w:u w:val="single"/>
    </w:rPr>
  </w:style>
  <w:style w:type="character" w:styleId="UnresolvedMention">
    <w:name w:val="Unresolved Mention"/>
    <w:basedOn w:val="DefaultParagraphFont"/>
    <w:uiPriority w:val="99"/>
    <w:semiHidden/>
    <w:unhideWhenUsed/>
    <w:rsid w:val="001E5AE7"/>
    <w:rPr>
      <w:color w:val="605E5C"/>
      <w:shd w:val="clear" w:color="auto" w:fill="E1DFDD"/>
    </w:rPr>
  </w:style>
  <w:style w:type="character" w:styleId="FollowedHyperlink">
    <w:name w:val="FollowedHyperlink"/>
    <w:basedOn w:val="DefaultParagraphFont"/>
    <w:uiPriority w:val="99"/>
    <w:semiHidden/>
    <w:unhideWhenUsed/>
    <w:rsid w:val="001E5AE7"/>
    <w:rPr>
      <w:color w:val="800080" w:themeColor="followedHyperlink"/>
      <w:u w:val="single"/>
    </w:rPr>
  </w:style>
  <w:style w:type="character" w:styleId="Emphasis">
    <w:name w:val="Emphasis"/>
    <w:basedOn w:val="DefaultParagraphFont"/>
    <w:uiPriority w:val="20"/>
    <w:qFormat/>
    <w:rsid w:val="00DC026A"/>
    <w:rPr>
      <w:i/>
      <w:iCs/>
    </w:rPr>
  </w:style>
  <w:style w:type="paragraph" w:styleId="NormalWeb">
    <w:name w:val="Normal (Web)"/>
    <w:basedOn w:val="Normal"/>
    <w:uiPriority w:val="99"/>
    <w:semiHidden/>
    <w:unhideWhenUsed/>
    <w:rsid w:val="00DC026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isselectedend">
    <w:name w:val="isselectedend"/>
    <w:basedOn w:val="Normal"/>
    <w:rsid w:val="008A359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A359E"/>
    <w:rPr>
      <w:b/>
      <w:bCs/>
    </w:rPr>
  </w:style>
  <w:style w:type="character" w:styleId="LineNumber">
    <w:name w:val="line number"/>
    <w:basedOn w:val="DefaultParagraphFont"/>
    <w:uiPriority w:val="99"/>
    <w:semiHidden/>
    <w:unhideWhenUsed/>
    <w:rsid w:val="00631279"/>
  </w:style>
  <w:style w:type="character" w:customStyle="1" w:styleId="Heading3Char">
    <w:name w:val="Heading 3 Char"/>
    <w:basedOn w:val="DefaultParagraphFont"/>
    <w:link w:val="Heading3"/>
    <w:uiPriority w:val="9"/>
    <w:rsid w:val="00631279"/>
    <w:rPr>
      <w:rFonts w:ascii="Times New Roman" w:eastAsia="Times New Roman" w:hAnsi="Times New Roman" w:cs="Times New Roman"/>
      <w:b/>
      <w:bCs/>
      <w:sz w:val="27"/>
      <w:szCs w:val="27"/>
    </w:rPr>
  </w:style>
  <w:style w:type="character" w:customStyle="1" w:styleId="text-token-text-primary">
    <w:name w:val="text-token-text-primary"/>
    <w:basedOn w:val="DefaultParagraphFont"/>
    <w:rsid w:val="00631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8239">
      <w:bodyDiv w:val="1"/>
      <w:marLeft w:val="0"/>
      <w:marRight w:val="0"/>
      <w:marTop w:val="0"/>
      <w:marBottom w:val="0"/>
      <w:divBdr>
        <w:top w:val="none" w:sz="0" w:space="0" w:color="auto"/>
        <w:left w:val="none" w:sz="0" w:space="0" w:color="auto"/>
        <w:bottom w:val="none" w:sz="0" w:space="0" w:color="auto"/>
        <w:right w:val="none" w:sz="0" w:space="0" w:color="auto"/>
      </w:divBdr>
    </w:div>
    <w:div w:id="862592096">
      <w:bodyDiv w:val="1"/>
      <w:marLeft w:val="0"/>
      <w:marRight w:val="0"/>
      <w:marTop w:val="0"/>
      <w:marBottom w:val="0"/>
      <w:divBdr>
        <w:top w:val="none" w:sz="0" w:space="0" w:color="auto"/>
        <w:left w:val="none" w:sz="0" w:space="0" w:color="auto"/>
        <w:bottom w:val="none" w:sz="0" w:space="0" w:color="auto"/>
        <w:right w:val="none" w:sz="0" w:space="0" w:color="auto"/>
      </w:divBdr>
    </w:div>
    <w:div w:id="874196024">
      <w:bodyDiv w:val="1"/>
      <w:marLeft w:val="0"/>
      <w:marRight w:val="0"/>
      <w:marTop w:val="0"/>
      <w:marBottom w:val="0"/>
      <w:divBdr>
        <w:top w:val="none" w:sz="0" w:space="0" w:color="auto"/>
        <w:left w:val="none" w:sz="0" w:space="0" w:color="auto"/>
        <w:bottom w:val="none" w:sz="0" w:space="0" w:color="auto"/>
        <w:right w:val="none" w:sz="0" w:space="0" w:color="auto"/>
      </w:divBdr>
    </w:div>
    <w:div w:id="1299844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93AF35-6C94-4BE3-A750-554C17B3B762}">
  <we:reference id="72b45444-814d-4fe3-a3e7-14ccf7af1e8c" version="1.2.0.0" store="EXCatalog" storeType="EXCatalog"/>
  <we:alternateReferences>
    <we:reference id="WA20000512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64</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Davorka Turčinović</dc:creator>
  <cp:lastModifiedBy>Davorka Turčinović</cp:lastModifiedBy>
  <cp:revision>14</cp:revision>
  <dcterms:created xsi:type="dcterms:W3CDTF">2026-09-01T07:22:00Z</dcterms:created>
  <dcterms:modified xsi:type="dcterms:W3CDTF">2026-09-01T11:19:00Z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2017-02-28T00:00:00Z</vt:filetime>
  </property>
  <property fmtid="{D5CDD505-2E9C-101B-9397-08002B2CF9AE}" pid="3" name="Creator">
    <vt:lpwstr>Acrobat PDFMaker 10.0 for Word</vt:lpwstr>
  </property>
  <property fmtid="{D5CDD505-2E9C-101B-9397-08002B2CF9AE}" pid="4" name="LastSaved">
    <vt:filetime>2025-10-16T00:00:00Z</vt:filetime>
  </property>
  <property fmtid="{D5CDD505-2E9C-101B-9397-08002B2CF9AE}" pid="5" name="Producer">
    <vt:lpwstr>Adobe PDF Library 10.0</vt:lpwstr>
  </property>
  <property fmtid="{D5CDD505-2E9C-101B-9397-08002B2CF9AE}" pid="6" name="SourceModified">
    <vt:lpwstr>D:20161027101036</vt:lpwstr>
  </property>
</Properties>
</file>