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40" w:rsidRDefault="006C3340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  <w:bookmarkStart w:id="0" w:name="_GoBack"/>
      <w:bookmarkEnd w:id="0"/>
    </w:p>
    <w:p w:rsidR="006C3340" w:rsidRPr="006C3340" w:rsidRDefault="006C3340" w:rsidP="006C334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6C3340">
        <w:rPr>
          <w:rFonts w:ascii="Times New Roman" w:hAnsi="Times New Roman"/>
          <w:b/>
          <w:sz w:val="24"/>
          <w:szCs w:val="24"/>
          <w:lang w:eastAsia="en-US"/>
        </w:rPr>
        <w:t xml:space="preserve">UPUTE ZA PISANJE </w:t>
      </w:r>
      <w:r>
        <w:rPr>
          <w:rFonts w:ascii="Times New Roman" w:hAnsi="Times New Roman"/>
          <w:b/>
          <w:sz w:val="24"/>
          <w:szCs w:val="24"/>
          <w:lang w:eastAsia="en-US"/>
        </w:rPr>
        <w:t>LITERATURE</w:t>
      </w: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</w:p>
    <w:p w:rsidR="006C3340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C3340">
        <w:rPr>
          <w:rFonts w:ascii="Times New Roman" w:hAnsi="Times New Roman"/>
          <w:b/>
          <w:sz w:val="24"/>
          <w:szCs w:val="24"/>
          <w:lang w:eastAsia="en-US"/>
        </w:rPr>
        <w:t>Liječniči</w:t>
      </w:r>
      <w:proofErr w:type="spellEnd"/>
      <w:r w:rsidRPr="006C3340">
        <w:rPr>
          <w:rFonts w:ascii="Times New Roman" w:hAnsi="Times New Roman"/>
          <w:b/>
          <w:sz w:val="24"/>
          <w:szCs w:val="24"/>
          <w:lang w:eastAsia="en-US"/>
        </w:rPr>
        <w:t xml:space="preserve"> vjesnik</w:t>
      </w:r>
      <w:r w:rsidRPr="00DF609D">
        <w:rPr>
          <w:rFonts w:ascii="Times New Roman" w:hAnsi="Times New Roman"/>
          <w:sz w:val="24"/>
          <w:szCs w:val="24"/>
          <w:lang w:eastAsia="en-US"/>
        </w:rPr>
        <w:t xml:space="preserve"> u potpunosti prihvaća upute za citiranje literature prema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Vancouverskom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načinu</w:t>
      </w:r>
      <w:r w:rsidRPr="00DF609D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International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committee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of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medical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journal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editors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Uniform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requirements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for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manuscripts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submitted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to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biomedical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jornals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: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Sample</w:t>
      </w:r>
      <w:proofErr w:type="spellEnd"/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references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7" w:history="1">
        <w:r w:rsidRPr="00DF609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http://www.nlm.nih.gov/bsd/uniform_requirements.html</w:t>
        </w:r>
      </w:hyperlink>
      <w:r w:rsidRPr="00DF609D">
        <w:rPr>
          <w:rFonts w:ascii="Times New Roman" w:hAnsi="Times New Roman"/>
          <w:sz w:val="24"/>
          <w:szCs w:val="24"/>
          <w:lang w:eastAsia="en-US"/>
        </w:rPr>
        <w:t xml:space="preserve"> ). </w:t>
      </w: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r w:rsidRPr="00DF609D">
        <w:rPr>
          <w:rFonts w:ascii="Times New Roman" w:hAnsi="Times New Roman"/>
          <w:sz w:val="24"/>
          <w:szCs w:val="24"/>
          <w:lang w:eastAsia="en-US"/>
        </w:rPr>
        <w:t xml:space="preserve">Literatura se navodi rednim brojem, prema redoslijedu citiranja u tekstu (prva referencija nosi broj 1). Ako rad ima šest ili manje autora, treba ih navesti sve, a ako ih je sedam ili više, trena navesti prva tri i dodati: i sur. Časopise treba prikazivati kraticom koju rabi </w:t>
      </w:r>
      <w:r w:rsidRPr="00DF609D">
        <w:rPr>
          <w:rFonts w:ascii="Times New Roman" w:hAnsi="Times New Roman"/>
          <w:i/>
          <w:sz w:val="24"/>
          <w:szCs w:val="24"/>
          <w:lang w:eastAsia="en-US"/>
        </w:rPr>
        <w:t xml:space="preserve">Index </w:t>
      </w:r>
      <w:proofErr w:type="spellStart"/>
      <w:r w:rsidRPr="00DF609D">
        <w:rPr>
          <w:rFonts w:ascii="Times New Roman" w:hAnsi="Times New Roman"/>
          <w:i/>
          <w:sz w:val="24"/>
          <w:szCs w:val="24"/>
          <w:lang w:eastAsia="en-US"/>
        </w:rPr>
        <w:t>Medicus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(</w:t>
      </w:r>
      <w:hyperlink r:id="rId8" w:history="1">
        <w:r w:rsidRPr="00DF609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http://www.pubmed.gov</w:t>
        </w:r>
      </w:hyperlink>
      <w:r w:rsidRPr="00DF609D">
        <w:rPr>
          <w:rFonts w:ascii="Times New Roman" w:hAnsi="Times New Roman"/>
          <w:sz w:val="24"/>
          <w:szCs w:val="24"/>
          <w:lang w:eastAsia="en-US"/>
        </w:rPr>
        <w:t xml:space="preserve"> )</w:t>
      </w: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r w:rsidRPr="00DF609D">
        <w:rPr>
          <w:rFonts w:ascii="Times New Roman" w:hAnsi="Times New Roman"/>
          <w:sz w:val="24"/>
          <w:szCs w:val="24"/>
          <w:lang w:eastAsia="en-US"/>
        </w:rPr>
        <w:t xml:space="preserve"> Primjeri citiranja literature:</w:t>
      </w:r>
    </w:p>
    <w:p w:rsid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Članak u časopisu</w:t>
      </w:r>
    </w:p>
    <w:p w:rsidR="006C3340" w:rsidRPr="006C3340" w:rsidRDefault="006C3340" w:rsidP="006C3340">
      <w:pPr>
        <w:ind w:left="142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r w:rsidRPr="00DF609D">
        <w:rPr>
          <w:rFonts w:ascii="Times New Roman" w:hAnsi="Times New Roman"/>
          <w:sz w:val="24"/>
          <w:szCs w:val="24"/>
          <w:lang w:eastAsia="en-US"/>
        </w:rPr>
        <w:t xml:space="preserve">Golubić D,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Rapić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D,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Breintenfeld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V. Neka klinička, dijagnostička i terapijska  zapažanja    o    humanoj trihinelozi.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Liječ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Vjesn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1985;107:11-4.</w:t>
      </w:r>
    </w:p>
    <w:p w:rsidR="006C3340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r w:rsidRPr="00DF609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C3340" w:rsidRDefault="006C3340" w:rsidP="006C3340">
      <w:pPr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Suplement časopisa</w:t>
      </w:r>
      <w:r w:rsidRPr="006C3340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</w:p>
    <w:p w:rsidR="006C3340" w:rsidRPr="006C3340" w:rsidRDefault="006C3340" w:rsidP="006C3340">
      <w:pPr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Lundstrom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I,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Nylander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C.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electrostatic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approach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to membrane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bound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9D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receptors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  Period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Biol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1983;85Suppl 2:53-60.</w:t>
      </w:r>
    </w:p>
    <w:p w:rsidR="006C3340" w:rsidRDefault="006C3340" w:rsidP="006C3340">
      <w:pPr>
        <w:ind w:left="142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6C3340" w:rsidRP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Knjige i monografije</w:t>
      </w:r>
    </w:p>
    <w:p w:rsid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Autor(i) pojedinci</w:t>
      </w:r>
    </w:p>
    <w:p w:rsidR="006C3340" w:rsidRPr="006C3340" w:rsidRDefault="006C3340" w:rsidP="006C3340">
      <w:pPr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Eisen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HN.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Immunology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introduction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to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molecular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and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cellular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principles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of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609D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the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immune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response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5.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izd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New York: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Harper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and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Row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>; 1974, str. 406.</w:t>
      </w:r>
    </w:p>
    <w:p w:rsid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6C3340" w:rsidRP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Urednik</w:t>
      </w:r>
    </w:p>
    <w:p w:rsidR="006C3340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</w:p>
    <w:p w:rsidR="006C3340" w:rsidRPr="00DF609D" w:rsidRDefault="006C3340" w:rsidP="006C3340">
      <w:pPr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Dausset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J,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Colombani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J,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ur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Histocompatibility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testing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Copenhagen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Munksgaard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Pr="00DF609D">
        <w:rPr>
          <w:rFonts w:ascii="Times New Roman" w:hAnsi="Times New Roman"/>
          <w:sz w:val="24"/>
          <w:szCs w:val="24"/>
          <w:lang w:eastAsia="en-US"/>
        </w:rPr>
        <w:tab/>
        <w:t>1973, str. 12-8.</w:t>
      </w:r>
    </w:p>
    <w:p w:rsid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6C3340" w:rsidRP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Poglavlje u knjizi</w:t>
      </w:r>
    </w:p>
    <w:p w:rsidR="006C3340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einstein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L,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Swartz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MN.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Pathogenic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properties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of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invading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microorganisms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U: </w:t>
      </w:r>
      <w:r w:rsidRPr="00DF609D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Sodeman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WA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jr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Sodeman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WA,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ur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Pathogenic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physiology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mechanism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of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disease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DF609D">
        <w:rPr>
          <w:rFonts w:ascii="Times New Roman" w:hAnsi="Times New Roman"/>
          <w:sz w:val="24"/>
          <w:szCs w:val="24"/>
          <w:lang w:eastAsia="en-US"/>
        </w:rPr>
        <w:tab/>
        <w:t xml:space="preserve">Philadelphia: WB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Saunders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>; 1974, str. 457-72.</w:t>
      </w:r>
    </w:p>
    <w:p w:rsid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:rsidR="006C3340" w:rsidRPr="006C3340" w:rsidRDefault="006C3340" w:rsidP="006C3340">
      <w:pP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6C3340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Članak na internetu</w:t>
      </w:r>
    </w:p>
    <w:p w:rsidR="006C3340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</w:p>
    <w:p w:rsidR="006C3340" w:rsidRPr="00DF609D" w:rsidRDefault="006C3340" w:rsidP="006C3340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Abood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S.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Quality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improvement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initiative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nursing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homes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the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ANA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acts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an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advisory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role. Am J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Nurs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[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serial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on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the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Internet]. 2002 Jun [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pristupljeno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2002 </w:t>
      </w:r>
      <w:proofErr w:type="spellStart"/>
      <w:r w:rsidRPr="00DF609D">
        <w:rPr>
          <w:rFonts w:ascii="Times New Roman" w:hAnsi="Times New Roman"/>
          <w:sz w:val="24"/>
          <w:szCs w:val="24"/>
          <w:lang w:eastAsia="en-US"/>
        </w:rPr>
        <w:t>Aug</w:t>
      </w:r>
      <w:proofErr w:type="spellEnd"/>
      <w:r w:rsidRPr="00DF609D">
        <w:rPr>
          <w:rFonts w:ascii="Times New Roman" w:hAnsi="Times New Roman"/>
          <w:sz w:val="24"/>
          <w:szCs w:val="24"/>
          <w:lang w:eastAsia="en-US"/>
        </w:rPr>
        <w:t xml:space="preserve"> 12];102(6):[oko 3 str.]. Dostupno na: </w:t>
      </w:r>
      <w:hyperlink r:id="rId9" w:history="1">
        <w:r w:rsidRPr="00DF609D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http://www.nursingworld.org/AJN/2002/june/Wawatch.htm</w:t>
        </w:r>
      </w:hyperlink>
      <w:r w:rsidRPr="00DF609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C3340" w:rsidRDefault="006C3340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2E08CE" w:rsidRDefault="002E08CE"/>
    <w:sectPr w:rsidR="002E08CE" w:rsidSect="006C3340">
      <w:headerReference w:type="default" r:id="rId10"/>
      <w:footerReference w:type="default" r:id="rId11"/>
      <w:pgSz w:w="11907" w:h="16840" w:code="9"/>
      <w:pgMar w:top="1701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84" w:rsidRDefault="00355A84" w:rsidP="003C5ADE">
      <w:r>
        <w:separator/>
      </w:r>
    </w:p>
  </w:endnote>
  <w:endnote w:type="continuationSeparator" w:id="0">
    <w:p w:rsidR="00355A84" w:rsidRDefault="00355A84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29" w:rsidRDefault="009E6D29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________________________________________________________</w:t>
    </w:r>
  </w:p>
  <w:p w:rsidR="003A4E5D" w:rsidRPr="003A4E5D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 w:rsidRPr="003A4E5D">
      <w:rPr>
        <w:rFonts w:ascii="Times New Roman" w:hAnsi="Times New Roman"/>
        <w:b/>
        <w:bCs/>
        <w:color w:val="auto"/>
        <w:w w:val="150"/>
        <w:sz w:val="24"/>
      </w:rPr>
      <w:t>Zagreb, Šubićeva 9</w:t>
    </w:r>
  </w:p>
  <w:p w:rsidR="003A4E5D" w:rsidRPr="003A4E5D" w:rsidRDefault="003A4E5D" w:rsidP="003A4E5D">
    <w:pPr>
      <w:jc w:val="center"/>
      <w:rPr>
        <w:b/>
        <w:bCs/>
      </w:rPr>
    </w:pPr>
    <w:r w:rsidRPr="003A4E5D">
      <w:rPr>
        <w:b/>
        <w:bCs/>
      </w:rPr>
      <w:t>e-mail: lijecnicki-vjesnik@hlz.hr</w:t>
    </w:r>
  </w:p>
  <w:p w:rsidR="003A4E5D" w:rsidRDefault="003A4E5D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84" w:rsidRDefault="00355A84" w:rsidP="003C5ADE">
      <w:r>
        <w:separator/>
      </w:r>
    </w:p>
  </w:footnote>
  <w:footnote w:type="continuationSeparator" w:id="0">
    <w:p w:rsidR="00355A84" w:rsidRDefault="00355A84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672"/>
      <w:gridCol w:w="2400"/>
    </w:tblGrid>
    <w:tr w:rsidR="003A4E5D" w:rsidRPr="003A4E5D" w:rsidTr="006C3340">
      <w:trPr>
        <w:cantSplit/>
        <w:trHeight w:val="671"/>
      </w:trPr>
      <w:tc>
        <w:tcPr>
          <w:tcW w:w="66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color w:val="auto"/>
              <w:w w:val="150"/>
              <w:sz w:val="22"/>
            </w:rPr>
          </w:pPr>
        </w:p>
        <w:p w:rsidR="003A4E5D" w:rsidRPr="003A4E5D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</w:pPr>
          <w:r w:rsidRPr="003A4E5D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  <w:t>Liječnički vjesnik</w:t>
          </w:r>
        </w:p>
        <w:p w:rsidR="003A4E5D" w:rsidRPr="003A4E5D" w:rsidRDefault="003A4E5D" w:rsidP="003A4E5D">
          <w:pPr>
            <w:keepNext/>
            <w:jc w:val="center"/>
            <w:outlineLvl w:val="0"/>
            <w:rPr>
              <w:rFonts w:ascii="Times New Roman" w:hAnsi="Times New Roman"/>
              <w:b/>
              <w:color w:val="auto"/>
              <w:w w:val="150"/>
              <w:sz w:val="22"/>
              <w:szCs w:val="22"/>
            </w:rPr>
          </w:pPr>
          <w:r w:rsidRPr="003A4E5D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</w:rPr>
            <w:t>Glasilo Hrvatskoga liječničkog zbora</w:t>
          </w:r>
        </w:p>
      </w:tc>
      <w:tc>
        <w:tcPr>
          <w:tcW w:w="240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r w:rsidRPr="003A4E5D">
            <w:t xml:space="preserve">        </w:t>
          </w:r>
          <w:r w:rsidRPr="003A4E5D">
            <w:rPr>
              <w:noProof/>
            </w:rPr>
            <w:drawing>
              <wp:inline distT="0" distB="0" distL="0" distR="0" wp14:anchorId="5D5493C3" wp14:editId="10B57BDB">
                <wp:extent cx="1013460" cy="952955"/>
                <wp:effectExtent l="0" t="0" r="0" b="0"/>
                <wp:docPr id="5" name="Slika 5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4E5D" w:rsidRPr="003A4E5D" w:rsidRDefault="003A4E5D" w:rsidP="003A4E5D"/>
        <w:p w:rsidR="003A4E5D" w:rsidRPr="003A4E5D" w:rsidRDefault="003A4E5D" w:rsidP="003A4E5D">
          <w:pPr>
            <w:jc w:val="center"/>
          </w:pPr>
        </w:p>
      </w:tc>
    </w:tr>
    <w:tr w:rsidR="003A4E5D" w:rsidRPr="003A4E5D" w:rsidTr="006C3340">
      <w:trPr>
        <w:cantSplit/>
        <w:trHeight w:val="872"/>
      </w:trPr>
      <w:tc>
        <w:tcPr>
          <w:tcW w:w="66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4E5D" w:rsidRPr="003A4E5D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  <w:sz w:val="22"/>
              <w:szCs w:val="22"/>
            </w:rPr>
          </w:pP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The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Journal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of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Croatian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Medical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Association</w:t>
          </w:r>
          <w:proofErr w:type="spellEnd"/>
        </w:p>
        <w:p w:rsidR="003A4E5D" w:rsidRPr="003A4E5D" w:rsidRDefault="003A4E5D" w:rsidP="003A4E5D">
          <w:pPr>
            <w:jc w:val="center"/>
            <w:rPr>
              <w:b/>
              <w:color w:val="767171" w:themeColor="background2" w:themeShade="80"/>
              <w:sz w:val="22"/>
            </w:rPr>
          </w:pPr>
          <w:r w:rsidRPr="003A4E5D">
            <w:rPr>
              <w:b/>
              <w:color w:val="767171" w:themeColor="background2" w:themeShade="80"/>
              <w:sz w:val="22"/>
            </w:rPr>
            <w:t>Glavni i odgovorni urednik: Branimir Anić</w:t>
          </w:r>
        </w:p>
        <w:p w:rsidR="003A4E5D" w:rsidRPr="003A4E5D" w:rsidRDefault="003A4E5D" w:rsidP="003A4E5D">
          <w:pPr>
            <w:jc w:val="center"/>
            <w:rPr>
              <w:rFonts w:ascii="Times New Roman" w:hAnsi="Times New Roman"/>
              <w:b/>
              <w:color w:val="auto"/>
              <w:sz w:val="22"/>
            </w:rPr>
          </w:pPr>
        </w:p>
      </w:tc>
      <w:tc>
        <w:tcPr>
          <w:tcW w:w="2400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3A4E5D" w:rsidRPr="003A4E5D" w:rsidRDefault="003A4E5D" w:rsidP="003A4E5D"/>
      </w:tc>
    </w:tr>
  </w:tbl>
  <w:p w:rsidR="00E06106" w:rsidRDefault="00355A84" w:rsidP="003A4E5D">
    <w:pPr>
      <w:pStyle w:val="Zaglavlje"/>
      <w:spacing w:before="0" w:after="40"/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5ED"/>
    <w:multiLevelType w:val="hybridMultilevel"/>
    <w:tmpl w:val="83AE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1E6AAC"/>
    <w:rsid w:val="00240339"/>
    <w:rsid w:val="002D5574"/>
    <w:rsid w:val="002E08CE"/>
    <w:rsid w:val="003524CC"/>
    <w:rsid w:val="00355A84"/>
    <w:rsid w:val="00363402"/>
    <w:rsid w:val="003A4E5D"/>
    <w:rsid w:val="003C5ADE"/>
    <w:rsid w:val="003D208B"/>
    <w:rsid w:val="00521B82"/>
    <w:rsid w:val="0056243F"/>
    <w:rsid w:val="00673DFF"/>
    <w:rsid w:val="006C3340"/>
    <w:rsid w:val="009002FD"/>
    <w:rsid w:val="0095119A"/>
    <w:rsid w:val="009A5058"/>
    <w:rsid w:val="009E6D29"/>
    <w:rsid w:val="00AF294C"/>
    <w:rsid w:val="00B337D5"/>
    <w:rsid w:val="00B968EA"/>
    <w:rsid w:val="00D52065"/>
    <w:rsid w:val="00F718E9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lm.nih.gov/bsd/uniform_require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rsingworld.org/AJN/2002/june/Wawatch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2</cp:revision>
  <cp:lastPrinted>2017-11-17T07:45:00Z</cp:lastPrinted>
  <dcterms:created xsi:type="dcterms:W3CDTF">2019-05-17T10:15:00Z</dcterms:created>
  <dcterms:modified xsi:type="dcterms:W3CDTF">2019-05-17T10:15:00Z</dcterms:modified>
</cp:coreProperties>
</file>